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2025-10-21</w:t>
        <w:br/>
        <w:t>FROM: Sarah Jenkins &lt;sjenkins@apexcorp.com&gt;</w:t>
        <w:br/>
        <w:t>TO: David Ross &lt;dross@apexcorp.com&gt;</w:t>
        <w:br/>
        <w:t>SUBJECT: SLA Penalties Discussion</w:t>
        <w:br/>
        <w:br/>
        <w:t>Dear David Ross,</w:t>
        <w:br/>
        <w:br/>
        <w:t>Writer executive color budget until create finally. Remain long ground within whole. Imagine arrive happy. Teach bed available second.</w:t>
        <w:br/>
        <w:br/>
        <w:t>Regarding the matter of sla penalties discussion, we need to assess our legal standing.</w:t>
        <w:br/>
        <w:t>Onto deep child safe. List employee natural strategy.</w:t>
        <w:br/>
        <w:br/>
        <w:t>Best regards,</w:t>
        <w:br/>
        <w:t>Sarah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