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 xml:space="preserve">Vendor's Name:  Hartmut Schneider, Peter John Roebuck and Grahame Stephen Beaumont  </w:t>
      </w:r>
    </w:p>
    <w:p>
      <w:r>
        <w:t xml:space="preserve">Land Address:   12 Francis Street, Hunters Hill, New South Wales 2110  </w:t>
      </w:r>
    </w:p>
    <w:p>
      <w:r>
        <w:t xml:space="preserve">Plan Details:  Lot 2 Plan DP 582955 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 xml:space="preserve">  See Special Condition 56 – Completion Date   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>['VACANT POSSE SSION  ']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TBA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>Need to be confirmed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not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 Battery for Solar Panels 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not marked as adjustable or not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