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Zofia Helena Inwald and Graham Edgar Thorburn  </w:t>
      </w:r>
    </w:p>
    <w:p>
      <w:r>
        <w:t xml:space="preserve">Land Address:   8/11-15 Young Street, Paddington, New South Wales 2021  </w:t>
      </w:r>
    </w:p>
    <w:p>
      <w:r>
        <w:t xml:space="preserve">Plan Details:  Lot 8 Plan SP 47893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6 weeks after the contract date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 xml:space="preserve">subject to existing tenancies  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$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 xml:space="preserve">garage  ,andhome unit  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not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marked as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