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40"/>
      </w:pPr>
      <w:r>
        <w:rPr>
          <w:rFonts w:ascii="Arial" w:hAnsi="Arial"/>
          <w:b/>
          <w:color w:val="0F172A"/>
          <w:sz w:val="44"/>
        </w:rPr>
        <w:t>BMP Tutors — India Private Tutoring Market Report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F0FDF4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5803D"/>
                <w:sz w:val="15"/>
              </w:rPr>
              <w:t>TOTAL EDUCATORS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107,723</w:t>
              <w:br/>
            </w:r>
            <w:r>
              <w:rPr>
                <w:rFonts w:ascii="Arial" w:hAnsi="Arial"/>
                <w:color w:val="64748B"/>
                <w:sz w:val="15"/>
              </w:rPr>
              <w:t>Verified Unique Tutors</w:t>
            </w:r>
          </w:p>
        </w:tc>
        <w:tc>
          <w:tcPr>
            <w:tcW w:type="dxa" w:w="2484"/>
            <w:shd w:val="clear" w:color="auto" w:fill="EFF6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1D4ED8"/>
                <w:sz w:val="15"/>
              </w:rPr>
              <w:t>COURSE OFFERINGS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327,720</w:t>
              <w:br/>
            </w:r>
            <w:r>
              <w:rPr>
                <w:rFonts w:ascii="Arial" w:hAnsi="Arial"/>
                <w:color w:val="64748B"/>
                <w:sz w:val="15"/>
              </w:rPr>
              <w:t>3.04 Subjects / Tutor</w:t>
            </w:r>
          </w:p>
        </w:tc>
        <w:tc>
          <w:tcPr>
            <w:tcW w:type="dxa" w:w="2484"/>
            <w:shd w:val="clear" w:color="auto" w:fill="FAF5FF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7E22CE"/>
                <w:sz w:val="15"/>
              </w:rPr>
              <w:t>BENCHMARK RATE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₹848 / hr</w:t>
              <w:br/>
            </w:r>
            <w:r>
              <w:rPr>
                <w:rFonts w:ascii="Arial" w:hAnsi="Arial"/>
                <w:color w:val="64748B"/>
                <w:sz w:val="15"/>
              </w:rPr>
              <w:t>Average Tuition Fee</w:t>
            </w:r>
          </w:p>
        </w:tc>
        <w:tc>
          <w:tcPr>
            <w:tcW w:type="dxa" w:w="2484"/>
            <w:shd w:val="clear" w:color="auto" w:fill="FFFBEB"/>
            <w:tcMar>
              <w:top w:w="120" w:type="dxa"/>
              <w:bottom w:w="12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B45309"/>
                <w:sz w:val="15"/>
              </w:rPr>
              <w:t>ONLINE ADOPTION</w:t>
              <w:br/>
            </w:r>
            <w:r>
              <w:rPr>
                <w:rFonts w:ascii="Arial" w:hAnsi="Arial"/>
                <w:b/>
                <w:color w:val="0F172A"/>
                <w:sz w:val="32"/>
              </w:rPr>
              <w:t>95.6%</w:t>
              <w:br/>
            </w:r>
            <w:r>
              <w:rPr>
                <w:rFonts w:ascii="Arial" w:hAnsi="Arial"/>
                <w:color w:val="64748B"/>
                <w:sz w:val="15"/>
              </w:rPr>
              <w:t>102,992 Online Tutors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1. What Degrees Do Tutors Hold? (Highest Qualification)</w:t>
      </w:r>
    </w:p>
    <w:p>
      <w:pPr>
        <w:spacing w:after="120"/>
      </w:pPr>
      <w:r>
        <w:t>Most tutors are well-educated: 57.2% hold a Bachelor's degree, 30.1% hold a Master's degree, and 4.2% hold a PhD.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291840"/>
            <wp:effectExtent l="0" t="0" r="0" b="0"/>
            <wp:docPr id="1" name="Chart 1"/>
            <wp:cNvGraphicFramePr>
              <a:graphicFrameLocks noGrp="1"/>
            </wp:cNvGraphicFramePr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Qualification Level</w:t>
            </w:r>
          </w:p>
        </w:tc>
        <w:tc>
          <w:tcPr>
            <w:tcW w:type="dxa" w:w="331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Common Degrees Included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Undergraduate (UG)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B.Tech, B.E., B.Sc, B.Com, B.A, BCA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61,595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57.2%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₹812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Postgraduate (PG)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M.Sc, M.Tech, MBA, M.A, M.Com, MCA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32,391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30.1%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₹915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Less than UG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Diploma, 12th Pass, High School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7,567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7.0%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₹690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Advanced (PhD/Doctorate)</w:t>
            </w:r>
          </w:p>
        </w:tc>
        <w:tc>
          <w:tcPr>
            <w:tcW w:type="dxa" w:w="331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Doctor of Philosophy, Post-Doc Scholars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4,532</w:t>
            </w:r>
          </w:p>
        </w:tc>
        <w:tc>
          <w:tcPr>
            <w:tcW w:type="dxa" w:w="115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4.2%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331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Profile background not listed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1,638</w:t>
            </w:r>
          </w:p>
        </w:tc>
        <w:tc>
          <w:tcPr>
            <w:tcW w:type="dxa" w:w="115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₹750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2. Gender Breakdown Across Tutors</w:t>
      </w:r>
    </w:p>
    <w:p>
      <w:pPr>
        <w:spacing w:after="120"/>
      </w:pPr>
      <w:r>
        <w:t>Women make up 58.0% of all tutors in India, while men account for 40.8%.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303520" cy="3108960"/>
            <wp:effectExtent l="0" t="0" r="0" b="0"/>
            <wp:docPr id="2" name="Chart 2"/>
            <wp:cNvGraphicFramePr>
              <a:graphicFrameLocks noGrp="1"/>
            </wp:cNvGraphicFramePr>
            <a:graphic>
              <a:graphicData uri="http://schemas.openxmlformats.org/drawingml/2006/chart">
                <c:chart r:id="rId10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2A: National Gender Overview (Overall Headcount &amp; Participation)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Gender Category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244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Female Educators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62,470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58.0%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₹770 / hr</w:t>
            </w:r>
          </w:p>
        </w:tc>
      </w:tr>
      <w:tr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Male Educators</w:t>
            </w:r>
          </w:p>
        </w:tc>
        <w:tc>
          <w:tcPr>
            <w:tcW w:type="dxa" w:w="201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43,967</w:t>
            </w:r>
          </w:p>
        </w:tc>
        <w:tc>
          <w:tcPr>
            <w:tcW w:type="dxa" w:w="187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40.8%</w:t>
            </w:r>
          </w:p>
        </w:tc>
        <w:tc>
          <w:tcPr>
            <w:tcW w:type="dxa" w:w="2448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₹984 / hr</w:t>
            </w:r>
          </w:p>
        </w:tc>
      </w:tr>
      <w:tr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Not Specified</w:t>
            </w:r>
          </w:p>
        </w:tc>
        <w:tc>
          <w:tcPr>
            <w:tcW w:type="dxa" w:w="201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1,286</w:t>
            </w:r>
          </w:p>
        </w:tc>
        <w:tc>
          <w:tcPr>
            <w:tcW w:type="dxa" w:w="187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  <w:tc>
          <w:tcPr>
            <w:tcW w:type="dxa" w:w="2448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₹979 / hr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2B: Gender Distribution Across Educational Degrees (PhD, M.Tech, B.Tech, etc.)</w:t>
      </w:r>
    </w:p>
    <w:p>
      <w:pPr>
        <w:spacing w:after="120"/>
      </w:pPr>
      <w:r>
        <w:t>Women lead in Arts (70.5%), Sciences (65.1%), and B.Ed degrees (79.8%). Men lead in Engineering fields like B.Tech (63.5%). At the PhD level, gender is nearly equal.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Degree / Qualification Level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Other Qualifications / Schooling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59,817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33,714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56.4%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24,823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41.5%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11 : 8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Science (M.Sc)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9,128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5,942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65.1%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3,185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34.9%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13 : 7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Technology (B.Tech / B.E.)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8,378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3,054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36.5%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5,324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63.5%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 : 7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Science (B.Sc)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6,581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4,345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66.0%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2,236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34.0%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19 : 10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Arts (M.A.)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5,402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3,806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70.5%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1,596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29.5%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19 : 8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Arts (B.A.)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3,859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2,661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69.0%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1,195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31.0%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 : 9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Education (B.Ed)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3,224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2,573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79.8%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650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20.2%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 : 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Doctorate / PhD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2,981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1,526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1,454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Bachelor of Commerce (B.Com)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2,540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1,716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67.6%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824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32.4%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21 : 10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Technology (M.Tech / M.E.)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2,365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1,035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43.8%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1,330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56.2%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 : 9</w:t>
            </w:r>
          </w:p>
        </w:tc>
      </w:tr>
      <w:tr>
        <w:tc>
          <w:tcPr>
            <w:tcW w:type="dxa" w:w="316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Management (MBA / PGDM)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2,355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1,303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1,052</w:t>
            </w:r>
          </w:p>
        </w:tc>
        <w:tc>
          <w:tcPr>
            <w:tcW w:type="dxa" w:w="1008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296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5 : 4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Master of Commerce (M.Com)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1,093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72.7%</w:t>
            </w:r>
          </w:p>
        </w:tc>
        <w:tc>
          <w:tcPr>
            <w:tcW w:type="dxa" w:w="1152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298</w:t>
            </w:r>
          </w:p>
        </w:tc>
        <w:tc>
          <w:tcPr>
            <w:tcW w:type="dxa" w:w="1008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27.3%</w:t>
            </w:r>
          </w:p>
        </w:tc>
        <w:tc>
          <w:tcPr>
            <w:tcW w:type="dxa" w:w="1296"/>
            <w:shd w:val="clear" w:color="auto"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sz w:val="16"/>
              </w:rPr>
              <w:t>8 : 3</w:t>
            </w:r>
          </w:p>
        </w:tc>
      </w:tr>
      <w:tr>
        <w:tc>
          <w:tcPr>
            <w:tcW w:type="dxa" w:w="316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Educators)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107,723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62,470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58.0%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43,967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40.8%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7 : 5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2C: State-by-State Gender Breakdown &amp; Male-to-Female Ratios (All 28 Indian States)</w:t>
      </w:r>
    </w:p>
    <w:p>
      <w:pPr>
        <w:spacing w:after="120"/>
      </w:pPr>
      <w:r>
        <w:t>Southern states have the highest share of female tutors, led by Kerala (78.0%) and Tamil Nadu (73.0%). Northern states like Bihar (72.6% male) and Jharkhand (61.1% male) have more male tutors.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152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16,811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12,265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73.0%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14,337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11,186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3,149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32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9,550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5,007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4,543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9,300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5,584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3,714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39.9%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2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8,114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3,730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4,384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7,810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3,699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47.4%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7,026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3,358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3,662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3,228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1,880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58.2%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1,347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2,894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1,532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1,362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2,479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1,409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56.8%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4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2,412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1,650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762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31.6%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 : 6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2,122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52.6%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1,839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939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1,776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1,557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27.4%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1,130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72.6%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1,470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53.3%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687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46.7%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 : 7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948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579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61.1%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355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44.7%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440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55.3%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5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304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8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204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41.0%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 : 9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65.9%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33.5%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59.1%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51.2%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52.8%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 : 10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50.0%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 : 1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19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78.9%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21.1%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 : 4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57.1%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42.9%</w:t>
            </w:r>
          </w:p>
        </w:tc>
        <w:tc>
          <w:tcPr>
            <w:tcW w:type="dxa" w:w="1152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3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152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273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National Total (All 28 States)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95,862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56,847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59.3%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38,998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40.7%</w:t>
            </w:r>
          </w:p>
        </w:tc>
        <w:tc>
          <w:tcPr>
            <w:tcW w:type="dxa" w:w="1152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3 : 2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2"/>
        </w:rPr>
        <w:t>Table 2D: Union Territories Gender Breakdown &amp; Ratios (All 8 Union Territories)</w:t>
      </w:r>
    </w:p>
    <w:p>
      <w:pPr>
        <w:spacing w:after="120"/>
      </w:pPr>
      <w:r>
        <w:t>Here is the gender breakdown across India's 8 Union Territories. Delhi has the largest tutor population with an almost equal gender balance (51.5% female vs 48.5% male).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720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Union Territory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Total Tutors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Female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(N)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Male (%)</w:t>
            </w:r>
          </w:p>
        </w:tc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Ratio (F : M)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Delhi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8,600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4,425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51.5%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4,174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48.5%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11 : 10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Chandigarh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1,066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695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65.2%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371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34.8%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 : 8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Jammu and Kashmir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408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150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258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63.2%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Puducherry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360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262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72.8%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98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27.2%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8 : 3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Andaman and Nicobar Islands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24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70.8%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7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29.2%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17 : 7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Dadra &amp; Nagar Haveli and Daman &amp; Diu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22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45.5%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12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54.5%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5 : 6</w:t>
            </w:r>
          </w:p>
        </w:tc>
      </w:tr>
      <w:tr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024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Lakshadweep</w:t>
            </w:r>
          </w:p>
        </w:tc>
        <w:tc>
          <w:tcPr>
            <w:tcW w:type="dxa" w:w="1296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3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100.0%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024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Ladakh</w:t>
            </w:r>
          </w:p>
        </w:tc>
        <w:tc>
          <w:tcPr>
            <w:tcW w:type="dxa" w:w="1296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0.0%</w:t>
            </w:r>
          </w:p>
        </w:tc>
        <w:tc>
          <w:tcPr>
            <w:tcW w:type="dxa" w:w="1008"/>
            <w:shd w:val="clear" w:color="auto"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—</w:t>
            </w:r>
          </w:p>
        </w:tc>
      </w:tr>
      <w:tr>
        <w:tc>
          <w:tcPr>
            <w:tcW w:type="dxa" w:w="720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sz w:val="16"/>
              </w:rPr>
              <w:t>—</w:t>
            </w:r>
          </w:p>
        </w:tc>
        <w:tc>
          <w:tcPr>
            <w:tcW w:type="dxa" w:w="3024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Total (All 8 Union Territories)</w:t>
            </w:r>
          </w:p>
        </w:tc>
        <w:tc>
          <w:tcPr>
            <w:tcW w:type="dxa" w:w="1296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10,483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5,562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53.1%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4,920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46.9%</w:t>
            </w:r>
          </w:p>
        </w:tc>
        <w:tc>
          <w:tcPr>
            <w:tcW w:type="dxa" w:w="1008"/>
            <w:shd w:val="clear" w:color="auto" w:fill="E2E8F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sz w:val="16"/>
              </w:rPr>
              <w:t>9 : 8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3. What Subjects Do Tutors Teach Most?</w:t>
      </w:r>
    </w:p>
    <w:p>
      <w:pPr>
        <w:spacing w:after="120"/>
      </w:pPr>
      <w:r>
        <w:t>Tutors teach an average of 3 subjects each (327,720 total subject links). Over half (56.2%) are School Science &amp; Math subjects, followed by Languages (17.8%) and Computer Coding (11.5%).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3" name="Chart 3"/>
            <wp:cNvGraphicFramePr>
              <a:graphicFrameLocks noGrp="1"/>
            </wp:cNvGraphicFramePr>
            <a:graphic>
              <a:graphicData uri="http://schemas.openxmlformats.org/drawingml/2006/chart">
                <c:chart r:id="rId11"/>
              </a:graphicData>
            </a:graphic>
          </wp:inline>
        </w:drawing>
      </w:r>
    </w:p>
    <w:p>
      <w:pPr>
        <w:spacing w:after="80"/>
      </w:pP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474720"/>
            <wp:effectExtent l="0" t="0" r="0" b="0"/>
            <wp:docPr id="4" name="Chart 4"/>
            <wp:cNvGraphicFramePr>
              <a:graphicFrameLocks noGrp="1"/>
            </wp:cNvGraphicFramePr>
            <a:graphic>
              <a:graphicData uri="http://schemas.openxmlformats.org/drawingml/2006/chart">
                <c:chart r:id="rId12"/>
              </a:graphicData>
            </a:graphic>
          </wp:inline>
        </w:drawing>
      </w:r>
    </w:p>
    <w:p>
      <w:pPr>
        <w:pStyle w:val="Heading2"/>
      </w:pPr>
      <w:r>
        <w:rPr>
          <w:b/>
          <w:color w:val="1E293B"/>
          <w:sz w:val="22"/>
        </w:rPr>
        <w:t>Table 3A: Top 10 Most Popular Individual Subjects Across India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Name</w:t>
            </w:r>
          </w:p>
        </w:tc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Discipline Stream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Offerings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Total (%)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41,986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(Grammar &amp; Spoken)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26,646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8.1%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 K-10)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24,641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16,978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5.2%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12,738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3.9%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Math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10,851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Hindi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10,157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3.1%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Computer Science &amp; Programming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Computer Science &amp; Tech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6,475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2.0%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Business Studies &amp; Management</w:t>
            </w:r>
          </w:p>
        </w:tc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Commerce &amp; Finance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4,820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(Regional Language)</w:t>
            </w:r>
          </w:p>
        </w:tc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Languages &amp; Linguistics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4,454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1.4%</w:t>
            </w:r>
          </w:p>
        </w:tc>
      </w:tr>
    </w:tbl>
    <w:p>
      <w:pPr>
        <w:spacing w:after="200"/>
      </w:pPr>
    </w:p>
    <w:p>
      <w:pPr>
        <w:pStyle w:val="Heading2"/>
      </w:pPr>
      <w:r>
        <w:rPr>
          <w:b/>
          <w:color w:val="1E293B"/>
          <w:sz w:val="24"/>
        </w:rPr>
        <w:t>Subject Intersections: Venn Diagrams of Overlapping Teaching Patterns</w:t>
      </w:r>
    </w:p>
    <w:p>
      <w:pPr>
        <w:spacing w:after="120"/>
      </w:pPr>
      <w:r>
        <w:t>Most tutors (71.3%) teach more than one subject. The diagrams below show how common subjects overlap in practice.</w:t>
      </w:r>
    </w:p>
    <w:p>
      <w:pPr>
        <w:pStyle w:val="Heading3"/>
      </w:pPr>
      <w:r>
        <w:rPr>
          <w:b/>
          <w:color w:val="1E293B"/>
          <w:sz w:val="21"/>
        </w:rPr>
        <w:t>A. Core School Curriculum Trio: Mathematics, General Science &amp; English (N = 58,046 Tutors)</w:t>
      </w:r>
    </w:p>
    <w:p>
      <w:pPr>
        <w:spacing w:after="120"/>
      </w:pPr>
      <w:r>
        <w:t>For school students (Classes 1–10), Math, Science, and English are the most common subjects. Over 5,500 tutors teach all three together, while 7,400 combine Math and Science.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5" name="Chart 5"/>
            <wp:cNvGraphicFramePr>
              <a:graphicFrameLocks noGrp="1"/>
            </wp:cNvGraphicFramePr>
            <a:graphic>
              <a:graphicData uri="http://schemas.openxmlformats.org/drawingml/2006/chart">
                <c:chart r:id="rId13"/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19,326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English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10,170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17.5%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(General)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General Science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6,926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11.9%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Science (no English)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7,403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English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English (no Science)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5,323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Science + English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Science &amp; English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3,387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5.8%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 + Science + English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5,511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58,046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B. Senior Science &amp; Math Trio: Mathematics, Physics &amp; Chemistry (N = 46,937 Tutors)</w:t>
      </w:r>
    </w:p>
    <w:p>
      <w:pPr>
        <w:spacing w:after="120"/>
      </w:pPr>
      <w:r>
        <w:t>For higher secondary (Classes 11–12) and engineering entrance prep, Math, Physics, and Chemistry dominate. Over 2,900 tutors teach all three together, and 6,100 combine Math with Physics.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6" name="Chart 6"/>
            <wp:cNvGraphicFramePr>
              <a:graphicFrameLocks noGrp="1"/>
            </wp:cNvGraphicFramePr>
            <a:graphic>
              <a:graphicData uri="http://schemas.openxmlformats.org/drawingml/2006/chart">
                <c:chart r:id="rId14"/>
              </a:graphicData>
            </a:graphic>
          </wp:inline>
        </w:drawing>
      </w:r>
    </w:p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302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Intersection Region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Composition</w:t>
            </w:r>
          </w:p>
        </w:tc>
        <w:tc>
          <w:tcPr>
            <w:tcW w:type="dxa" w:w="172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Unique Tutors (N)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Science Trio (%)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Mathematics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27,343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58.3%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Physics (no Chemistry)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6,139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13.1%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Only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Physics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4,139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8.8%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Only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Only Chemistry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3,690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7.9%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All Three Subjects (Trio)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Mathematics, Physics &amp; Chemistry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2,906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6.2%</w:t>
            </w:r>
          </w:p>
        </w:tc>
      </w:tr>
      <w:tr>
        <w:tc>
          <w:tcPr>
            <w:tcW w:type="dxa" w:w="302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Physics + Chemistry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Physics &amp; Chemistry (no Maths)</w:t>
            </w:r>
          </w:p>
        </w:tc>
        <w:tc>
          <w:tcPr>
            <w:tcW w:type="dxa" w:w="172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1,545</w:t>
            </w:r>
          </w:p>
        </w:tc>
        <w:tc>
          <w:tcPr>
            <w:tcW w:type="dxa" w:w="158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302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Chemistry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Maths &amp; Chemistry (no Physics)</w:t>
            </w:r>
          </w:p>
        </w:tc>
        <w:tc>
          <w:tcPr>
            <w:tcW w:type="dxa" w:w="172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1,175</w:t>
            </w:r>
          </w:p>
        </w:tc>
        <w:tc>
          <w:tcPr>
            <w:tcW w:type="dxa" w:w="158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2.5%</w:t>
            </w:r>
          </w:p>
        </w:tc>
      </w:tr>
      <w:tr>
        <w:tc>
          <w:tcPr>
            <w:tcW w:type="dxa" w:w="302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Total Unique Tutors in Science Trio</w:t>
            </w:r>
          </w:p>
        </w:tc>
        <w:tc>
          <w:tcPr>
            <w:tcW w:type="dxa" w:w="3456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At least 1 of the 3 subjects</w:t>
            </w:r>
          </w:p>
        </w:tc>
        <w:tc>
          <w:tcPr>
            <w:tcW w:type="dxa" w:w="1728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46,937</w:t>
            </w:r>
          </w:p>
        </w:tc>
        <w:tc>
          <w:tcPr>
            <w:tcW w:type="dxa" w:w="1584"/>
            <w:shd w:val="clear" w:color="auto" w:fill="E2E8F0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sz w:val="17"/>
              </w:rPr>
              <w:t>100.0%</w:t>
            </w:r>
          </w:p>
        </w:tc>
      </w:tr>
    </w:tbl>
    <w:p>
      <w:pPr>
        <w:spacing w:after="240"/>
      </w:pPr>
    </w:p>
    <w:p>
      <w:pPr>
        <w:pStyle w:val="Heading3"/>
      </w:pPr>
      <w:r>
        <w:rPr>
          <w:b/>
          <w:color w:val="1E293B"/>
          <w:sz w:val="21"/>
        </w:rPr>
        <w:t>C. Multi-Subject Breadth Across Top 5 Subjects &amp; Common Bundles</w:t>
      </w:r>
    </w:p>
    <w:p>
      <w:pPr>
        <w:spacing w:after="120"/>
      </w:pPr>
      <w:r>
        <w:t>Among tutors teaching the top 5 subjects, about half (52.2%) focus on one subject, 30.5% teach two, and 14.8% teach three.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7" name="Chart 7"/>
            <wp:cNvGraphicFramePr>
              <a:graphicFrameLocks noGrp="1"/>
            </wp:cNvGraphicFramePr>
            <a:graphic>
              <a:graphicData uri="http://schemas.openxmlformats.org/drawingml/2006/chart">
                <c:chart r:id="rId15"/>
              </a:graphicData>
            </a:graphic>
          </wp:inline>
        </w:drawing>
      </w:r>
    </w:p>
    <w:p>
      <w:pPr>
        <w:spacing w:after="120"/>
      </w:pPr>
    </w:p>
    <w:p>
      <w:pPr>
        <w:pStyle w:val="Heading4"/>
      </w:pPr>
      <w:r>
        <w:rPr>
          <w:b/>
          <w:color w:val="1E293B"/>
          <w:sz w:val="19"/>
        </w:rPr>
        <w:t>Table 3D: Top 10 Most Common Multi-Subject Combinations (Subject Bundles Across India)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86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Bundle Combination</w:t>
            </w:r>
          </w:p>
        </w:tc>
        <w:tc>
          <w:tcPr>
            <w:tcW w:type="dxa" w:w="273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Subject Stream Category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Offering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of Multi-Subject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Foundational School STEM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2,519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Physical &amp; Mathematical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2,135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 + Science (General)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All-in-One School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1,165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Mathematics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Literacy &amp; Numeracy Core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932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Chemistry + Mathematics + Physics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Secondary PCM Trio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909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Language &amp; General Sciences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657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English + Hindi + Mathematics + Science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Comprehensive Primary / Middle Bundle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591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0.8%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Mathematics + Physics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Expanded School &amp; Senior Physics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522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45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Chemistry</w:t>
            </w:r>
          </w:p>
        </w:tc>
        <w:tc>
          <w:tcPr>
            <w:tcW w:type="dxa" w:w="273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Medical / PCB Foundation</w:t>
            </w:r>
          </w:p>
        </w:tc>
        <w:tc>
          <w:tcPr>
            <w:tcW w:type="dxa" w:w="1440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517</w:t>
            </w:r>
          </w:p>
        </w:tc>
        <w:tc>
          <w:tcPr>
            <w:tcW w:type="dxa" w:w="129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45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Biology &amp; Life Sciences + Science (General)</w:t>
            </w:r>
          </w:p>
        </w:tc>
        <w:tc>
          <w:tcPr>
            <w:tcW w:type="dxa" w:w="273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Life Sciences Specialist Bundle</w:t>
            </w:r>
          </w:p>
        </w:tc>
        <w:tc>
          <w:tcPr>
            <w:tcW w:type="dxa" w:w="1440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496</w:t>
            </w:r>
          </w:p>
        </w:tc>
        <w:tc>
          <w:tcPr>
            <w:tcW w:type="dxa" w:w="129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0.6%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4. Tutor Experience: From Beginners to Veterans</w:t>
      </w:r>
    </w:p>
    <w:p>
      <w:pPr>
        <w:spacing w:after="120"/>
      </w:pPr>
      <w:r>
        <w:t>About 25% of tutors are beginners (0–1 years), 31% have 2–4 years of experience, and over 20% are senior teachers with 10+ years.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8" name="Chart 8"/>
            <wp:cNvGraphicFramePr>
              <a:graphicFrameLocks noGrp="1"/>
            </wp:cNvGraphicFramePr>
            <a:graphic>
              <a:graphicData uri="http://schemas.openxmlformats.org/drawingml/2006/chart">
                <c:chart r:id="rId16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59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Experience Bracket</w:t>
            </w:r>
          </w:p>
        </w:tc>
        <w:tc>
          <w:tcPr>
            <w:tcW w:type="dxa" w:w="345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Typical Profile</w:t>
            </w:r>
          </w:p>
        </w:tc>
        <w:tc>
          <w:tcPr>
            <w:tcW w:type="dxa" w:w="1440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(N)</w:t>
            </w:r>
          </w:p>
        </w:tc>
        <w:tc>
          <w:tcPr>
            <w:tcW w:type="dxa" w:w="129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Share (%)</w:t>
            </w:r>
          </w:p>
        </w:tc>
        <w:tc>
          <w:tcPr>
            <w:tcW w:type="dxa" w:w="158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Avg Fee (₹/hr)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0 - 1 Years (Beginner)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College students &amp; fresh graduates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26,867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24.9%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₹650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2 - 4 Years (Early Career)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Junior teachers &amp; active private tutors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33,694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31.3%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₹780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5 - 9 Years (Experienced)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Mid-career school teachers &amp; test-prep coaches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24,948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23.2%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₹950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10 - 14 Years (Senior)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Senior school faculty &amp; subject specialists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11,109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10.3%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₹1,150</w:t>
            </w:r>
          </w:p>
        </w:tc>
      </w:tr>
      <w:tr>
        <w:tc>
          <w:tcPr>
            <w:tcW w:type="dxa" w:w="2592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15 - 19 Years (Veteran)</w:t>
            </w:r>
          </w:p>
        </w:tc>
        <w:tc>
          <w:tcPr>
            <w:tcW w:type="dxa" w:w="345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HODs, college lecturers &amp; senior coaching heads</w:t>
            </w:r>
          </w:p>
        </w:tc>
        <w:tc>
          <w:tcPr>
            <w:tcW w:type="dxa" w:w="144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5,015</w:t>
            </w:r>
          </w:p>
        </w:tc>
        <w:tc>
          <w:tcPr>
            <w:tcW w:type="dxa" w:w="1296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4.7%</w:t>
            </w:r>
          </w:p>
        </w:tc>
        <w:tc>
          <w:tcPr>
            <w:tcW w:type="dxa" w:w="1584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₹1,320</w:t>
            </w:r>
          </w:p>
        </w:tc>
      </w:tr>
      <w:tr>
        <w:tc>
          <w:tcPr>
            <w:tcW w:type="dxa" w:w="2592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20+ Years (Master Educator)</w:t>
            </w:r>
          </w:p>
        </w:tc>
        <w:tc>
          <w:tcPr>
            <w:tcW w:type="dxa" w:w="345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sz w:val="17"/>
              </w:rPr>
              <w:t>Retired professors, authors &amp; master teachers</w:t>
            </w:r>
          </w:p>
        </w:tc>
        <w:tc>
          <w:tcPr>
            <w:tcW w:type="dxa" w:w="144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6,090</w:t>
            </w:r>
          </w:p>
        </w:tc>
        <w:tc>
          <w:tcPr>
            <w:tcW w:type="dxa" w:w="1296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5.6%</w:t>
            </w:r>
          </w:p>
        </w:tc>
        <w:tc>
          <w:tcPr>
            <w:tcW w:type="dxa" w:w="1584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₹1,500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5. Hourly Tuition Rates Across Indian States (Figure 5)</w:t>
      </w:r>
    </w:p>
    <w:p>
      <w:pPr>
        <w:spacing w:after="120"/>
      </w:pPr>
      <w:r>
        <w:t>The national average tuition rate is ₹848 / hour. Metros like Maharashtra (₹1,039/hr) and Delhi (₹1,020/hr) have the highest rates, while Kerala (₹582/hr) is the most affordable due to high tutor supply.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108960"/>
            <wp:effectExtent l="0" t="0" r="0" b="0"/>
            <wp:docPr id="9" name="Chart 9"/>
            <wp:cNvGraphicFramePr>
              <a:graphicFrameLocks noGrp="1"/>
            </wp:cNvGraphicFramePr>
            <a:graphic>
              <a:graphicData uri="http://schemas.openxmlformats.org/drawingml/2006/chart">
                <c:chart r:id="rId17"/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00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State / Territory</w:t>
            </w:r>
          </w:p>
        </w:tc>
        <w:tc>
          <w:tcPr>
            <w:tcW w:type="dxa" w:w="1872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Tutors Analyzed</w:t>
            </w:r>
          </w:p>
        </w:tc>
        <w:tc>
          <w:tcPr>
            <w:tcW w:type="dxa" w:w="2016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Average Fee (₹/hr)</w:t>
            </w:r>
          </w:p>
        </w:tc>
        <w:tc>
          <w:tcPr>
            <w:tcW w:type="dxa" w:w="2304"/>
            <w:shd w:val="clear" w:color="auto" w:fill="1E293B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7"/>
              </w:rPr>
              <w:t>Typical Rate Range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Maharashtra (Mumbai/Pune)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7,150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₹1,039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Haryana (Gurugram/Faridabad)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2,387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₹1,026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Delhi (NCR)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6,420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₹1,020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₹500 – ₹1,500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Uttar Pradesh (Noida/Lucknow)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5,513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₹978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₹1,400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Telangana (Hyderabad)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5,229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₹943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₹400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West Bengal (Kolkata)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3,795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₹921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₹1,300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Karnataka (Bengaluru)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7,008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₹903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₹450 – ₹1,350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Andhra Pradesh (Vizag/Vijayawada)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2,069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₹855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₹350 – ₹1,200 / hr</w:t>
            </w:r>
          </w:p>
        </w:tc>
      </w:tr>
      <w:tr>
        <w:tc>
          <w:tcPr>
            <w:tcW w:type="dxa" w:w="100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Tamil Nadu (Chennai/Coimbatore)</w:t>
            </w:r>
          </w:p>
        </w:tc>
        <w:tc>
          <w:tcPr>
            <w:tcW w:type="dxa" w:w="1872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12,306</w:t>
            </w:r>
          </w:p>
        </w:tc>
        <w:tc>
          <w:tcPr>
            <w:tcW w:type="dxa" w:w="2016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₹713 / hr</w:t>
            </w:r>
          </w:p>
        </w:tc>
        <w:tc>
          <w:tcPr>
            <w:tcW w:type="dxa" w:w="2304"/>
            <w:shd w:val="clear" w:color="auto" w:fill="FFFFFF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₹300 – ₹1,000 / hr</w:t>
            </w:r>
          </w:p>
        </w:tc>
      </w:tr>
      <w:tr>
        <w:tc>
          <w:tcPr>
            <w:tcW w:type="dxa" w:w="100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sz w:val="17"/>
              </w:rPr>
              <w:t>Kerala (Kochi/Trivandrum)</w:t>
            </w:r>
          </w:p>
        </w:tc>
        <w:tc>
          <w:tcPr>
            <w:tcW w:type="dxa" w:w="1872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11,643</w:t>
            </w:r>
          </w:p>
        </w:tc>
        <w:tc>
          <w:tcPr>
            <w:tcW w:type="dxa" w:w="2016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₹582 / hr</w:t>
            </w:r>
          </w:p>
        </w:tc>
        <w:tc>
          <w:tcPr>
            <w:tcW w:type="dxa" w:w="2304"/>
            <w:shd w:val="clear" w:color="auto" w:fill="F8FAFC"/>
            <w:tcMar>
              <w:top w:w="65" w:type="dxa"/>
              <w:bottom w:w="65" w:type="dxa"/>
              <w:left w:w="90" w:type="dxa"/>
              <w:right w:w="90" w:type="dxa"/>
            </w:tcMar>
          </w:tcPr>
          <w:p>
            <w:pPr>
              <w:jc w:val="right"/>
            </w:pPr>
            <w:r>
              <w:rPr>
                <w:sz w:val="17"/>
              </w:rPr>
              <w:t>₹250 – ₹850 / hr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rFonts w:ascii="Arial" w:hAnsi="Arial"/>
          <w:color w:val="0F172A"/>
          <w:sz w:val="28"/>
        </w:rPr>
        <w:t>6. Subject-Wise Fees by Student Level (Table 2.8)</w:t>
      </w:r>
    </w:p>
    <w:p>
      <w:pPr>
        <w:spacing w:after="120"/>
      </w:pPr>
      <w:r>
        <w:t>Fees increase as students advance to higher classes. Primary school tuition costs ₹400–₹500/hr, middle school is ₹550–₹700/hr, and competitive entrance coaching (JEE, NEET, CA) rises to ₹1,400–₹1,800/hr.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208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Subject Domain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Elementary</w:t>
              <w:br/>
              <w:t>(Classes 1–5)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Upper Primary</w:t>
              <w:br/>
              <w:t>(Classes 5–8)</w:t>
            </w:r>
          </w:p>
        </w:tc>
        <w:tc>
          <w:tcPr>
            <w:tcW w:type="dxa" w:w="1238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Secondary</w:t>
              <w:br/>
              <w:t>(Classes 9–10)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Senior Sec</w:t>
              <w:br/>
              <w:t>(Classes 11–12)</w:t>
            </w:r>
          </w:p>
        </w:tc>
        <w:tc>
          <w:tcPr>
            <w:tcW w:type="dxa" w:w="1325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College /</w:t>
              <w:br/>
              <w:t>University</w:t>
            </w:r>
          </w:p>
        </w:tc>
        <w:tc>
          <w:tcPr>
            <w:tcW w:type="dxa" w:w="1483"/>
            <w:shd w:val="clear" w:color="auto" w:fill="1E293B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Competitive</w:t>
              <w:br/>
              <w:t>Exams / Pro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Mathematics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₹1,000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₹1,400 / hr</w:t>
              <w:br/>
              <w:t>(JEE / Olympiad)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Computer Science &amp; Coding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₹1,800 / hr</w:t>
              <w:br/>
              <w:t>(Full Stack / AI)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Physics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₹1,500 / hr</w:t>
              <w:br/>
              <w:t>(IIT JEE Adv)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English &amp; Languages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₹1,250 / hr</w:t>
              <w:br/>
              <w:t>(IELTS / TOEFL)</w:t>
            </w:r>
          </w:p>
        </w:tc>
      </w:tr>
      <w:tr>
        <w:tc>
          <w:tcPr>
            <w:tcW w:type="dxa" w:w="208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Chemistry &amp; Biology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₹550 / hr</w:t>
            </w:r>
          </w:p>
        </w:tc>
        <w:tc>
          <w:tcPr>
            <w:tcW w:type="dxa" w:w="1238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₹700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₹900 / hr</w:t>
            </w:r>
          </w:p>
        </w:tc>
        <w:tc>
          <w:tcPr>
            <w:tcW w:type="dxa" w:w="1325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FFFFF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₹1,450 / hr</w:t>
              <w:br/>
              <w:t>(NEET Medical)</w:t>
            </w:r>
          </w:p>
        </w:tc>
      </w:tr>
      <w:tr>
        <w:tc>
          <w:tcPr>
            <w:tcW w:type="dxa" w:w="208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left"/>
            </w:pPr>
            <w:r>
              <w:rPr>
                <w:b/>
                <w:sz w:val="16"/>
              </w:rPr>
              <w:t>Commerce &amp; Accounting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₹450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₹500 / hr</w:t>
            </w:r>
          </w:p>
        </w:tc>
        <w:tc>
          <w:tcPr>
            <w:tcW w:type="dxa" w:w="1238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₹650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₹850 / hr</w:t>
            </w:r>
          </w:p>
        </w:tc>
        <w:tc>
          <w:tcPr>
            <w:tcW w:type="dxa" w:w="1325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₹1,050 / hr</w:t>
            </w:r>
          </w:p>
        </w:tc>
        <w:tc>
          <w:tcPr>
            <w:tcW w:type="dxa" w:w="1483"/>
            <w:shd w:val="clear" w:color="auto" w:fill="F8FAFC"/>
            <w:tcMar>
              <w:top w:w="65" w:type="dxa"/>
              <w:bottom w:w="65" w:type="dxa"/>
              <w:left w:w="70" w:type="dxa"/>
              <w:right w:w="70" w:type="dxa"/>
            </w:tcMar>
          </w:tcPr>
          <w:p>
            <w:pPr>
              <w:jc w:val="right"/>
            </w:pPr>
            <w:r>
              <w:rPr>
                <w:sz w:val="16"/>
              </w:rPr>
              <w:t>₹1,600 / hr</w:t>
              <w:br/>
              <w:t>(CA / CMA / CS)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Rates jump after Class 5 as parents switch from general homework helpers to dedicated subject specialists.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7. Professional Landscapes: Full-Time Teachers vs. Non-Teaching Side Professions (Table 7)</w:t>
      </w:r>
    </w:p>
    <w:p>
      <w:pPr>
        <w:spacing w:after="120"/>
      </w:pPr>
      <w:r>
        <w:t>Tutoring is split into two main groups: 65.3% are full-time teachers and private tutors, while 34.7% are college students, software engineers, doctors, and chartered accountants teaching on the side.</w:t>
      </w:r>
    </w:p>
    <w:p>
      <w:pPr>
        <w:jc w:val="center"/>
      </w:pPr>
      <w:r>
        <w:drawing xmlns:a="http://schemas.openxmlformats.org/drawingml/2006/main" xmlns:c="http://schemas.openxmlformats.org/drawingml/2006/chart">
          <wp:inline distT="0" distB="0" distL="0" distR="0">
            <wp:extent cx="5669280" cy="3291840"/>
            <wp:effectExtent l="0" t="0" r="0" b="0"/>
            <wp:docPr id="10" name="Chart 10"/>
            <wp:cNvGraphicFramePr>
              <a:graphicFrameLocks noGrp="1"/>
            </wp:cNvGraphicFramePr>
            <a:graphic>
              <a:graphicData uri="http://schemas.openxmlformats.org/drawingml/2006/chart">
                <c:chart r:id="rId18"/>
              </a:graphicData>
            </a:graphic>
          </wp:inline>
        </w:drawing>
      </w:r>
    </w:p>
    <w:p>
      <w:pPr>
        <w:spacing w:after="160"/>
      </w:pPr>
    </w:p>
    <w:p>
      <w:pPr>
        <w:pStyle w:val="Heading2"/>
      </w:pPr>
      <w:r>
        <w:rPr>
          <w:b/>
          <w:color w:val="1E293B"/>
          <w:sz w:val="23"/>
        </w:rPr>
        <w:t>Table 7: Comprehensive Structural Matrix of Full-Time Educators vs. Non-Teaching Day-Job Tutors</w:t>
      </w:r>
    </w:p>
    <w:p>
      <w:pPr>
        <w:spacing w:after="120"/>
      </w:pPr>
      <w:r>
        <w:t>Table 7 breaks down all 107,723 tutors by their day job, hourly fee, and online teaching percentage.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244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Professional Profile &amp; Background</w:t>
            </w:r>
          </w:p>
        </w:tc>
        <w:tc>
          <w:tcPr>
            <w:tcW w:type="dxa" w:w="136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Career Category</w:t>
            </w:r>
          </w:p>
        </w:tc>
        <w:tc>
          <w:tcPr>
            <w:tcW w:type="dxa" w:w="936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720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Share (%)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Median Fee</w:t>
            </w:r>
          </w:p>
        </w:tc>
        <w:tc>
          <w:tcPr>
            <w:tcW w:type="dxa" w:w="792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Online (%)</w:t>
            </w:r>
          </w:p>
        </w:tc>
        <w:tc>
          <w:tcPr>
            <w:tcW w:type="dxa" w:w="2088"/>
            <w:shd w:val="clear" w:color="auto" w:fill="0F172A"/>
            <w:tcMar>
              <w:top w:w="80" w:type="dxa"/>
              <w:bottom w:w="8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Key Specializations &amp; Core Subjects</w:t>
            </w:r>
          </w:p>
        </w:tc>
      </w:tr>
      <w:tr>
        <w:tc>
          <w:tcPr>
            <w:tcW w:type="dxa" w:w="9936"/>
            <w:gridSpan w:val="8"/>
            <w:shd w:val="clear" w:color="auto" w:fill="1E3A8A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A: TEACHING &amp; ACADEMIC PROFESSIONS (Full-Time Career Educators — 70,327 Tutors, 65.3%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Professional Online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Online Educator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29,349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27.2%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₹725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School Science &amp; Math, English, Coding &amp; Exam Prep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Independent Private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Full-Time Independent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16,192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15.0%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₹722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95.4%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K-10 All Subjects, Maths, Science Foundations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College / University Faculty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Higher Education Faculty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6,673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₹1,044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College Science &amp; Math, Calculus, University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Early-Career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Trainee / Junior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5,821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5.4%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₹638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74.7%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Primary &amp; Middle School Basics, Language Fluency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Senior Private Educator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Master Educator (10+ Yrs)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4,080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3.8%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₹798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91.9%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Board Exam Derivations, Senior Physics &amp; Maths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School Educator (Teacher)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Regular School Staff Teacher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3,705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₹819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97.6%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CBSE / ICSE School Syllabus, Chemistry &amp; EVS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Competitive Exam Specialist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Entrance Coaching Specialist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2,413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₹1,043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97.0%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IIT JEE Advanced, NEET, Olympiads, Quant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Private / Home Tutor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Neighborhood Home Tutor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2,094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1.9%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88.7%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In-Person Mentoring, Middle School Homework Help</w:t>
            </w:r>
          </w:p>
        </w:tc>
      </w:tr>
      <w:tr>
        <w:tc>
          <w:tcPr>
            <w:tcW w:type="dxa" w:w="244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Subtotal: Career Teaching Professionals</w:t>
            </w:r>
          </w:p>
        </w:tc>
        <w:tc>
          <w:tcPr>
            <w:tcW w:type="dxa" w:w="136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Full-Time Teaching</w:t>
            </w:r>
          </w:p>
        </w:tc>
        <w:tc>
          <w:tcPr>
            <w:tcW w:type="dxa" w:w="936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70,327</w:t>
            </w:r>
          </w:p>
        </w:tc>
        <w:tc>
          <w:tcPr>
            <w:tcW w:type="dxa" w:w="720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65.3%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₹864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₹650</w:t>
            </w:r>
          </w:p>
        </w:tc>
        <w:tc>
          <w:tcPr>
            <w:tcW w:type="dxa" w:w="792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1E3A8A"/>
                <w:sz w:val="15"/>
              </w:rPr>
              <w:t>95.2%</w:t>
            </w:r>
          </w:p>
        </w:tc>
        <w:tc>
          <w:tcPr>
            <w:tcW w:type="dxa" w:w="2088"/>
            <w:shd w:val="clear" w:color="auto" w:fill="EEF2FF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1E3A8A"/>
                <w:sz w:val="15"/>
              </w:rPr>
              <w:t>Comprehensive K-12, Boards &amp; Higher Ed Curricula</w:t>
            </w:r>
          </w:p>
        </w:tc>
      </w:tr>
      <w:tr>
        <w:tc>
          <w:tcPr>
            <w:tcW w:type="dxa" w:w="9936"/>
            <w:gridSpan w:val="8"/>
            <w:shd w:val="clear" w:color="auto" w:fill="0F766E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6"/>
              </w:rPr>
              <w:t>PART B: NON-TEACHING PROFESSIONS &amp; SCHOLARS (Tutoring Alongside Another Career — 37,396 Tutors, 34.7% of Market)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University &amp; College Scholar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Enrolled University Scholar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26,061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24.2%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₹767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Mathematics, Physics, Chemistry, Peer Mentoring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Software Engineer &amp; IT Pro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Working Tech Professional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4,267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4.0%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₹1,051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98.5%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Python, Java, Web Dev, DSA, AI/ML, Databases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Medical &amp; Healthcare Pro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Doctor / MBBS / Clinician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1,862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1.7%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₹928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98.7%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NEET UG Biology, Human Physiology, Anatomy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Corporate Finance, CA &amp; Banking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Chartered Accountant / Banker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1,767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1.6%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₹1,099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Accountancy, Financial Mgmt, CA Foundation, Tax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Freelancer &amp; Solopreneur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Independent Consultant / Owner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994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0.9%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₹1,183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98.2%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Spoken English, Digital Skills, Business Consulting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Industry Consultant / Manager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Corporate Consultant / HR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834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0.8%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₹1,037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98.8%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SQL, Data Analytics, Soft Skills, Applied Maths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Core Industrial Engineer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Mech / Civil / Electrical Engg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642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0.6%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₹972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₹750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96.4%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Engineering Mechanics, AutoCAD, Applied Physics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Creative Arts, Design &amp; Media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Designer / Writer / Media Artist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423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₹906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₹700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98.1%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Creative Writing, English Fluency, Graphic Design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Legal &amp; Civil Services Aspirant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Lawyer / UPSC Aspirant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407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₹809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₹600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96.1%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Political Science, Constitutional Law, History</w:t>
            </w:r>
          </w:p>
        </w:tc>
      </w:tr>
      <w:tr>
        <w:tc>
          <w:tcPr>
            <w:tcW w:type="dxa" w:w="244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Homemaker &amp; Home Educator</w:t>
            </w:r>
          </w:p>
        </w:tc>
        <w:tc>
          <w:tcPr>
            <w:tcW w:type="dxa" w:w="136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Educated Homemaker</w:t>
            </w:r>
          </w:p>
        </w:tc>
        <w:tc>
          <w:tcPr>
            <w:tcW w:type="dxa" w:w="936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100</w:t>
            </w:r>
          </w:p>
        </w:tc>
        <w:tc>
          <w:tcPr>
            <w:tcW w:type="dxa" w:w="720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0.1%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₹582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₹400</w:t>
            </w:r>
          </w:p>
        </w:tc>
        <w:tc>
          <w:tcPr>
            <w:tcW w:type="dxa" w:w="792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96.0%</w:t>
            </w:r>
          </w:p>
        </w:tc>
        <w:tc>
          <w:tcPr>
            <w:tcW w:type="dxa" w:w="2088"/>
            <w:shd w:val="clear" w:color="auto" w:fill="F8FAFC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Early Childhood, Classes 1–5 All Subjects, Phonics</w:t>
            </w:r>
          </w:p>
        </w:tc>
      </w:tr>
      <w:tr>
        <w:tc>
          <w:tcPr>
            <w:tcW w:type="dxa" w:w="244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Student Tutor / Peer Mentor</w:t>
            </w:r>
          </w:p>
        </w:tc>
        <w:tc>
          <w:tcPr>
            <w:tcW w:type="dxa" w:w="136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Junior / High School Student</w:t>
            </w:r>
          </w:p>
        </w:tc>
        <w:tc>
          <w:tcPr>
            <w:tcW w:type="dxa" w:w="936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39</w:t>
            </w:r>
          </w:p>
        </w:tc>
        <w:tc>
          <w:tcPr>
            <w:tcW w:type="dxa" w:w="720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₹601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F766E"/>
                <w:sz w:val="15"/>
              </w:rPr>
              <w:t>₹438</w:t>
            </w:r>
          </w:p>
        </w:tc>
        <w:tc>
          <w:tcPr>
            <w:tcW w:type="dxa" w:w="792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5"/>
              </w:rPr>
              <w:t>94.9%</w:t>
            </w:r>
          </w:p>
        </w:tc>
        <w:tc>
          <w:tcPr>
            <w:tcW w:type="dxa" w:w="2088"/>
            <w:shd w:val="clear" w:color="auto" w:fill="FFFFFF"/>
            <w:tcMar>
              <w:top w:w="55" w:type="dxa"/>
              <w:bottom w:w="5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5"/>
              </w:rPr>
              <w:t>Peer-to-Peer Foundations, Junior Science &amp; Maths</w:t>
            </w:r>
          </w:p>
        </w:tc>
      </w:tr>
      <w:tr>
        <w:tc>
          <w:tcPr>
            <w:tcW w:type="dxa" w:w="244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Subtotal: Non-Teaching Day-Job Tutors</w:t>
            </w:r>
          </w:p>
        </w:tc>
        <w:tc>
          <w:tcPr>
            <w:tcW w:type="dxa" w:w="136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Side-Career / Part-Time</w:t>
            </w:r>
          </w:p>
        </w:tc>
        <w:tc>
          <w:tcPr>
            <w:tcW w:type="dxa" w:w="936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37,396</w:t>
            </w:r>
          </w:p>
        </w:tc>
        <w:tc>
          <w:tcPr>
            <w:tcW w:type="dxa" w:w="720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34.7%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₹849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₹625</w:t>
            </w:r>
          </w:p>
        </w:tc>
        <w:tc>
          <w:tcPr>
            <w:tcW w:type="dxa" w:w="792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065F46"/>
                <w:sz w:val="15"/>
              </w:rPr>
              <w:t>96.7%</w:t>
            </w:r>
          </w:p>
        </w:tc>
        <w:tc>
          <w:tcPr>
            <w:tcW w:type="dxa" w:w="2088"/>
            <w:shd w:val="clear" w:color="auto" w:fill="F0FDF4"/>
            <w:tcMar>
              <w:top w:w="65" w:type="dxa"/>
              <w:bottom w:w="65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065F46"/>
                <w:sz w:val="15"/>
              </w:rPr>
              <w:t>Applied Industry Skills, Science, Math &amp; Entrance Mentoring</w:t>
            </w:r>
          </w:p>
        </w:tc>
      </w:tr>
      <w:tr>
        <w:tc>
          <w:tcPr>
            <w:tcW w:type="dxa" w:w="244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National Total (All Verified Tutors)</w:t>
            </w:r>
          </w:p>
        </w:tc>
        <w:tc>
          <w:tcPr>
            <w:tcW w:type="dxa" w:w="136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All Verified Profiles</w:t>
            </w:r>
          </w:p>
        </w:tc>
        <w:tc>
          <w:tcPr>
            <w:tcW w:type="dxa" w:w="936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107,723</w:t>
            </w:r>
          </w:p>
        </w:tc>
        <w:tc>
          <w:tcPr>
            <w:tcW w:type="dxa" w:w="720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100.0%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₹859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₹650</w:t>
            </w:r>
          </w:p>
        </w:tc>
        <w:tc>
          <w:tcPr>
            <w:tcW w:type="dxa" w:w="792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95.7%</w:t>
            </w:r>
          </w:p>
        </w:tc>
        <w:tc>
          <w:tcPr>
            <w:tcW w:type="dxa" w:w="2088"/>
            <w:shd w:val="clear" w:color="auto" w:fill="0F172A"/>
            <w:tcMar>
              <w:top w:w="70" w:type="dxa"/>
              <w:bottom w:w="7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Complete Pan-India Tutoring Ecosystem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Takeaway: Over 26,000 tutors are college students, and over 4,200 are IT professionals teaching coding on weekends.</w:t>
      </w: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8. All-India Geographic Distribution: State &amp; District Deep-Dive</w:t>
      </w:r>
    </w:p>
    <w:p>
      <w:pPr>
        <w:spacing w:after="160"/>
      </w:pPr>
      <w:r>
        <w:t>Tutors are concentrated in southern and western states and major metro cities. Below is the state map, followed by the state rankings and district directory.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4068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a_all_states_labeled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406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64748B"/>
          <w:sz w:val="17"/>
        </w:rPr>
        <w:t>Figure 7: Map of India — State-Wise Distribution of Verified Private Tutors (N = 107,723)</w:t>
      </w:r>
    </w:p>
    <w:p>
      <w:pPr>
        <w:pStyle w:val="Heading2"/>
      </w:pPr>
      <w:r>
        <w:rPr>
          <w:b/>
          <w:color w:val="1E293B"/>
          <w:sz w:val="23"/>
        </w:rPr>
        <w:t>Table 8A: All 28 Indian States Ranked by Educator Volume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864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Rank</w:t>
            </w:r>
          </w:p>
        </w:tc>
        <w:tc>
          <w:tcPr>
            <w:tcW w:type="dxa" w:w="3168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State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Zone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Share (%)</w:t>
            </w:r>
          </w:p>
        </w:tc>
        <w:tc>
          <w:tcPr>
            <w:tcW w:type="dxa" w:w="1440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Avg Fee (₹/hr)</w:t>
            </w:r>
          </w:p>
        </w:tc>
        <w:tc>
          <w:tcPr>
            <w:tcW w:type="dxa" w:w="1296"/>
            <w:shd w:val="clear" w:color="auto" w:fill="1E293B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6"/>
              </w:rPr>
              <w:t>Online (%)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Tamil Nadu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16,811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15.61%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97.2%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Kerala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14,337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13.31%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₹582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Maharashtra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9,550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8.87%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₹1039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Karnataka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9,300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8.63%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₹903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97.8%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8,114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7.53%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₹978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Telangana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7,810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7.25%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₹943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West Bengal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7,026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6.52%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₹921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Haryana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3,228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₹1026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Andhra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South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2,894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2.69%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₹855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98.4%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Rajasthan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2,479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2.30%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₹968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97.1%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Punjab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2,412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2.24%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₹890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Gujarat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2,122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1.97%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₹981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Madhya Pradesh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1,839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1.71%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₹941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98.0%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Odisha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1,776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1.65%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₹848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92.6%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Bihar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1,557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1.45%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₹857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96.9%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Uttarakhand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1,470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1.36%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₹991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Jharkhand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948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0.88%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Assam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795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0.74%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₹774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93.5%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19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Chhattisgarh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Central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526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0.49%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₹884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97.3%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Himachal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North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498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0.46%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₹839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99.0%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21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Goa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West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170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0.16%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₹946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96.5%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22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Tripura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66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0.06%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₹759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95.5%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Meghalaya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0.04%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₹1063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95.3%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Manipur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36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0.03%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₹621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94.4%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25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Nagaland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₹750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26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Sikkim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0.02%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₹730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94.7%</w:t>
            </w:r>
          </w:p>
        </w:tc>
      </w:tr>
      <w:tr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27</w:t>
            </w:r>
          </w:p>
        </w:tc>
        <w:tc>
          <w:tcPr>
            <w:tcW w:type="dxa" w:w="3168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Mizoram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0.01%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₹813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  <w:tr>
        <w:tc>
          <w:tcPr>
            <w:tcW w:type="dxa" w:w="864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sz w:val="15"/>
              </w:rPr>
              <w:t>28</w:t>
            </w:r>
          </w:p>
        </w:tc>
        <w:tc>
          <w:tcPr>
            <w:tcW w:type="dxa" w:w="3168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sz w:val="15"/>
              </w:rPr>
              <w:t>Arunachal Pradesh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sz w:val="15"/>
              </w:rPr>
              <w:t>East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0.00%</w:t>
            </w:r>
          </w:p>
        </w:tc>
        <w:tc>
          <w:tcPr>
            <w:tcW w:type="dxa" w:w="1440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₹2667</w:t>
            </w:r>
          </w:p>
        </w:tc>
        <w:tc>
          <w:tcPr>
            <w:tcW w:type="dxa" w:w="1296"/>
            <w:shd w:val="clear" w:color="auto"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sz w:val="15"/>
              </w:rPr>
              <w:t>100.0%</w:t>
            </w:r>
          </w:p>
        </w:tc>
      </w:tr>
    </w:tbl>
    <w:p>
      <w:pPr>
        <w:spacing w:before="120" w:after="240"/>
      </w:pPr>
      <w:r>
        <w:rPr>
          <w:i/>
          <w:color w:val="64748B"/>
          <w:sz w:val="17"/>
        </w:rPr>
        <w:t>Note on Union Territories: Per administrative classification, India's 8 Union Territories are disaggregated from the 28 full states above. Their verified educator counts are: Delhi (8,600 tutors), Chandigarh (1,066), Jammu &amp; Kashmir (408), Puducherry (360), Andaman &amp; Nicobar Islands (24), Dadra &amp; Nagar Haveli and Daman &amp; Diu (22), Lakshadweep (3), and Ladakh (0 registered digital profiles).</w:t>
      </w:r>
    </w:p>
    <w:p>
      <w:r>
        <w:br w:type="page"/>
      </w:r>
    </w:p>
    <w:p>
      <w:pPr>
        <w:pStyle w:val="Heading2"/>
      </w:pPr>
      <w:r>
        <w:rPr>
          <w:b/>
          <w:color w:val="1E293B"/>
          <w:sz w:val="24"/>
        </w:rPr>
        <w:t>Table 8B: Complete All-India District-Wise Directory (440 Active Tutoring Districts)</w:t>
      </w:r>
    </w:p>
    <w:p>
      <w:pPr>
        <w:spacing w:after="120"/>
      </w:pPr>
      <w:r>
        <w:t>This directory lists all 440 active tutoring districts in India, ranked by total tutor count.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3" w:space="0" w:color="CBD5E1"/>
          <w:left w:val="single" w:sz="3" w:space="0" w:color="CBD5E1"/>
          <w:bottom w:val="single" w:sz="3" w:space="0" w:color="CBD5E1"/>
          <w:right w:val="single" w:sz="3" w:space="0" w:color="CBD5E1"/>
          <w:insideH w:val="single" w:sz="3" w:space="0" w:color="CBD5E1"/>
          <w:insideV w:val="single" w:sz="3" w:space="0" w:color="CBD5E1"/>
        </w:tblBorders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720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Rank</w:t>
            </w:r>
          </w:p>
        </w:tc>
        <w:tc>
          <w:tcPr>
            <w:tcW w:type="dxa" w:w="2736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District / Hub</w:t>
            </w:r>
          </w:p>
        </w:tc>
        <w:tc>
          <w:tcPr>
            <w:tcW w:type="dxa" w:w="2448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State / Territory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Tutors (N)</w:t>
            </w:r>
          </w:p>
        </w:tc>
        <w:tc>
          <w:tcPr>
            <w:tcW w:type="dxa" w:w="1152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Avg Fee (₹/hr)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Female (%)</w:t>
            </w:r>
          </w:p>
        </w:tc>
        <w:tc>
          <w:tcPr>
            <w:tcW w:type="dxa" w:w="864"/>
            <w:shd w:val="clear" w:color="auto"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right"/>
            </w:pPr>
            <w:r>
              <w:rPr>
                <w:b/>
                <w:color w:val="FFFFFF"/>
                <w:sz w:val="15"/>
              </w:rPr>
              <w:t>Male (%)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Chennai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12,407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Delhi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Delhi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8,600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Bangalore Urban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8,398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Ernakulam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6,011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Kolkata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5,783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Lucknow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4,915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Greater Bombay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4,829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Hyderabad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4,424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Rangareddi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2,853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2,383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2,145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1,932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Thiruvananthapuram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1,834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1,637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Coimbatore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1,596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1,419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Amritsar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Almora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1,352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Kottayam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1,317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Thrissur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1,124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Chandigarh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Chandigarh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1,065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Kozhikode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1,058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Malappuram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Anuppur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Barpeta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Kollam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Madurai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Bokaro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24 Parganas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Indore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Alappuzha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Agra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Salem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Ludhiana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Vadodara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Puducherry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Varanasi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 Dehat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Erode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Tirunelveli Kattabo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Barddhaman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Ranchi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Mysore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Meerut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Jalandhar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Guntur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Nashik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Kasaragod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North Goa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Goa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Jammu and Kashmir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Cuttack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Thanjavur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Hugli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Patiala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Warangal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Darjiling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Jodhpur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Thoothukudi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Kota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Gorakhpur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Panchkula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Gandhinagar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Gwalior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Bareilly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Bilaspur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Udaipur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Dindigul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Wayanad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Idukki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Nellore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South 24 Parganas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Saharanpur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Hisar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Cuddalore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Haridwar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Dharwad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Udupi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Moradabad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Medak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Kurnool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Dhanbad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Panipat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Ajmer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Theni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Namakkal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Kolhapur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Kurukshetra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Belgaum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Palakkad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Kerala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Khammam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Dhalai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Tripura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Ramanathapuram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Mathura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Nizamabad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Bhagalpur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Hoshiarpur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Bathinda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Muzaffarnagar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Vizianagaram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Yamuna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₹799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Gulbarga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Villupuram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Virudhunagar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Ganganagar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Sikar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Tiruvannamalai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Darbhanga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₹785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Mahbubnagar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Amravati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Pudukkottai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Srikakulam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Solapur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Garo Hills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Meghalaya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Thiruvarur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Mau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Nanded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Dharmapuri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Kolar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Ahmednagar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Nalgonda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₹821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Azamgarh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Bhiwani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Jhansi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Kangra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Chittoor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Tumkur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Sangrur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Balrampur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43.2%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56.8%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Sangli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Bhilwara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Bikaner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Bijnor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Bhavnagar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Bellary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Rupnagar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Bulandshahr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Shahjahanpur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Jhunjhunun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Hazaribag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Ujjain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Sambalpur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Sivaganga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Adilabad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Telangana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Ghazipur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32.1%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67.9%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₹1152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Raichur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₹1304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59.3%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Maldah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Sitamarhi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Davanagere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Jaunpur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 Kheri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Dibrugarh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Akola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48.0%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Perambalur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&amp; Nicobar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Andaman Islands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Andaman and Nicobar Islands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199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Jorhat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Begusarai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79.2%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Jind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Etawah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Rewa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₹1184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34.8%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65.2%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39.1%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Durg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Jhajjar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Bagalkot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Navsari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₹931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Faridkot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Gurdaspur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₹873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Firozabad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Murshidabad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Kaithal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₹1163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Satna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Bahraich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Siwan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Hassan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Moga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Bharatpur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89.5%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Sikkim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78.9%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21.1%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Dadra and Nagar Haveli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Dhule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Dimapur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Basti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27.8%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72.2%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Farrukhabad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Jalpaiguri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Karimganj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82.4%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Gopalganj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Giridih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Bhopal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₹998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29.4%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Parbhani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Bishnupur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East Imphal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Nagapattinam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94.1%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Sultanpur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Madhubani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Valsad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Mandya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Tonk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₹1199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Hardoi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18.8%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81.2%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Pratapgarh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Kishanganj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Karaikal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Ratlam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Chandrapur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Ratnagiri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Dhenkanal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35.7%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64.3%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Hanumangarh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₹698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Sitapur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Nalbari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Tinsukia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Katihar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15.4%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84.6%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Saharsa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23.1%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76.9%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Samastipur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Junagadh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61.5%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38.5%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Seoni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Rayagada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46.2%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53.8%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69.2%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Munger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41.7%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58.3%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Chhindwara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Mandsaur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Jharsuguda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Muktsar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Nagaur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Baghpat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Ballia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₹972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Faizabad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Pithoragarh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Bongaigaon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₹1267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Porbandar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Gadag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Chhatarpur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36.4%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63.6%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Dewas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Yavatmal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54.5%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45.5%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Shivpuri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Vidisha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₹893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Kendrapara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Sundargarh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Ariyalur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Tamil Nadu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Kushinagar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Mirzapur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Nalanda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299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Betul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Buldana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₹918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Koraput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Banswara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44.4%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55.6%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Dausa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₹594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Gonda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22.2%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77.8%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Nadia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9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₹1085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Goalpara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Buxar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Jamui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Amreli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Godda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Koderma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Koppal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Morena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₹981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Shajapur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Kohima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Nagaland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Keonjhar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₹543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Kapurthala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Ambedkar Nagar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₹640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Etah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37.5%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62.5%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Kaushambi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12.5%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87.5%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Golaghat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Rohtas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Chitradurga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Hoshangabad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Neemuch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₹1449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Shahdol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₹1613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14.3%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85.7%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Aizawl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Mizoram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₹812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Fatehgarh Sahib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Punjab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Jaisalmer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Maharajganj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Rampur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Pauri Garhwal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71.4%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28.6%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Birbhum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West Bengal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57.1%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42.9%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Krishna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Andhra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Patan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Kullu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Himachal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₹1037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Haveri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Karnataka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Burhanpur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₹1070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Datia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Raisen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Osmanabad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Bhadrak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Jagatsinghpur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₹730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Dungarpur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Auraiya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Hathras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349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₹579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Pilibhit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₹623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Unnao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Kokrajhar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₹431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Supaul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Dahod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₹1090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Dumka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Ashoknagar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₹454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Bhandara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Nayagarh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359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Sawai Madhopur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Allahabad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Chitrakoot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80.0%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Dadra and Nagar Haveli and Daman and Diu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Harda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Narsinghpur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₹1008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Rajgarh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Sehore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Nandurbar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Kalahandi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₹943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369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Yanam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Puducherry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₹1875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Barmer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₹1275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Bundi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Jhalawar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Karauli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₹451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Rajsamand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₹587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Chandauli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₹4625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25.0%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75.0%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Kannauj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4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Changlang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Arunachal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₹2666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Dhemaji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379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Lakhimpur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Bhabua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Madhepura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Dhamtari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Korba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Garhwa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₹833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Gumla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Jamtara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Pakur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₹887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Kavaratti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Lakshadweep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389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Balaghat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Damoh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₹237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Mandla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₹900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Panna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Sonepur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₹774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Baran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₹416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Jalor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₹616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Sirohi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Rajasthan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Jalaun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Sant Kabir 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33.3%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66.7%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399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₹633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Uttarkashi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3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₹883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Hailakandi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Assam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₹800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Sheikhpura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Vaishali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Dantewada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Kanker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₹325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Kawardha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Narmada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₹2262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Surendranagar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409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Palamu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Sahibganj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Sidhi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Tikamgarh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Hingoli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₹662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Washim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Maharashtra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₹1100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Churachandpur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Manipur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Deogarh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₹762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Nuapada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₹700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Hamirpur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419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Lalitpur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Mahoba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50.0%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Mainpuri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2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₹312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Bhojpur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₹1000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Lakhisarai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Sheohar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Bihar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Jashpur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Mahasamund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Chhattisgarh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₹425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Kheda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Gujarat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Gurgaon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Haryana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429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Latehar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Lohardaga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Jharkhand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431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Barwani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432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Bhind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₹550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433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Dhar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₹375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434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Dindori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₹500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435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Jhabua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436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Umaria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Madhya Pradesh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₹1400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437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Ganjam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₹650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438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Malkangiri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Odisha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₹400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439</w:t>
            </w:r>
          </w:p>
        </w:tc>
        <w:tc>
          <w:tcPr>
            <w:tcW w:type="dxa" w:w="2736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Bageshwar</w:t>
            </w:r>
          </w:p>
        </w:tc>
        <w:tc>
          <w:tcPr>
            <w:tcW w:type="dxa" w:w="2448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₹200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  <w:tc>
          <w:tcPr>
            <w:tcW w:type="dxa" w:w="864"/>
            <w:shd w:val="clear" w:color="auto" w:fill="FFFFFF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</w:tr>
      <w:tr>
        <w:tc>
          <w:tcPr>
            <w:tcW w:type="dxa" w:w="720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sz w:val="14"/>
              </w:rPr>
              <w:t>440</w:t>
            </w:r>
          </w:p>
        </w:tc>
        <w:tc>
          <w:tcPr>
            <w:tcW w:type="dxa" w:w="2736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b/>
                <w:sz w:val="14"/>
              </w:rPr>
              <w:t>Champawat</w:t>
            </w:r>
          </w:p>
        </w:tc>
        <w:tc>
          <w:tcPr>
            <w:tcW w:type="dxa" w:w="2448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sz w:val="14"/>
              </w:rPr>
              <w:t>Uttarakhand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</w:t>
            </w:r>
          </w:p>
        </w:tc>
        <w:tc>
          <w:tcPr>
            <w:tcW w:type="dxa" w:w="1152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—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100.0%</w:t>
            </w:r>
          </w:p>
        </w:tc>
        <w:tc>
          <w:tcPr>
            <w:tcW w:type="dxa" w:w="864"/>
            <w:shd w:val="clear" w:color="auto" w:fill="F8FAFC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right"/>
            </w:pPr>
            <w:r>
              <w:rPr>
                <w:sz w:val="14"/>
              </w:rPr>
              <w:t>0.0%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</w:pPr>
      <w:r>
        <w:rPr>
          <w:rFonts w:ascii="Arial" w:hAnsi="Arial"/>
          <w:color w:val="0F172A"/>
          <w:sz w:val="28"/>
        </w:rPr>
        <w:t>9. Data Quality &amp; Outlier Handling Notes</w:t>
      </w:r>
    </w:p>
    <w:p>
      <w:pPr>
        <w:spacing w:after="120"/>
      </w:pPr>
      <w:r>
        <w:t>Key data cleaning steps applied to the dataset:</w:t>
        <w:br/>
        <w:t>• Fixed form typos in experience (e.g. users accidentally selecting 70 years).</w:t>
        <w:br/>
        <w:t>• Removed dummy fee placeholders (like ₹99,999,999 entered for 'negotiable fee') to reflect realistic tuition rates (₹50–₹5,000/hr).</w:t>
        <w:br/>
        <w:t>• Removed duplicate subject entries, leaving 327,720 clean subject links.</w:t>
        <w:br/>
        <w:t>• Cleaned phone numbers and emails accidentally written in name fields.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Relationship Id="rId12" Type="http://schemas.openxmlformats.org/officeDocument/2006/relationships/chart" Target="charts/chart4.xml"/><Relationship Id="rId13" Type="http://schemas.openxmlformats.org/officeDocument/2006/relationships/chart" Target="charts/chart5.xml"/><Relationship Id="rId14" Type="http://schemas.openxmlformats.org/officeDocument/2006/relationships/chart" Target="charts/chart6.xml"/><Relationship Id="rId15" Type="http://schemas.openxmlformats.org/officeDocument/2006/relationships/chart" Target="charts/chart7.xml"/><Relationship Id="rId16" Type="http://schemas.openxmlformats.org/officeDocument/2006/relationships/chart" Target="charts/chart8.xml"/><Relationship Id="rId17" Type="http://schemas.openxmlformats.org/officeDocument/2006/relationships/chart" Target="charts/chart9.xml"/><Relationship Id="rId18" Type="http://schemas.openxmlformats.org/officeDocument/2006/relationships/chart" Target="charts/chart10.xml"/><Relationship Id="rId19" Type="http://schemas.openxmlformats.org/officeDocument/2006/relationships/image" Target="media/image1.png"/></Relationships>
</file>

<file path=word/charts/_rels/chart1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.xlsx"/></Relationships>
</file>

<file path=word/charts/_rels/chart2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2.xlsx"/></Relationships>
</file>

<file path=word/charts/_rels/chart3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3.xlsx"/></Relationships>
</file>

<file path=word/charts/_rels/chart4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4.xlsx"/></Relationships>
</file>

<file path=word/charts/_rels/chart5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5.xlsx"/></Relationships>
</file>

<file path=word/charts/_rels/chart6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6.xlsx"/></Relationships>
</file>

<file path=word/charts/_rels/chart7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7.xlsx"/></Relationships>
</file>

<file path=word/charts/_rels/chart8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8.xlsx"/></Relationships>
</file>

<file path=word/charts/_rels/chart9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9.xlsx"/></Relationships>
</file>

<file path=word/charts/_rels/chart10.xml.rels><?xml version='1.0' encoding='UTF-8' standalone='yes'?>
<Relationships xmlns="http://schemas.openxmlformats.org/package/2006/relationships"><Relationship Id="rId1" Type="http://schemas.openxmlformats.org/officeDocument/2006/relationships/package" Target="../embeddings/Microsoft_Excel_Worksheet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1: Highest Qualifications of Tutors (N = 107,723)</a:t>
            </a:r>
          </a:p>
        </c:rich>
      </c:tx>
      <c:layout/>
      <c:overlay val="0"/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cat>
            <c:strRef>
              <c:f>Sheet1!$A$2:$A$6</c:f>
              <c:strCache>
                <c:ptCount val="5"/>
                <c:pt idx="0">
                  <c:v>Undergraduate (UG)</c:v>
                </c:pt>
                <c:pt idx="1">
                  <c:v>Postgraduate (PG)</c:v>
                </c:pt>
                <c:pt idx="2">
                  <c:v>Less than UG</c:v>
                </c:pt>
                <c:pt idx="3">
                  <c:v>Advanced (PhD)</c:v>
                </c:pt>
                <c:pt idx="4">
                  <c:v>Not Specified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61595</c:v>
                </c:pt>
                <c:pt idx="1">
                  <c:v>32391</c:v>
                </c:pt>
                <c:pt idx="2">
                  <c:v>7567</c:v>
                </c:pt>
                <c:pt idx="3">
                  <c:v>4532</c:v>
                </c:pt>
                <c:pt idx="4">
                  <c:v>1638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1"/>
          <c:showBubbleSize val="0"/>
        </c:dLbls>
        <c:firstSliceAng val="0"/>
      </c:pieChart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2: Gender Distribution of Registered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Sheet1!$A$2:$A$4</c:f>
              <c:strCache>
                <c:ptCount val="3"/>
                <c:pt idx="0">
                  <c:v>Female Tutors</c:v>
                </c:pt>
                <c:pt idx="1">
                  <c:v>Male Tutors</c:v>
                </c:pt>
                <c:pt idx="2">
                  <c:v>Not Specified</c:v>
                </c:pt>
              </c:strCache>
            </c:strRef>
          </c:cat>
          <c:val>
            <c:numRef>
              <c:f>Sheet1!$B$2:$B$4</c:f>
              <c:numCache>
                <c:formatCode>#,##0</c:formatCode>
                <c:ptCount val="3"/>
                <c:pt idx="0">
                  <c:v>62470</c:v>
                </c:pt>
                <c:pt idx="1">
                  <c:v>43967</c:v>
                </c:pt>
                <c:pt idx="2">
                  <c:v>1286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21"/>
        <c:axId val="100022"/>
      </c:barChart>
      <c:catAx>
        <c:axId val="10002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Gender Category</a:t>
                </a:r>
              </a:p>
            </c:rich>
          </c:tx>
          <c:layout/>
          <c:overlay val="0"/>
        </c:title>
        <c:tickLblPos val="nextTo"/>
        <c:crossAx val="100022"/>
        <c:crosses val="autoZero"/>
        <c:auto val="1"/>
        <c:lblAlgn val="ctr"/>
        <c:lblOffset val="100"/>
      </c:catAx>
      <c:valAx>
        <c:axId val="10002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2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3A: Broad Subject Streams Offered in India (N = 327,720)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Science &amp; Math</c:v>
                </c:pt>
                <c:pt idx="1">
                  <c:v>Languages</c:v>
                </c:pt>
                <c:pt idx="2">
                  <c:v>Coding &amp; Tech</c:v>
                </c:pt>
                <c:pt idx="3">
                  <c:v>Extracurricular</c:v>
                </c:pt>
                <c:pt idx="4">
                  <c:v>Arts &amp; Humanities</c:v>
                </c:pt>
                <c:pt idx="5">
                  <c:v>Commerce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184307</c:v>
                </c:pt>
                <c:pt idx="1">
                  <c:v>58253</c:v>
                </c:pt>
                <c:pt idx="2">
                  <c:v>37778</c:v>
                </c:pt>
                <c:pt idx="3">
                  <c:v>16312</c:v>
                </c:pt>
                <c:pt idx="4">
                  <c:v>15991</c:v>
                </c:pt>
                <c:pt idx="5">
                  <c:v>15079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31"/>
        <c:axId val="100032"/>
      </c:barChart>
      <c:catAx>
        <c:axId val="10003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Academic Discipline Stream</a:t>
                </a:r>
              </a:p>
            </c:rich>
          </c:tx>
          <c:layout/>
          <c:overlay val="0"/>
        </c:title>
        <c:tickLblPos val="nextTo"/>
        <c:crossAx val="100032"/>
        <c:crosses val="autoZero"/>
        <c:auto val="1"/>
        <c:lblAlgn val="ctr"/>
        <c:lblOffset val="100"/>
      </c:catAx>
      <c:valAx>
        <c:axId val="10003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3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3B: Top 10 Most Popular Individual Subjects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Offerings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Mathematics</c:v>
                </c:pt>
                <c:pt idx="1">
                  <c:v>English</c:v>
                </c:pt>
                <c:pt idx="2">
                  <c:v>Science</c:v>
                </c:pt>
                <c:pt idx="3">
                  <c:v>Physics</c:v>
                </c:pt>
                <c:pt idx="4">
                  <c:v>Biology</c:v>
                </c:pt>
                <c:pt idx="5">
                  <c:v>Chemistry</c:v>
                </c:pt>
                <c:pt idx="6">
                  <c:v>Hindi</c:v>
                </c:pt>
                <c:pt idx="7">
                  <c:v>Computer Science</c:v>
                </c:pt>
                <c:pt idx="8">
                  <c:v>Business Studies</c:v>
                </c:pt>
                <c:pt idx="9">
                  <c:v>Tamil</c:v>
                </c:pt>
              </c:strCache>
            </c:strRef>
          </c:cat>
          <c:val>
            <c:numRef>
              <c:f>Sheet1!$B$2:$B$11</c:f>
              <c:numCache>
                <c:formatCode>#,##0</c:formatCode>
                <c:ptCount val="10"/>
                <c:pt idx="0">
                  <c:v>41986</c:v>
                </c:pt>
                <c:pt idx="1">
                  <c:v>26646</c:v>
                </c:pt>
                <c:pt idx="2">
                  <c:v>24641</c:v>
                </c:pt>
                <c:pt idx="3">
                  <c:v>16978</c:v>
                </c:pt>
                <c:pt idx="4">
                  <c:v>12738</c:v>
                </c:pt>
                <c:pt idx="5">
                  <c:v>10851</c:v>
                </c:pt>
                <c:pt idx="6">
                  <c:v>10157</c:v>
                </c:pt>
                <c:pt idx="7">
                  <c:v>6475</c:v>
                </c:pt>
                <c:pt idx="8">
                  <c:v>4820</c:v>
                </c:pt>
                <c:pt idx="9">
                  <c:v>4454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41"/>
        <c:axId val="100042"/>
      </c:barChart>
      <c:catAx>
        <c:axId val="10004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Name</a:t>
                </a:r>
              </a:p>
            </c:rich>
          </c:tx>
          <c:layout/>
          <c:overlay val="0"/>
        </c:title>
        <c:tickLblPos val="nextTo"/>
        <c:crossAx val="100042"/>
        <c:crosses val="autoZero"/>
        <c:auto val="1"/>
        <c:lblAlgn val="ctr"/>
        <c:lblOffset val="100"/>
      </c:catAx>
      <c:valAx>
        <c:axId val="10004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Total Course Offerings</a:t>
                </a:r>
              </a:p>
            </c:rich>
          </c:tx>
          <c:layout/>
          <c:overlay val="0"/>
        </c:title>
        <c:tickLblPos val="nextTo"/>
        <c:crossAx val="10004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3C: Teaching Overlap — Core School Trio (N = 58,046 Tutors)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Sheet1!$A$2:$A$8</c:f>
              <c:strCache>
                <c:ptCount val="7"/>
                <c:pt idx="0">
                  <c:v>Math Only</c:v>
                </c:pt>
                <c:pt idx="1">
                  <c:v>English Only</c:v>
                </c:pt>
                <c:pt idx="2">
                  <c:v>Science Only</c:v>
                </c:pt>
                <c:pt idx="3">
                  <c:v>Math + Science</c:v>
                </c:pt>
                <c:pt idx="4">
                  <c:v>Math + English</c:v>
                </c:pt>
                <c:pt idx="5">
                  <c:v>Science + English</c:v>
                </c:pt>
                <c:pt idx="6">
                  <c:v>All 3 Subjects (Trio)</c:v>
                </c:pt>
              </c:strCache>
            </c:strRef>
          </c:cat>
          <c:val>
            <c:numRef>
              <c:f>Sheet1!$B$2:$B$8</c:f>
              <c:numCache>
                <c:formatCode>#,##0</c:formatCode>
                <c:ptCount val="7"/>
                <c:pt idx="0">
                  <c:v>19326</c:v>
                </c:pt>
                <c:pt idx="1">
                  <c:v>10170</c:v>
                </c:pt>
                <c:pt idx="2">
                  <c:v>6926</c:v>
                </c:pt>
                <c:pt idx="3">
                  <c:v>7403</c:v>
                </c:pt>
                <c:pt idx="4">
                  <c:v>5323</c:v>
                </c:pt>
                <c:pt idx="5">
                  <c:v>3387</c:v>
                </c:pt>
                <c:pt idx="6">
                  <c:v>5511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51"/>
        <c:axId val="100052"/>
      </c:barChart>
      <c:catAx>
        <c:axId val="10005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Combination</a:t>
                </a:r>
              </a:p>
            </c:rich>
          </c:tx>
          <c:layout/>
          <c:overlay val="0"/>
        </c:title>
        <c:tickLblPos val="nextTo"/>
        <c:crossAx val="100052"/>
        <c:crosses val="autoZero"/>
        <c:auto val="1"/>
        <c:lblAlgn val="ctr"/>
        <c:lblOffset val="100"/>
      </c:catAx>
      <c:valAx>
        <c:axId val="10005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5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3D: Teaching Overlap — Senior Science &amp; Math Trio: Physics, Chemistry &amp; Math (N = 46,937 Tutors)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Sheet1!$A$2:$A$8</c:f>
              <c:strCache>
                <c:ptCount val="7"/>
                <c:pt idx="0">
                  <c:v>Math Only</c:v>
                </c:pt>
                <c:pt idx="1">
                  <c:v>Math + Physics</c:v>
                </c:pt>
                <c:pt idx="2">
                  <c:v>Physics Only</c:v>
                </c:pt>
                <c:pt idx="3">
                  <c:v>Chemistry Only</c:v>
                </c:pt>
                <c:pt idx="4">
                  <c:v>All 3 (Physics + Chemistry + Math)</c:v>
                </c:pt>
                <c:pt idx="5">
                  <c:v>Physics + Chem</c:v>
                </c:pt>
                <c:pt idx="6">
                  <c:v>Math + Chem</c:v>
                </c:pt>
              </c:strCache>
            </c:strRef>
          </c:cat>
          <c:val>
            <c:numRef>
              <c:f>Sheet1!$B$2:$B$8</c:f>
              <c:numCache>
                <c:formatCode>#,##0</c:formatCode>
                <c:ptCount val="7"/>
                <c:pt idx="0">
                  <c:v>27343</c:v>
                </c:pt>
                <c:pt idx="1">
                  <c:v>6139</c:v>
                </c:pt>
                <c:pt idx="2">
                  <c:v>4139</c:v>
                </c:pt>
                <c:pt idx="3">
                  <c:v>3690</c:v>
                </c:pt>
                <c:pt idx="4">
                  <c:v>2906</c:v>
                </c:pt>
                <c:pt idx="5">
                  <c:v>1545</c:v>
                </c:pt>
                <c:pt idx="6">
                  <c:v>1175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61"/>
        <c:axId val="100062"/>
      </c:barChart>
      <c:catAx>
        <c:axId val="10006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Subject Combination</a:t>
                </a:r>
              </a:p>
            </c:rich>
          </c:tx>
          <c:layout/>
          <c:overlay val="0"/>
        </c:title>
        <c:tickLblPos val="nextTo"/>
        <c:crossAx val="100062"/>
        <c:crosses val="autoZero"/>
        <c:auto val="1"/>
        <c:lblAlgn val="ctr"/>
        <c:lblOffset val="100"/>
      </c:catAx>
      <c:valAx>
        <c:axId val="10006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6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3E: Subject Teaching Breadth Across Top 5 Subjects (N = 65,077 Tutors)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Sheet1!$A$2:$A$6</c:f>
              <c:strCache>
                <c:ptCount val="5"/>
                <c:pt idx="0">
                  <c:v>1 Subject</c:v>
                </c:pt>
                <c:pt idx="1">
                  <c:v>2 Subjects</c:v>
                </c:pt>
                <c:pt idx="2">
                  <c:v>3 Subjects</c:v>
                </c:pt>
                <c:pt idx="3">
                  <c:v>4 Subjects</c:v>
                </c:pt>
                <c:pt idx="4">
                  <c:v>All 5 Subjects</c:v>
                </c:pt>
              </c:strCache>
            </c:strRef>
          </c:cat>
          <c:val>
            <c:numRef>
              <c:f>Sheet1!$B$2:$B$6</c:f>
              <c:numCache>
                <c:formatCode>#,##0</c:formatCode>
                <c:ptCount val="5"/>
                <c:pt idx="0">
                  <c:v>33998</c:v>
                </c:pt>
                <c:pt idx="1">
                  <c:v>19818</c:v>
                </c:pt>
                <c:pt idx="2">
                  <c:v>9631</c:v>
                </c:pt>
                <c:pt idx="3">
                  <c:v>1451</c:v>
                </c:pt>
                <c:pt idx="4">
                  <c:v>179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71"/>
        <c:axId val="100072"/>
      </c:barChart>
      <c:catAx>
        <c:axId val="10007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Subjects Taught (Breadth)</a:t>
                </a:r>
              </a:p>
            </c:rich>
          </c:tx>
          <c:layout/>
          <c:overlay val="0"/>
        </c:title>
        <c:tickLblPos val="nextTo"/>
        <c:crossAx val="100072"/>
        <c:crosses val="autoZero"/>
        <c:auto val="1"/>
        <c:lblAlgn val="ctr"/>
        <c:lblOffset val="100"/>
      </c:catAx>
      <c:valAx>
        <c:axId val="10007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7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4: Distribution of Teaching Experience Across Tutors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Tutors</c:v>
                </c:pt>
              </c:strCache>
            </c:strRef>
          </c:tx>
          <c:invertIfNegative val="0"/>
          <c:cat>
            <c:strRef>
              <c:f>Sheet1!$A$2:$A$7</c:f>
              <c:strCache>
                <c:ptCount val="6"/>
                <c:pt idx="0">
                  <c:v>0 - 1 Yrs</c:v>
                </c:pt>
                <c:pt idx="1">
                  <c:v>2 - 4 Yrs</c:v>
                </c:pt>
                <c:pt idx="2">
                  <c:v>5 - 9 Yrs</c:v>
                </c:pt>
                <c:pt idx="3">
                  <c:v>10 - 14 Yrs</c:v>
                </c:pt>
                <c:pt idx="4">
                  <c:v>15 - 19 Yrs</c:v>
                </c:pt>
                <c:pt idx="5">
                  <c:v>20+ Yrs</c:v>
                </c:pt>
              </c:strCache>
            </c:strRef>
          </c:cat>
          <c:val>
            <c:numRef>
              <c:f>Sheet1!$B$2:$B$7</c:f>
              <c:numCache>
                <c:formatCode>#,##0</c:formatCode>
                <c:ptCount val="6"/>
                <c:pt idx="0">
                  <c:v>26867</c:v>
                </c:pt>
                <c:pt idx="1">
                  <c:v>33694</c:v>
                </c:pt>
                <c:pt idx="2">
                  <c:v>24948</c:v>
                </c:pt>
                <c:pt idx="3">
                  <c:v>11109</c:v>
                </c:pt>
                <c:pt idx="4">
                  <c:v>5015</c:v>
                </c:pt>
                <c:pt idx="5">
                  <c:v>6090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81"/>
        <c:axId val="100082"/>
      </c:barChart>
      <c:catAx>
        <c:axId val="10008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Years of Teaching Experience</a:t>
                </a:r>
              </a:p>
            </c:rich>
          </c:tx>
          <c:layout/>
          <c:overlay val="0"/>
        </c:title>
        <c:tickLblPos val="nextTo"/>
        <c:crossAx val="100082"/>
        <c:crosses val="autoZero"/>
        <c:auto val="1"/>
        <c:lblAlgn val="ctr"/>
        <c:lblOffset val="100"/>
      </c:catAx>
      <c:valAx>
        <c:axId val="10008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08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5: Average Hourly Tuition Rates in Top 10 Indian States (₹/hr)</a:t>
            </a:r>
          </a:p>
        </c:rich>
      </c:tx>
      <c:layout/>
      <c:overlay val="0"/>
    </c:title>
    <c:autoTitleDeleted val="0"/>
    <c:plotArea>
      <c:layout/>
      <c:barChart>
        <c:barDir val="col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Avg Fee (₹/hr)</c:v>
                </c:pt>
              </c:strCache>
            </c:strRef>
          </c:tx>
          <c:invertIfNegative val="0"/>
          <c:cat>
            <c:strRef>
              <c:f>Sheet1!$A$2:$A$11</c:f>
              <c:strCache>
                <c:ptCount val="10"/>
                <c:pt idx="0">
                  <c:v>Maharashtra</c:v>
                </c:pt>
                <c:pt idx="1">
                  <c:v>Haryana</c:v>
                </c:pt>
                <c:pt idx="2">
                  <c:v>Delhi</c:v>
                </c:pt>
                <c:pt idx="3">
                  <c:v>Uttar Pradesh</c:v>
                </c:pt>
                <c:pt idx="4">
                  <c:v>Telangana</c:v>
                </c:pt>
                <c:pt idx="5">
                  <c:v>West Bengal</c:v>
                </c:pt>
                <c:pt idx="6">
                  <c:v>Karnataka</c:v>
                </c:pt>
                <c:pt idx="7">
                  <c:v>Andhra Pradesh</c:v>
                </c:pt>
                <c:pt idx="8">
                  <c:v>Tamil Nadu</c:v>
                </c:pt>
                <c:pt idx="9">
                  <c:v>Kerala</c:v>
                </c:pt>
              </c:strCache>
            </c:strRef>
          </c:cat>
          <c:val>
            <c:numRef>
              <c:f>Sheet1!$B$2:$B$11</c:f>
              <c:numCache>
                <c:formatCode>₹#,##0</c:formatCode>
                <c:ptCount val="10"/>
                <c:pt idx="0">
                  <c:v>1039</c:v>
                </c:pt>
                <c:pt idx="1">
                  <c:v>1026</c:v>
                </c:pt>
                <c:pt idx="2">
                  <c:v>1020</c:v>
                </c:pt>
                <c:pt idx="3">
                  <c:v>978</c:v>
                </c:pt>
                <c:pt idx="4">
                  <c:v>943</c:v>
                </c:pt>
                <c:pt idx="5">
                  <c:v>921</c:v>
                </c:pt>
                <c:pt idx="6">
                  <c:v>903</c:v>
                </c:pt>
                <c:pt idx="7">
                  <c:v>855</c:v>
                </c:pt>
                <c:pt idx="8">
                  <c:v>713</c:v>
                </c:pt>
                <c:pt idx="9">
                  <c:v>582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091"/>
        <c:axId val="100092"/>
      </c:barChart>
      <c:catAx>
        <c:axId val="100091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State / Union Territory</a:t>
                </a:r>
              </a:p>
            </c:rich>
          </c:tx>
          <c:layout/>
          <c:overlay val="0"/>
        </c:title>
        <c:tickLblPos val="nextTo"/>
        <c:crossAx val="100092"/>
        <c:crosses val="autoZero"/>
        <c:auto val="1"/>
        <c:lblAlgn val="ctr"/>
        <c:lblOffset val="100"/>
      </c:catAx>
      <c:valAx>
        <c:axId val="100092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Average Hourly Fee (₹ / hr)</a:t>
                </a:r>
              </a:p>
            </c:rich>
          </c:tx>
          <c:layout/>
          <c:overlay val="0"/>
        </c:title>
        <c:tickLblPos val="nextTo"/>
        <c:crossAx val="10009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c:chart>
    <c:title>
      <c:tx>
        <c:rich>
          <a:bodyPr/>
          <a:lstStyle/>
          <a:p>
            <a:r>
              <a:rPr b="1" sz="1100"/>
              <a:t>Figure 6: Primary Occupations &amp; Professional Backgrounds of Tutors (N = 107,723)</a:t>
            </a:r>
          </a:p>
        </c:rich>
      </c:tx>
      <c:layout/>
      <c:overlay val="0"/>
    </c:title>
    <c:autoTitleDeleted val="0"/>
    <c:plotArea>
      <c:layout/>
      <c:barChart>
        <c:barDir val="bar"/>
        <c:barGrouping val="clustered"/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Tutor Count</c:v>
                </c:pt>
              </c:strCache>
            </c:strRef>
          </c:tx>
          <c:invertIfNegative val="0"/>
          <c:cat>
            <c:strRef>
              <c:f>Sheet1!$A$2:$A$9</c:f>
              <c:strCache>
                <c:ptCount val="8"/>
                <c:pt idx="0">
                  <c:v>Online Educator</c:v>
                </c:pt>
                <c:pt idx="1">
                  <c:v>College Student / Scholar</c:v>
                </c:pt>
                <c:pt idx="2">
                  <c:v>Independent Tutor</c:v>
                </c:pt>
                <c:pt idx="3">
                  <c:v>College Faculty</c:v>
                </c:pt>
                <c:pt idx="4">
                  <c:v>Early-Career Teacher</c:v>
                </c:pt>
                <c:pt idx="5">
                  <c:v>Software Engineer / IT</c:v>
                </c:pt>
                <c:pt idx="6">
                  <c:v>Senior Private Educator</c:v>
                </c:pt>
                <c:pt idx="7">
                  <c:v>School Teacher</c:v>
                </c:pt>
              </c:strCache>
            </c:strRef>
          </c:cat>
          <c:val>
            <c:numRef>
              <c:f>Sheet1!$B$2:$B$9</c:f>
              <c:numCache>
                <c:formatCode>#,##0</c:formatCode>
                <c:ptCount val="8"/>
                <c:pt idx="0">
                  <c:v>29349</c:v>
                </c:pt>
                <c:pt idx="1">
                  <c:v>26061</c:v>
                </c:pt>
                <c:pt idx="2">
                  <c:v>16192</c:v>
                </c:pt>
                <c:pt idx="3">
                  <c:v>6673</c:v>
                </c:pt>
                <c:pt idx="4">
                  <c:v>5821</c:v>
                </c:pt>
                <c:pt idx="5">
                  <c:v>4267</c:v>
                </c:pt>
                <c:pt idx="6">
                  <c:v>4080</c:v>
                </c:pt>
                <c:pt idx="7">
                  <c:v>3705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110"/>
        <c:axId val="100101"/>
        <c:axId val="100102"/>
      </c:barChart>
      <c:catAx>
        <c:axId val="100101"/>
        <c:scaling>
          <c:orientation val="minMax"/>
        </c:scaling>
        <c:delete val="0"/>
        <c:axPos val="l"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Primary Occupation / Background</a:t>
                </a:r>
              </a:p>
            </c:rich>
          </c:tx>
          <c:layout/>
          <c:overlay val="0"/>
        </c:title>
        <c:tickLblPos val="nextTo"/>
        <c:crossAx val="100102"/>
        <c:crosses val="autoZero"/>
        <c:auto val="1"/>
        <c:lblAlgn val="ctr"/>
        <c:lblOffset val="100"/>
      </c:catAx>
      <c:valAx>
        <c:axId val="100102"/>
        <c:scaling>
          <c:orientation val="minMax"/>
        </c:scaling>
        <c:delete val="0"/>
        <c:axPos val="b"/>
        <c:majorGridlines/>
        <c:title>
          <c:tx>
            <c:rich>
              <a:bodyPr/>
              <a:lstStyle/>
              <a:p>
                <a:pPr>
                  <a:defRPr sz="900" b="1"/>
                </a:pPr>
                <a:r>
                  <a:rPr b="1" sz="900"/>
                  <a:t>Number of Tutors</a:t>
                </a:r>
              </a:p>
            </c:rich>
          </c:tx>
          <c:layout/>
          <c:overlay val="0"/>
        </c:title>
        <c:tickLblPos val="nextTo"/>
        <c:crossAx val="100101"/>
        <c:crosses val="autoZero"/>
      </c:valAx>
    </c:plotArea>
    <c:legend>
      <c:legendPos val="r"/>
      <c:layout/>
      <c:overlay val="0"/>
    </c:legend>
    <c:plotVisOnly val="1"/>
  </c:chart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