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Educators Across 36 Indian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96.8%</w:t>
              <w:br/>
            </w:r>
            <w:r>
              <w:rPr>
                <w:rFonts w:ascii="Arial" w:hAnsi="Arial"/>
                <w:color w:val="64748B"/>
                <w:sz w:val="15"/>
              </w:rPr>
              <w:t>Digital Classroom</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holds an Undergraduate degree (B.Tech, B.Sc, B.Com, B.A), followed by 30.1% who hold Postgraduate Master's degrees (M.Sc, M.Tech, MBA, M.A). Additionally, over 4,500 tutors hold a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97.1%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96.4%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95.2% teach online</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3"/>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4)</w:t>
      </w:r>
    </w:p>
    <w:p>
      <w:pPr>
        <w:spacing w:after="120"/>
      </w:pPr>
      <w:r>
        <w:t>Tuition rates vary significantly based on location and cost of living. The overall national average hourly rate is ₹859 / hour (for realistic market listings between ₹50 and ₹5,000/hr).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4"/>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adjust their fees significantly depending on what grade level they are teaching. School-level tutoring (Grades 1 to 10) is the most affordable tier, averaging ₹400–₹650 per hour. College and undergraduate courses command ₹750–₹1,100 per hour. The highest fees are earned by tutors preparing students for competitive entrance exams (IIT JEE, NEET, GATE, CAT, UPSC) and advanced programming, where rates reach ₹1,200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80" w:type="dxa"/>
              <w:right w:w="80" w:type="dxa"/>
            </w:tcMar>
          </w:tcPr>
          <w:p>
            <w:pPr>
              <w:jc w:val="left"/>
            </w:pPr>
            <w:r>
              <w:rPr>
                <w:b/>
                <w:color w:val="FFFFFF"/>
                <w:sz w:val="17"/>
              </w:rPr>
              <w:t>Subject Domain</w:t>
            </w:r>
          </w:p>
        </w:tc>
        <w:tc>
          <w:tcPr>
            <w:tcW w:type="dxa" w:w="1872"/>
            <w:shd w:val="clear" w:color="auto" w:fill="1E293B"/>
            <w:tcMar>
              <w:top w:w="80" w:type="dxa"/>
              <w:bottom w:w="80" w:type="dxa"/>
              <w:left w:w="80" w:type="dxa"/>
              <w:right w:w="80" w:type="dxa"/>
            </w:tcMar>
          </w:tcPr>
          <w:p>
            <w:pPr>
              <w:jc w:val="right"/>
            </w:pPr>
            <w:r>
              <w:rPr>
                <w:b/>
                <w:color w:val="FFFFFF"/>
                <w:sz w:val="17"/>
              </w:rPr>
              <w:t>School (K-10)</w:t>
            </w:r>
          </w:p>
        </w:tc>
        <w:tc>
          <w:tcPr>
            <w:tcW w:type="dxa" w:w="1872"/>
            <w:shd w:val="clear" w:color="auto" w:fill="1E293B"/>
            <w:tcMar>
              <w:top w:w="80" w:type="dxa"/>
              <w:bottom w:w="80" w:type="dxa"/>
              <w:left w:w="80" w:type="dxa"/>
              <w:right w:w="80" w:type="dxa"/>
            </w:tcMar>
          </w:tcPr>
          <w:p>
            <w:pPr>
              <w:jc w:val="right"/>
            </w:pPr>
            <w:r>
              <w:rPr>
                <w:b/>
                <w:color w:val="FFFFFF"/>
                <w:sz w:val="17"/>
              </w:rPr>
              <w:t>Senior Secondary (11-12)</w:t>
            </w:r>
          </w:p>
        </w:tc>
        <w:tc>
          <w:tcPr>
            <w:tcW w:type="dxa" w:w="1872"/>
            <w:shd w:val="clear" w:color="auto" w:fill="1E293B"/>
            <w:tcMar>
              <w:top w:w="80" w:type="dxa"/>
              <w:bottom w:w="80" w:type="dxa"/>
              <w:left w:w="80" w:type="dxa"/>
              <w:right w:w="80" w:type="dxa"/>
            </w:tcMar>
          </w:tcPr>
          <w:p>
            <w:pPr>
              <w:jc w:val="right"/>
            </w:pPr>
            <w:r>
              <w:rPr>
                <w:b/>
                <w:color w:val="FFFFFF"/>
                <w:sz w:val="17"/>
              </w:rPr>
              <w:t>College / Degree</w:t>
            </w:r>
          </w:p>
        </w:tc>
        <w:tc>
          <w:tcPr>
            <w:tcW w:type="dxa" w:w="2160"/>
            <w:shd w:val="clear" w:color="auto" w:fill="1E293B"/>
            <w:tcMar>
              <w:top w:w="80" w:type="dxa"/>
              <w:bottom w:w="80" w:type="dxa"/>
              <w:left w:w="80" w:type="dxa"/>
              <w:right w:w="80" w:type="dxa"/>
            </w:tcMar>
          </w:tcPr>
          <w:p>
            <w:pPr>
              <w:jc w:val="right"/>
            </w:pPr>
            <w:r>
              <w:rPr>
                <w:b/>
                <w:color w:val="FFFFFF"/>
                <w:sz w:val="17"/>
              </w:rPr>
              <w:t>Competitive Exams / Pro</w:t>
            </w:r>
          </w:p>
        </w:tc>
      </w:tr>
      <w:tr>
        <w:tc>
          <w:tcPr>
            <w:tcW w:type="dxa" w:w="2592"/>
            <w:shd w:val="clear" w:color="auto" w:fill="FFFFFF"/>
            <w:tcMar>
              <w:top w:w="65" w:type="dxa"/>
              <w:bottom w:w="65" w:type="dxa"/>
              <w:left w:w="80" w:type="dxa"/>
              <w:right w:w="80" w:type="dxa"/>
            </w:tcMar>
          </w:tcPr>
          <w:p>
            <w:pPr>
              <w:jc w:val="left"/>
            </w:pPr>
            <w:r>
              <w:rPr>
                <w:b/>
                <w:sz w:val="17"/>
              </w:rPr>
              <w:t>Mathematics</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₹1,400 / hr (JEE / Olympiad)</w:t>
            </w:r>
          </w:p>
        </w:tc>
      </w:tr>
      <w:tr>
        <w:tc>
          <w:tcPr>
            <w:tcW w:type="dxa" w:w="2592"/>
            <w:shd w:val="clear" w:color="auto" w:fill="F8FAFC"/>
            <w:tcMar>
              <w:top w:w="65" w:type="dxa"/>
              <w:bottom w:w="65" w:type="dxa"/>
              <w:left w:w="80" w:type="dxa"/>
              <w:right w:w="80" w:type="dxa"/>
            </w:tcMar>
          </w:tcPr>
          <w:p>
            <w:pPr>
              <w:jc w:val="left"/>
            </w:pPr>
            <w:r>
              <w:rPr>
                <w:b/>
                <w:sz w:val="17"/>
              </w:rPr>
              <w:t>Computer Science &amp; Coding</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₹850 / hr</w:t>
            </w:r>
          </w:p>
        </w:tc>
        <w:tc>
          <w:tcPr>
            <w:tcW w:type="dxa" w:w="1872"/>
            <w:shd w:val="clear" w:color="auto" w:fill="F8FAFC"/>
            <w:tcMar>
              <w:top w:w="65" w:type="dxa"/>
              <w:bottom w:w="65" w:type="dxa"/>
              <w:left w:w="80" w:type="dxa"/>
              <w:right w:w="80" w:type="dxa"/>
            </w:tcMar>
          </w:tcPr>
          <w:p>
            <w:pPr>
              <w:jc w:val="right"/>
            </w:pPr>
            <w:r>
              <w:rPr>
                <w:sz w:val="17"/>
              </w:rPr>
              <w:t>₹1,150 / hr</w:t>
            </w:r>
          </w:p>
        </w:tc>
        <w:tc>
          <w:tcPr>
            <w:tcW w:type="dxa" w:w="2160"/>
            <w:shd w:val="clear" w:color="auto" w:fill="F8FAFC"/>
            <w:tcMar>
              <w:top w:w="65" w:type="dxa"/>
              <w:bottom w:w="65" w:type="dxa"/>
              <w:left w:w="80" w:type="dxa"/>
              <w:right w:w="80" w:type="dxa"/>
            </w:tcMar>
          </w:tcPr>
          <w:p>
            <w:pPr>
              <w:jc w:val="right"/>
            </w:pPr>
            <w:r>
              <w:rPr>
                <w:sz w:val="17"/>
              </w:rPr>
              <w:t>₹1,800 / hr (Full Stack / AI)</w:t>
            </w:r>
          </w:p>
        </w:tc>
      </w:tr>
      <w:tr>
        <w:tc>
          <w:tcPr>
            <w:tcW w:type="dxa" w:w="2592"/>
            <w:shd w:val="clear" w:color="auto" w:fill="FFFFFF"/>
            <w:tcMar>
              <w:top w:w="65" w:type="dxa"/>
              <w:bottom w:w="65" w:type="dxa"/>
              <w:left w:w="80" w:type="dxa"/>
              <w:right w:w="80" w:type="dxa"/>
            </w:tcMar>
          </w:tcPr>
          <w:p>
            <w:pPr>
              <w:jc w:val="left"/>
            </w:pPr>
            <w:r>
              <w:rPr>
                <w:b/>
                <w:sz w:val="17"/>
              </w:rPr>
              <w:t>Physics</w:t>
            </w:r>
          </w:p>
        </w:tc>
        <w:tc>
          <w:tcPr>
            <w:tcW w:type="dxa" w:w="1872"/>
            <w:shd w:val="clear" w:color="auto" w:fill="FFFFFF"/>
            <w:tcMar>
              <w:top w:w="65" w:type="dxa"/>
              <w:bottom w:w="65" w:type="dxa"/>
              <w:left w:w="80" w:type="dxa"/>
              <w:right w:w="80" w:type="dxa"/>
            </w:tcMar>
          </w:tcPr>
          <w:p>
            <w:pPr>
              <w:jc w:val="right"/>
            </w:pPr>
            <w:r>
              <w:rPr>
                <w:sz w:val="17"/>
              </w:rPr>
              <w:t>₹550 / hr</w:t>
            </w:r>
          </w:p>
        </w:tc>
        <w:tc>
          <w:tcPr>
            <w:tcW w:type="dxa" w:w="1872"/>
            <w:shd w:val="clear" w:color="auto" w:fill="FFFFFF"/>
            <w:tcMar>
              <w:top w:w="65" w:type="dxa"/>
              <w:bottom w:w="65" w:type="dxa"/>
              <w:left w:w="80" w:type="dxa"/>
              <w:right w:w="80" w:type="dxa"/>
            </w:tcMar>
          </w:tcPr>
          <w:p>
            <w:pPr>
              <w:jc w:val="right"/>
            </w:pPr>
            <w:r>
              <w:rPr>
                <w:sz w:val="17"/>
              </w:rPr>
              <w:t>₹800 / hr</w:t>
            </w:r>
          </w:p>
        </w:tc>
        <w:tc>
          <w:tcPr>
            <w:tcW w:type="dxa" w:w="1872"/>
            <w:shd w:val="clear" w:color="auto" w:fill="FFFFFF"/>
            <w:tcMar>
              <w:top w:w="65" w:type="dxa"/>
              <w:bottom w:w="65" w:type="dxa"/>
              <w:left w:w="80" w:type="dxa"/>
              <w:right w:w="80" w:type="dxa"/>
            </w:tcMar>
          </w:tcPr>
          <w:p>
            <w:pPr>
              <w:jc w:val="right"/>
            </w:pPr>
            <w:r>
              <w:rPr>
                <w:sz w:val="17"/>
              </w:rPr>
              <w:t>₹1,050 / hr</w:t>
            </w:r>
          </w:p>
        </w:tc>
        <w:tc>
          <w:tcPr>
            <w:tcW w:type="dxa" w:w="2160"/>
            <w:shd w:val="clear" w:color="auto" w:fill="FFFFFF"/>
            <w:tcMar>
              <w:top w:w="65" w:type="dxa"/>
              <w:bottom w:w="65" w:type="dxa"/>
              <w:left w:w="80" w:type="dxa"/>
              <w:right w:w="80" w:type="dxa"/>
            </w:tcMar>
          </w:tcPr>
          <w:p>
            <w:pPr>
              <w:jc w:val="right"/>
            </w:pPr>
            <w:r>
              <w:rPr>
                <w:sz w:val="17"/>
              </w:rPr>
              <w:t>₹1,500 / hr (IIT JEE Advanced)</w:t>
            </w:r>
          </w:p>
        </w:tc>
      </w:tr>
      <w:tr>
        <w:tc>
          <w:tcPr>
            <w:tcW w:type="dxa" w:w="2592"/>
            <w:shd w:val="clear" w:color="auto" w:fill="F8FAFC"/>
            <w:tcMar>
              <w:top w:w="65" w:type="dxa"/>
              <w:bottom w:w="65" w:type="dxa"/>
              <w:left w:w="80" w:type="dxa"/>
              <w:right w:w="80" w:type="dxa"/>
            </w:tcMar>
          </w:tcPr>
          <w:p>
            <w:pPr>
              <w:jc w:val="left"/>
            </w:pPr>
            <w:r>
              <w:rPr>
                <w:b/>
                <w:sz w:val="17"/>
              </w:rPr>
              <w:t>English &amp; Languages</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₹800 / hr</w:t>
            </w:r>
          </w:p>
        </w:tc>
        <w:tc>
          <w:tcPr>
            <w:tcW w:type="dxa" w:w="2160"/>
            <w:shd w:val="clear" w:color="auto" w:fill="F8FAFC"/>
            <w:tcMar>
              <w:top w:w="65" w:type="dxa"/>
              <w:bottom w:w="65" w:type="dxa"/>
              <w:left w:w="80" w:type="dxa"/>
              <w:right w:w="80" w:type="dxa"/>
            </w:tcMar>
          </w:tcPr>
          <w:p>
            <w:pPr>
              <w:jc w:val="right"/>
            </w:pPr>
            <w:r>
              <w:rPr>
                <w:sz w:val="17"/>
              </w:rPr>
              <w:t>₹1,250 / hr (IELTS / TOEFL)</w:t>
            </w:r>
          </w:p>
        </w:tc>
      </w:tr>
      <w:tr>
        <w:tc>
          <w:tcPr>
            <w:tcW w:type="dxa" w:w="2592"/>
            <w:shd w:val="clear" w:color="auto" w:fill="FFFFFF"/>
            <w:tcMar>
              <w:top w:w="65" w:type="dxa"/>
              <w:bottom w:w="65" w:type="dxa"/>
              <w:left w:w="80" w:type="dxa"/>
              <w:right w:w="80" w:type="dxa"/>
            </w:tcMar>
          </w:tcPr>
          <w:p>
            <w:pPr>
              <w:jc w:val="left"/>
            </w:pPr>
            <w:r>
              <w:rPr>
                <w:b/>
                <w:sz w:val="17"/>
              </w:rPr>
              <w:t>Chemistry &amp; Biology</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₹1,450 / hr (NEET Medical)</w:t>
            </w:r>
          </w:p>
        </w:tc>
      </w:tr>
      <w:tr>
        <w:tc>
          <w:tcPr>
            <w:tcW w:type="dxa" w:w="2592"/>
            <w:shd w:val="clear" w:color="auto" w:fill="F8FAFC"/>
            <w:tcMar>
              <w:top w:w="65" w:type="dxa"/>
              <w:bottom w:w="65" w:type="dxa"/>
              <w:left w:w="80" w:type="dxa"/>
              <w:right w:w="80" w:type="dxa"/>
            </w:tcMar>
          </w:tcPr>
          <w:p>
            <w:pPr>
              <w:jc w:val="left"/>
            </w:pPr>
            <w:r>
              <w:rPr>
                <w:b/>
                <w:sz w:val="17"/>
              </w:rPr>
              <w:t>Commerce &amp; Accounting</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₹700 / hr</w:t>
            </w:r>
          </w:p>
        </w:tc>
        <w:tc>
          <w:tcPr>
            <w:tcW w:type="dxa" w:w="1872"/>
            <w:shd w:val="clear" w:color="auto" w:fill="F8FAFC"/>
            <w:tcMar>
              <w:top w:w="65" w:type="dxa"/>
              <w:bottom w:w="65" w:type="dxa"/>
              <w:left w:w="80" w:type="dxa"/>
              <w:right w:w="80" w:type="dxa"/>
            </w:tcMar>
          </w:tcPr>
          <w:p>
            <w:pPr>
              <w:jc w:val="right"/>
            </w:pPr>
            <w:r>
              <w:rPr>
                <w:sz w:val="17"/>
              </w:rPr>
              <w:t>₹900 / hr</w:t>
            </w:r>
          </w:p>
        </w:tc>
        <w:tc>
          <w:tcPr>
            <w:tcW w:type="dxa" w:w="2160"/>
            <w:shd w:val="clear" w:color="auto" w:fill="F8FAFC"/>
            <w:tcMar>
              <w:top w:w="65" w:type="dxa"/>
              <w:bottom w:w="65" w:type="dxa"/>
              <w:left w:w="80" w:type="dxa"/>
              <w:right w:w="80" w:type="dxa"/>
            </w:tcMar>
          </w:tcPr>
          <w:p>
            <w:pPr>
              <w:jc w:val="right"/>
            </w:pPr>
            <w:r>
              <w:rPr>
                <w:sz w:val="17"/>
              </w:rPr>
              <w:t>₹1,600 / hr (CA Foundation / CMA)</w:t>
            </w:r>
          </w:p>
        </w:tc>
      </w:tr>
    </w:tbl>
    <w:p>
      <w:pPr>
        <w:spacing w:after="240"/>
      </w:pP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7" name="Chart 7"/>
            <wp:cNvGraphicFramePr>
              <a:graphicFrameLocks noGrp="1"/>
            </wp:cNvGraphicFramePr>
            <a:graphic>
              <a:graphicData uri="http://schemas.openxmlformats.org/drawingml/2006/chart">
                <c:chart r:id="rId15"/>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State-by-State Market Overview (Master Reference)</w:t>
      </w:r>
    </w:p>
    <w:p>
      <w:pPr>
        <w:spacing w:after="160"/>
      </w:pPr>
      <w:r>
        <w:t>Below is the complete, single-source reference table covering all 36 Indian States and Union Territories. All individual state maps have been removed to keep this report concise and 100% editable. The table provides verified tutor counts, national market share, average hourly tuition rates, online adoption percentages, and active educator volumes.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ckLblPos val="nextTo"/>
        <c:crossAx val="100022"/>
        <c:crosses val="autoZero"/>
        <c:auto val="1"/>
        <c:lblAlgn val="ctr"/>
        <c:lblOffset val="100"/>
      </c:catAx>
      <c:valAx>
        <c:axId val="100022"/>
        <c:scaling>
          <c:orientation val="minMax"/>
        </c:scaling>
        <c:delete val="0"/>
        <c:axPos val="l"/>
        <c:majorGridlines/>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c:v>Offerings</c:v></c:pt>
              </c:strCache>
            </c:strRef>
          </c:tx>
          <c:invertIfNegative val="0"/>
          <c:cat>
            <c:strRef>
              <c:f>Sheet1!$A$2:$A$7</c:f>
              <c:strCache>
                <c:ptCount val="6"/>
                <c:pt idx="0"><c:v>School & STEM</c:v></c:pt><c:pt idx="1"><c:v>Languages</c:v></c:pt><c:pt idx="2"><c:v>Coding & Tech</c:v></c:pt><c:pt idx="3"><c:v>Extracurricular</c:v></c:pt><c:pt idx="4"><c:v>Arts & Humanities</c:v></c:pt><c:pt idx="5"><c:v>Commerce</c:v></c:pt>
              </c:strCache>
            </c:strRef>
          </c:cat>
          <c:val>
            <c:numRef>
              <c:f>Sheet1!$B$2:$B$7</c:f>
              <c:numCache>
                <c:formatCode>#,##0</c:formatCode>
                <c:ptCount val="6"/>
                <c:pt idx="0"><c:v>184288</c:v></c:pt><c:pt idx="1"><c:v>58248</c:v></c:pt><c:pt idx="2"><c:v>37778</c:v></c:pt><c:pt idx="3"><c:v>16311</c:v></c:pt><c:pt idx="4"><c:v>15991</c:v></c:pt><c:pt idx="5"><c:v>15078</c:v></c:pt>
              </c:numCache>
            </c:numRef>
          </c:val>
        </c:ser>
        <c:dLbls>
          <c:showLegendKey val="0"/>
          <c:showVal val="1"/>
          <c:showCatName val="0"/>
          <c:showSerName val="0"/>
          <c:showPercent val="0"/>
          <c:showBubbleSize val="0"/>
        </c:dLbls>
        <c:gapWidth val="110"/>
        <c:axId val="100031"/>
        <c:axId val="100032"/>
      </c:barChart>
      <c:catAx>
        <c:axId val="100031"/>
        <c:scaling><c:orientation val="minMax"/></c:scaling>
        <c:delete val="0"/>
        <c:axPos val="b"/>
        <c:tickLblPos val="nextTo"/>
        <c:crossAx val="100032"/>
        <c:crosses val="autoZero"/>
        <c:auto val="1"/>
        <c:lblAlgn val="ctr"/>
        <c:lblOffset val="100"/>
      </c:catAx>
      <c:valAx>
        <c:axId val="100032"/>
        <c:scaling><c:orientation val="minMax"/></c:scaling>
        <c:delete val="0"/>
        <c:axPos val="l"/>
        <c:majorGridlines/>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ckLblPos val="nextTo"/>
        <c:crossAx val="100042"/>
        <c:crosses val="autoZero"/>
        <c:auto val="1"/>
        <c:lblAlgn val="ctr"/>
        <c:lblOffset val="100"/>
      </c:catAx>
      <c:valAx>
        <c:axId val="100042"/>
        <c:scaling>
          <c:orientation val="minMax"/>
        </c:scaling>
        <c:delete val="0"/>
        <c:axPos val="b"/>
        <c:majorGridlines/>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ckLblPos val="nextTo"/>
        <c:crossAx val="100052"/>
        <c:crosses val="autoZero"/>
        <c:auto val="1"/>
        <c:lblAlgn val="ctr"/>
        <c:lblOffset val="100"/>
      </c:catAx>
      <c:valAx>
        <c:axId val="100052"/>
        <c:scaling>
          <c:orientation val="minMax"/>
        </c:scaling>
        <c:delete val="0"/>
        <c:axPos val="l"/>
        <c:majorGridlines/>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ckLblPos val="nextTo"/>
        <c:crossAx val="100062"/>
        <c:crosses val="autoZero"/>
        <c:auto val="1"/>
        <c:lblAlgn val="ctr"/>
        <c:lblOffset val="100"/>
      </c:catAx>
      <c:valAx>
        <c:axId val="100062"/>
        <c:scaling>
          <c:orientation val="minMax"/>
        </c:scaling>
        <c:delete val="0"/>
        <c:axPos val="l"/>
        <c:majorGridlines/>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 Professional Backgrounds of Tutors</a:t>
            </a:r>
          </a:p>
        </c:rich>
      </c:tx>
      <c:layout/>
      <c:overlay val="0"/>
    </c:title>
    <c:autoTitleDeleted val="0"/>
    <c:plotArea>
      <c:layout/>
      <c:barChart>
        <c:barDir val="bar"/>
        <c:barGrouping val="clustered"/>
        <c:varyColors val="1"/>
        <c:ser>
          <c:idx val="0"/>
          <c:order val="0"/>
          <c:tx>
            <c:strRef>
              <c:f>Sheet1!$B$1</c:f>
              <c:strCache>
                <c:ptCount val="1"/>
                <c:pt idx="0"><c:v>Tutor Count</c:v></c:pt>
              </c:strCache>
            </c:strRef>
          </c:tx>
          <c:invertIfNegative val="0"/>
          <c:cat>
            <c:strRef>
              <c:f>Sheet1!$A$2:$A$9</c:f>
              <c:strCache>
                <c:ptCount val="8"/>
                <c:pt idx="0"><c:v>Online Educator</c:v></c:pt><c:pt idx="1"><c:v>College Student / Scholar</c:v></c:pt><c:pt idx="2"><c:v>Independent Tutor</c:v></c:pt><c:pt idx="3"><c:v>College Faculty</c:v></c:pt><c:pt idx="4"><c:v>Early-Career Teacher</c:v></c:pt><c:pt idx="5"><c:v>Software Engineer / IT</c:v></c:pt><c:pt idx="6"><c:v>Senior Private Educator</c:v></c:pt><c:pt idx="7"><c:v>School Teacher</c:v></c:pt>
              </c:strCache>
            </c:strRef>
          </c:cat>
          <c:val>
            <c:numRef>
              <c:f>Sheet1!$B$2:$B$9</c:f>
              <c:numCache>
                <c:formatCode>#,##0</c:formatCode>
                <c:ptCount val="8"/>
                <c:pt idx="0"><c:v>29349</c:v></c:pt><c:pt idx="1"><c:v>26061</c:v></c:pt><c:pt idx="2"><c:v>16188</c:v></c:pt><c:pt idx="3"><c:v>6672</c:v></c:pt><c:pt idx="4"><c:v>5821</c:v></c:pt><c:pt idx="5"><c:v>4267</c:v></c:pt><c:pt idx="6"><c:v>4080</c:v></c:pt><c:pt idx="7"><c:v>3704</c:v></c:pt>
              </c:numCache>
            </c:numRef>
          </c:val>
        </c:ser>
        <c:dLbls>
          <c:showLegendKey val="0"/>
          <c:showVal val="1"/>
          <c:showCatName val="0"/>
          <c:showSerName val="0"/>
          <c:showPercent val="0"/>
          <c:showBubbleSize val="0"/>
        </c:dLbls>
        <c:gapWidth val="110"/>
        <c:axId val="100071"/>
        <c:axId val="100072"/>
      </c:barChart>
      <c:catAx>
        <c:axId val="100071"/>
        <c:scaling><c:orientation val="minMax"/></c:scaling>
        <c:delete val="0"/>
        <c:axPos val="l"/>
        <c:tickLblPos val="nextTo"/>
        <c:crossAx val="100072"/>
        <c:crosses val="autoZero"/>
        <c:auto val="1"/>
        <c:lblAlgn val="ctr"/>
        <c:lblOffset val="100"/>
      </c:catAx>
      <c:valAx>
        <c:axId val="100072"/>
        <c:scaling><c:orientation val="minMax"/></c:scaling>
        <c:delete val="0"/>
        <c:axPos val="b"/>
        <c:majorGridlines/>
        <c:tickLblPos val="nextTo"/>
        <c:crossAx val="10007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