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Executive Summary: The State of Tutoring in India</w:t>
      </w:r>
    </w:p>
    <w:p>
      <w:pPr>
        <w:spacing w:line="276" w:lineRule="auto" w:after="160"/>
      </w:pPr>
      <w:r>
        <w:t>This report analyzes verified data from 107,723 tutors across India. Key highlights:</w:t>
        <w:br/>
        <w:t>• High Demand for STEM: Over 56% of subjects taught are Math and Science.</w:t>
        <w:br/>
        <w:t>• Geographic Clusters: Tamil Nadu, Kerala, Maharashtra, and Karnataka host over half of all tutors.</w:t>
        <w:br/>
        <w:t>• Well-Educated Tutors: Over 91% hold college degrees, with 34% holding a Master's or PhD.</w:t>
        <w:br/>
        <w:t>• Popular Side Profession: 24% of tutors are college students, and thousands are working IT engineers teaching part-time.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13 : 7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10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21 : 10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 : 4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7 : 5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32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2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6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7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3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 : 2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STEM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STEM Secondary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(PCM) dominate. Over 2,900 tutors teach all three, and 6,100 combine Math with Physics.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STEM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(PCM 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STEM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9" name="Chart 9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10" name="Chart 10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K-12 STEM,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Advanced Degree STEM,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STEM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chart" Target="charts/chart8.xml"/><Relationship Id="rId17" Type="http://schemas.openxmlformats.org/officeDocument/2006/relationships/chart" Target="charts/chart9.xml"/><Relationship Id="rId18" Type="http://schemas.openxmlformats.org/officeDocument/2006/relationships/chart" Target="charts/chart10.xml"/><Relationship Id="rId19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327,694)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School &amp; STEM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184288</c:v>
                </c:pt>
                <c:pt idx="1">
                  <c:v>58248</c:v>
                </c:pt>
                <c:pt idx="2">
                  <c:v>37778</c:v>
                </c:pt>
                <c:pt idx="3">
                  <c:v>16311</c:v>
                </c:pt>
                <c:pt idx="4">
                  <c:v>15991</c:v>
                </c:pt>
                <c:pt idx="5">
                  <c:v>15078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41983</c:v>
                </c:pt>
                <c:pt idx="1">
                  <c:v>26644</c:v>
                </c:pt>
                <c:pt idx="2">
                  <c:v>24639</c:v>
                </c:pt>
                <c:pt idx="3">
                  <c:v>16974</c:v>
                </c:pt>
                <c:pt idx="4">
                  <c:v>12735</c:v>
                </c:pt>
                <c:pt idx="5">
                  <c:v>10846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3C: Teaching Overlap — Core School Trio (N = 58,046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English Only</c:v>
                </c:pt>
                <c:pt idx="2">
                  <c:v>Science Only</c:v>
                </c:pt>
                <c:pt idx="3">
                  <c:v>Math + Science</c:v>
                </c:pt>
                <c:pt idx="4">
                  <c:v>Math + English</c:v>
                </c:pt>
                <c:pt idx="5">
                  <c:v>Science + English</c:v>
                </c:pt>
                <c:pt idx="6">
                  <c:v>All 3 Subjects (Trio)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19326</c:v>
                </c:pt>
                <c:pt idx="1">
                  <c:v>10170</c:v>
                </c:pt>
                <c:pt idx="2">
                  <c:v>6926</c:v>
                </c:pt>
                <c:pt idx="3">
                  <c:v>7403</c:v>
                </c:pt>
                <c:pt idx="4">
                  <c:v>5323</c:v>
                </c:pt>
                <c:pt idx="5">
                  <c:v>3387</c:v>
                </c:pt>
                <c:pt idx="6">
                  <c:v>5511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3D: Teaching Overlap — Senior STEM Trio: PCM (N = 46,937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Math + Physics</c:v>
                </c:pt>
                <c:pt idx="2">
                  <c:v>Physics Only</c:v>
                </c:pt>
                <c:pt idx="3">
                  <c:v>Chemistry Only</c:v>
                </c:pt>
                <c:pt idx="4">
                  <c:v>All 3 (PCM Trio)</c:v>
                </c:pt>
                <c:pt idx="5">
                  <c:v>Physics + Chem</c:v>
                </c:pt>
                <c:pt idx="6">
                  <c:v>Math + Chem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27343</c:v>
                </c:pt>
                <c:pt idx="1">
                  <c:v>6139</c:v>
                </c:pt>
                <c:pt idx="2">
                  <c:v>4139</c:v>
                </c:pt>
                <c:pt idx="3">
                  <c:v>3690</c:v>
                </c:pt>
                <c:pt idx="4">
                  <c:v>2906</c:v>
                </c:pt>
                <c:pt idx="5">
                  <c:v>1545</c:v>
                </c:pt>
                <c:pt idx="6">
                  <c:v>1175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91"/>
        <c:axId val="100092"/>
      </c:barChart>
      <c:catAx>
        <c:axId val="10009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92"/>
        <c:crosses val="autoZero"/>
        <c:auto val="1"/>
        <c:lblAlgn val="ctr"/>
        <c:lblOffset val="100"/>
      </c:catAx>
      <c:valAx>
        <c:axId val="1000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9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01"/>
        <c:axId val="100102"/>
      </c:barChart>
      <c:catAx>
        <c:axId val="10010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102"/>
        <c:crosses val="autoZero"/>
        <c:auto val="1"/>
        <c:lblAlgn val="ctr"/>
        <c:lblOffset val="100"/>
      </c:catAx>
      <c:valAx>
        <c:axId val="10010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10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