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27D" w:rsidRDefault="0031427D" w:rsidP="0031427D">
      <w:pPr>
        <w:pStyle w:val="NormalWeb"/>
        <w:jc w:val="both"/>
        <w:rPr>
          <w:rStyle w:val="contentheader2"/>
          <w:rFonts w:ascii="Verdana" w:hAnsi="Verdana"/>
          <w:b/>
          <w:bCs/>
          <w:color w:val="6676A8"/>
          <w:sz w:val="18"/>
          <w:szCs w:val="18"/>
        </w:rPr>
      </w:pPr>
    </w:p>
    <w:p w:rsidR="0031427D" w:rsidRDefault="0031427D" w:rsidP="0031427D">
      <w:pPr>
        <w:pStyle w:val="NormalWeb"/>
        <w:jc w:val="both"/>
        <w:rPr>
          <w:rStyle w:val="contentheader2"/>
          <w:rFonts w:ascii="Verdana" w:hAnsi="Verdana"/>
          <w:b/>
          <w:bCs/>
          <w:color w:val="6676A8"/>
          <w:sz w:val="18"/>
          <w:szCs w:val="18"/>
        </w:rPr>
      </w:pPr>
    </w:p>
    <w:p w:rsidR="0031427D" w:rsidRDefault="0031427D" w:rsidP="0031427D">
      <w:pPr>
        <w:pStyle w:val="NormalWeb"/>
        <w:jc w:val="both"/>
        <w:rPr>
          <w:rStyle w:val="contentheader2"/>
          <w:rFonts w:ascii="Verdana" w:hAnsi="Verdana"/>
          <w:b/>
          <w:bCs/>
          <w:color w:val="6676A8"/>
          <w:sz w:val="18"/>
          <w:szCs w:val="18"/>
        </w:rPr>
      </w:pPr>
      <w:r>
        <w:rPr>
          <w:rStyle w:val="contentheader2"/>
          <w:rFonts w:ascii="Verdana" w:hAnsi="Verdana"/>
          <w:b/>
          <w:bCs/>
          <w:color w:val="6676A8"/>
          <w:sz w:val="18"/>
          <w:szCs w:val="18"/>
        </w:rPr>
        <w:t>Feature</w:t>
      </w:r>
    </w:p>
    <w:p w:rsidR="0031427D" w:rsidRDefault="0031427D" w:rsidP="0031427D">
      <w:pPr>
        <w:pStyle w:val="NormalWeb"/>
        <w:jc w:val="both"/>
        <w:rPr>
          <w:rFonts w:ascii="Verdana" w:hAnsi="Verdana"/>
          <w:color w:val="555555"/>
          <w:sz w:val="17"/>
          <w:szCs w:val="17"/>
        </w:rPr>
      </w:pPr>
      <w:r>
        <w:rPr>
          <w:rStyle w:val="contentheader2"/>
          <w:rFonts w:ascii="Verdana" w:hAnsi="Verdana"/>
          <w:b/>
          <w:bCs/>
          <w:color w:val="6676A8"/>
          <w:sz w:val="18"/>
          <w:szCs w:val="18"/>
        </w:rPr>
        <w:t>Product Summary</w:t>
      </w:r>
      <w:proofErr w:type="gramStart"/>
      <w:r>
        <w:rPr>
          <w:rStyle w:val="contentheader2"/>
          <w:rFonts w:ascii="Verdana" w:hAnsi="Verdana"/>
          <w:b/>
          <w:bCs/>
          <w:color w:val="6676A8"/>
          <w:sz w:val="18"/>
          <w:szCs w:val="18"/>
        </w:rPr>
        <w:t>:</w:t>
      </w:r>
      <w:proofErr w:type="gramEnd"/>
      <w:r>
        <w:rPr>
          <w:rFonts w:ascii="Verdana" w:hAnsi="Verdana"/>
          <w:color w:val="555555"/>
          <w:sz w:val="17"/>
          <w:szCs w:val="17"/>
        </w:rPr>
        <w:br/>
        <w:t>This is an Endowment Assurance plan where the proposer has simply to choose the amount and mode of premium payment. The plan provides financial protection against death throughout the term of the plan. The death benefit is directly related to the premiums paid. The Maturity Sum Assured depends on the age at entry of the life to be assured and is payable on survival to the end of the policy term. It also offers the flexibility of term and a lot of liquidity.</w:t>
      </w:r>
    </w:p>
    <w:p w:rsidR="0031427D" w:rsidRDefault="0031427D" w:rsidP="0031427D">
      <w:pPr>
        <w:pStyle w:val="NormalWeb"/>
        <w:jc w:val="both"/>
        <w:rPr>
          <w:rFonts w:ascii="Verdana" w:hAnsi="Verdana"/>
          <w:color w:val="555555"/>
          <w:sz w:val="17"/>
          <w:szCs w:val="17"/>
        </w:rPr>
      </w:pPr>
      <w:r>
        <w:rPr>
          <w:rStyle w:val="Strong"/>
          <w:rFonts w:ascii="Verdana" w:hAnsi="Verdana"/>
          <w:color w:val="6676A8"/>
          <w:sz w:val="18"/>
          <w:szCs w:val="18"/>
        </w:rPr>
        <w:t>Premiums</w:t>
      </w:r>
      <w:proofErr w:type="gramStart"/>
      <w:r>
        <w:rPr>
          <w:rStyle w:val="Strong"/>
          <w:rFonts w:ascii="Verdana" w:hAnsi="Verdana"/>
          <w:color w:val="6676A8"/>
          <w:sz w:val="18"/>
          <w:szCs w:val="18"/>
        </w:rPr>
        <w:t>:</w:t>
      </w:r>
      <w:proofErr w:type="gramEnd"/>
      <w:r>
        <w:rPr>
          <w:rFonts w:ascii="Verdana" w:hAnsi="Verdana"/>
          <w:color w:val="555555"/>
          <w:sz w:val="17"/>
          <w:szCs w:val="17"/>
        </w:rPr>
        <w:br/>
        <w:t>Premiums are payable yearly, half-yearly, quarterly, or monthly through salary deductions as opted by you throughout the term of the policy or till earlier death.</w:t>
      </w:r>
    </w:p>
    <w:p w:rsidR="00DE052A" w:rsidRDefault="0031427D" w:rsidP="0031427D">
      <w:pPr>
        <w:rPr>
          <w:rFonts w:ascii="Verdana" w:hAnsi="Verdana"/>
          <w:color w:val="555555"/>
          <w:sz w:val="17"/>
          <w:szCs w:val="17"/>
        </w:rPr>
      </w:pPr>
      <w:r>
        <w:rPr>
          <w:rStyle w:val="Strong"/>
          <w:rFonts w:ascii="Verdana" w:hAnsi="Verdana"/>
          <w:color w:val="6676A8"/>
          <w:sz w:val="18"/>
          <w:szCs w:val="18"/>
        </w:rPr>
        <w:t>Loyalty Additions</w:t>
      </w:r>
      <w:proofErr w:type="gramStart"/>
      <w:r>
        <w:rPr>
          <w:rStyle w:val="Strong"/>
          <w:rFonts w:ascii="Verdana" w:hAnsi="Verdana"/>
          <w:color w:val="6676A8"/>
          <w:sz w:val="18"/>
          <w:szCs w:val="18"/>
        </w:rPr>
        <w:t>:</w:t>
      </w:r>
      <w:proofErr w:type="gramEnd"/>
      <w:r>
        <w:rPr>
          <w:rFonts w:ascii="Verdana" w:hAnsi="Verdana"/>
          <w:b/>
          <w:bCs/>
          <w:i/>
          <w:iCs/>
          <w:color w:val="555555"/>
          <w:sz w:val="17"/>
          <w:szCs w:val="17"/>
        </w:rPr>
        <w:br/>
      </w:r>
      <w:r>
        <w:rPr>
          <w:rFonts w:ascii="Verdana" w:hAnsi="Verdana"/>
          <w:color w:val="555555"/>
          <w:sz w:val="17"/>
          <w:szCs w:val="17"/>
        </w:rPr>
        <w:t xml:space="preserve">This is a </w:t>
      </w:r>
      <w:proofErr w:type="spellStart"/>
      <w:r>
        <w:rPr>
          <w:rFonts w:ascii="Verdana" w:hAnsi="Verdana"/>
          <w:color w:val="555555"/>
          <w:sz w:val="17"/>
          <w:szCs w:val="17"/>
        </w:rPr>
        <w:t>with</w:t>
      </w:r>
      <w:proofErr w:type="spellEnd"/>
      <w:r>
        <w:rPr>
          <w:rFonts w:ascii="Verdana" w:hAnsi="Verdana"/>
          <w:color w:val="555555"/>
          <w:sz w:val="17"/>
          <w:szCs w:val="17"/>
        </w:rPr>
        <w:t>-profits plan and participates in the profits of the Corporation’s life insurance business.  It gets a share of the profits in the form of loyalty additions which are terminal bonuses payable along with death benefit or maturity benefit.  Loyalty Additions may be payable from the 10th year onwards depending upon the experience of the Corporation</w:t>
      </w:r>
    </w:p>
    <w:p w:rsidR="0031427D" w:rsidRDefault="0031427D" w:rsidP="0031427D">
      <w:pPr>
        <w:rPr>
          <w:rFonts w:ascii="Verdana" w:hAnsi="Verdana"/>
          <w:color w:val="555555"/>
          <w:sz w:val="17"/>
          <w:szCs w:val="17"/>
        </w:rPr>
      </w:pPr>
    </w:p>
    <w:tbl>
      <w:tblPr>
        <w:tblW w:w="8625" w:type="dxa"/>
        <w:tblCellSpacing w:w="0" w:type="dxa"/>
        <w:shd w:val="clear" w:color="auto" w:fill="FFFFFF"/>
        <w:tblCellMar>
          <w:left w:w="0" w:type="dxa"/>
          <w:right w:w="0" w:type="dxa"/>
        </w:tblCellMar>
        <w:tblLook w:val="04A0"/>
      </w:tblPr>
      <w:tblGrid>
        <w:gridCol w:w="8625"/>
      </w:tblGrid>
      <w:tr w:rsidR="0031427D" w:rsidRPr="00BF2C88" w:rsidTr="00B21C91">
        <w:trPr>
          <w:tblCellSpacing w:w="0" w:type="dxa"/>
        </w:trPr>
        <w:tc>
          <w:tcPr>
            <w:tcW w:w="0" w:type="auto"/>
            <w:shd w:val="clear" w:color="auto" w:fill="FFFFFF"/>
            <w:hideMark/>
          </w:tcPr>
          <w:p w:rsidR="0031427D" w:rsidRPr="00BF2C88" w:rsidRDefault="0031427D" w:rsidP="00B21C91">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8625"/>
            </w:tblGrid>
            <w:tr w:rsidR="0031427D" w:rsidRPr="00BF2C88" w:rsidTr="00B21C91">
              <w:trPr>
                <w:tblCellSpacing w:w="0" w:type="dxa"/>
              </w:trPr>
              <w:tc>
                <w:tcPr>
                  <w:tcW w:w="0" w:type="auto"/>
                  <w:vAlign w:val="center"/>
                  <w:hideMark/>
                </w:tcPr>
                <w:p w:rsidR="0031427D" w:rsidRPr="00BF2C88" w:rsidRDefault="0031427D" w:rsidP="00B21C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190500"/>
                        <wp:effectExtent l="19050" t="0" r="9525" b="0"/>
                        <wp:docPr id="1" name="Picture 81" descr="http://www.licindia.in/images/benefits_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icindia.in/images/benefits_title.jpg"/>
                                <pic:cNvPicPr>
                                  <a:picLocks noChangeAspect="1" noChangeArrowheads="1"/>
                                </pic:cNvPicPr>
                              </pic:nvPicPr>
                              <pic:blipFill>
                                <a:blip r:embed="rId4"/>
                                <a:srcRect/>
                                <a:stretch>
                                  <a:fillRect/>
                                </a:stretch>
                              </pic:blipFill>
                              <pic:spPr bwMode="auto">
                                <a:xfrm>
                                  <a:off x="0" y="0"/>
                                  <a:ext cx="4924425" cy="190500"/>
                                </a:xfrm>
                                <a:prstGeom prst="rect">
                                  <a:avLst/>
                                </a:prstGeom>
                                <a:noFill/>
                                <a:ln w="9525">
                                  <a:noFill/>
                                  <a:miter lim="800000"/>
                                  <a:headEnd/>
                                  <a:tailEnd/>
                                </a:ln>
                              </pic:spPr>
                            </pic:pic>
                          </a:graphicData>
                        </a:graphic>
                      </wp:inline>
                    </w:drawing>
                  </w:r>
                </w:p>
              </w:tc>
            </w:tr>
            <w:tr w:rsidR="0031427D" w:rsidRPr="00BF2C88" w:rsidTr="00B21C91">
              <w:trPr>
                <w:tblCellSpacing w:w="0" w:type="dxa"/>
              </w:trPr>
              <w:tc>
                <w:tcPr>
                  <w:tcW w:w="0" w:type="auto"/>
                  <w:hideMark/>
                </w:tcPr>
                <w:tbl>
                  <w:tblPr>
                    <w:tblW w:w="0" w:type="auto"/>
                    <w:tblCellSpacing w:w="0" w:type="dxa"/>
                    <w:tblCellMar>
                      <w:top w:w="75" w:type="dxa"/>
                      <w:left w:w="75" w:type="dxa"/>
                      <w:bottom w:w="75" w:type="dxa"/>
                      <w:right w:w="75" w:type="dxa"/>
                    </w:tblCellMar>
                    <w:tblLook w:val="04A0"/>
                  </w:tblPr>
                  <w:tblGrid>
                    <w:gridCol w:w="8625"/>
                  </w:tblGrid>
                  <w:tr w:rsidR="0031427D" w:rsidRPr="00BF2C88" w:rsidTr="00B21C91">
                    <w:trPr>
                      <w:tblCellSpacing w:w="0" w:type="dxa"/>
                    </w:trPr>
                    <w:tc>
                      <w:tcPr>
                        <w:tcW w:w="0" w:type="auto"/>
                        <w:hideMark/>
                      </w:tcPr>
                      <w:p w:rsidR="0031427D" w:rsidRPr="00BF2C88" w:rsidRDefault="0031427D" w:rsidP="00B21C91">
                        <w:pPr>
                          <w:spacing w:before="100" w:beforeAutospacing="1" w:after="100" w:afterAutospacing="1" w:line="240" w:lineRule="auto"/>
                          <w:jc w:val="both"/>
                          <w:rPr>
                            <w:rFonts w:ascii="Verdana" w:eastAsia="Times New Roman" w:hAnsi="Verdana" w:cs="Times New Roman"/>
                            <w:color w:val="555555"/>
                            <w:sz w:val="17"/>
                            <w:szCs w:val="17"/>
                          </w:rPr>
                        </w:pPr>
                        <w:r w:rsidRPr="00BF2C88">
                          <w:rPr>
                            <w:rFonts w:ascii="Verdana" w:eastAsia="Times New Roman" w:hAnsi="Verdana" w:cs="Times New Roman"/>
                            <w:color w:val="555555"/>
                            <w:sz w:val="17"/>
                            <w:szCs w:val="17"/>
                          </w:rPr>
                          <w:br/>
                        </w:r>
                        <w:r w:rsidRPr="00BF2C88">
                          <w:rPr>
                            <w:rFonts w:ascii="Verdana" w:eastAsia="Times New Roman" w:hAnsi="Verdana" w:cs="Times New Roman"/>
                            <w:b/>
                            <w:bCs/>
                            <w:color w:val="6676A8"/>
                            <w:sz w:val="18"/>
                          </w:rPr>
                          <w:t>Death Benefit:</w:t>
                        </w:r>
                        <w:r w:rsidRPr="00BF2C88">
                          <w:rPr>
                            <w:rFonts w:ascii="Verdana" w:eastAsia="Times New Roman" w:hAnsi="Verdana" w:cs="Times New Roman"/>
                            <w:color w:val="555555"/>
                            <w:sz w:val="17"/>
                            <w:szCs w:val="17"/>
                          </w:rPr>
                          <w:br/>
                          <w:t>250 times the monthly premium together with loyalty additions, if any, and  return of premiums excluding first year premiums and extra/rider premium, if any, is payable in lump sum on death of the life assured during the term of the policy.</w:t>
                        </w:r>
                      </w:p>
                      <w:p w:rsidR="0031427D" w:rsidRPr="00BF2C88" w:rsidRDefault="0031427D" w:rsidP="00B21C91">
                        <w:pPr>
                          <w:spacing w:before="100" w:beforeAutospacing="1" w:after="100" w:afterAutospacing="1" w:line="240" w:lineRule="auto"/>
                          <w:jc w:val="both"/>
                          <w:rPr>
                            <w:rFonts w:ascii="Verdana" w:eastAsia="Times New Roman" w:hAnsi="Verdana" w:cs="Times New Roman"/>
                            <w:color w:val="555555"/>
                            <w:sz w:val="17"/>
                            <w:szCs w:val="17"/>
                          </w:rPr>
                        </w:pPr>
                        <w:r w:rsidRPr="00BF2C88">
                          <w:rPr>
                            <w:rFonts w:ascii="Verdana" w:eastAsia="Times New Roman" w:hAnsi="Verdana" w:cs="Times New Roman"/>
                            <w:b/>
                            <w:bCs/>
                            <w:color w:val="6676A8"/>
                            <w:sz w:val="18"/>
                          </w:rPr>
                          <w:t>Maturity Benefit</w:t>
                        </w:r>
                        <w:proofErr w:type="gramStart"/>
                        <w:r w:rsidRPr="00BF2C88">
                          <w:rPr>
                            <w:rFonts w:ascii="Verdana" w:eastAsia="Times New Roman" w:hAnsi="Verdana" w:cs="Times New Roman"/>
                            <w:b/>
                            <w:bCs/>
                            <w:color w:val="6676A8"/>
                            <w:sz w:val="18"/>
                          </w:rPr>
                          <w:t>:</w:t>
                        </w:r>
                        <w:proofErr w:type="gramEnd"/>
                        <w:r w:rsidRPr="00BF2C88">
                          <w:rPr>
                            <w:rFonts w:ascii="Verdana" w:eastAsia="Times New Roman" w:hAnsi="Verdana" w:cs="Times New Roman"/>
                            <w:b/>
                            <w:bCs/>
                            <w:i/>
                            <w:iCs/>
                            <w:color w:val="555555"/>
                            <w:sz w:val="17"/>
                            <w:szCs w:val="17"/>
                          </w:rPr>
                          <w:br/>
                        </w:r>
                        <w:r w:rsidRPr="00BF2C88">
                          <w:rPr>
                            <w:rFonts w:ascii="Verdana" w:eastAsia="Times New Roman" w:hAnsi="Verdana" w:cs="Times New Roman"/>
                            <w:color w:val="555555"/>
                            <w:sz w:val="17"/>
                            <w:szCs w:val="17"/>
                          </w:rPr>
                          <w:t>The Maturity Sum Assured plus Loyalty additions, if any, is payable in a lump sum.</w:t>
                        </w:r>
                      </w:p>
                      <w:p w:rsidR="0031427D" w:rsidRPr="00BF2C88" w:rsidRDefault="0031427D" w:rsidP="00B21C91">
                        <w:pPr>
                          <w:spacing w:before="100" w:beforeAutospacing="1" w:after="100" w:afterAutospacing="1" w:line="240" w:lineRule="auto"/>
                          <w:jc w:val="both"/>
                          <w:rPr>
                            <w:rFonts w:ascii="Verdana" w:eastAsia="Times New Roman" w:hAnsi="Verdana" w:cs="Times New Roman"/>
                            <w:color w:val="555555"/>
                            <w:sz w:val="17"/>
                            <w:szCs w:val="17"/>
                          </w:rPr>
                        </w:pPr>
                        <w:r w:rsidRPr="00BF2C88">
                          <w:rPr>
                            <w:rFonts w:ascii="Verdana" w:eastAsia="Times New Roman" w:hAnsi="Verdana" w:cs="Times New Roman"/>
                            <w:b/>
                            <w:bCs/>
                            <w:color w:val="6676A8"/>
                            <w:sz w:val="18"/>
                          </w:rPr>
                          <w:t>Supplementary/Extra Benefits</w:t>
                        </w:r>
                        <w:proofErr w:type="gramStart"/>
                        <w:r w:rsidRPr="00BF2C88">
                          <w:rPr>
                            <w:rFonts w:ascii="Verdana" w:eastAsia="Times New Roman" w:hAnsi="Verdana" w:cs="Times New Roman"/>
                            <w:b/>
                            <w:bCs/>
                            <w:color w:val="6676A8"/>
                            <w:sz w:val="18"/>
                          </w:rPr>
                          <w:t>:</w:t>
                        </w:r>
                        <w:proofErr w:type="gramEnd"/>
                        <w:r w:rsidRPr="00BF2C88">
                          <w:rPr>
                            <w:rFonts w:ascii="Verdana" w:eastAsia="Times New Roman" w:hAnsi="Verdana" w:cs="Times New Roman"/>
                            <w:color w:val="555555"/>
                            <w:sz w:val="17"/>
                            <w:szCs w:val="17"/>
                          </w:rPr>
                          <w:br/>
                          <w:t>These are the optional benefits that can be added to your basic plan for extra protection/option.  An additional premium is required to be paid for these benefits.</w:t>
                        </w:r>
                      </w:p>
                      <w:p w:rsidR="0031427D" w:rsidRPr="00BF2C88" w:rsidRDefault="0031427D" w:rsidP="00B21C91">
                        <w:pPr>
                          <w:spacing w:before="100" w:beforeAutospacing="1" w:after="100" w:afterAutospacing="1" w:line="240" w:lineRule="auto"/>
                          <w:jc w:val="both"/>
                          <w:rPr>
                            <w:rFonts w:ascii="Verdana" w:eastAsia="Times New Roman" w:hAnsi="Verdana" w:cs="Times New Roman"/>
                            <w:color w:val="555555"/>
                            <w:sz w:val="17"/>
                            <w:szCs w:val="17"/>
                          </w:rPr>
                        </w:pPr>
                        <w:r w:rsidRPr="00BF2C88">
                          <w:rPr>
                            <w:rFonts w:ascii="Verdana" w:eastAsia="Times New Roman" w:hAnsi="Verdana" w:cs="Times New Roman"/>
                            <w:b/>
                            <w:bCs/>
                            <w:color w:val="6676A8"/>
                            <w:sz w:val="18"/>
                          </w:rPr>
                          <w:t>Surrender Value</w:t>
                        </w:r>
                        <w:proofErr w:type="gramStart"/>
                        <w:r w:rsidRPr="00BF2C88">
                          <w:rPr>
                            <w:rFonts w:ascii="Verdana" w:eastAsia="Times New Roman" w:hAnsi="Verdana" w:cs="Times New Roman"/>
                            <w:b/>
                            <w:bCs/>
                            <w:color w:val="6676A8"/>
                            <w:sz w:val="18"/>
                          </w:rPr>
                          <w:t>:</w:t>
                        </w:r>
                        <w:proofErr w:type="gramEnd"/>
                        <w:r w:rsidRPr="00BF2C88">
                          <w:rPr>
                            <w:rFonts w:ascii="Verdana" w:eastAsia="Times New Roman" w:hAnsi="Verdana" w:cs="Times New Roman"/>
                            <w:b/>
                            <w:bCs/>
                            <w:i/>
                            <w:iCs/>
                            <w:color w:val="555555"/>
                            <w:sz w:val="17"/>
                            <w:szCs w:val="17"/>
                          </w:rPr>
                          <w:br/>
                        </w:r>
                        <w:r w:rsidRPr="00BF2C88">
                          <w:rPr>
                            <w:rFonts w:ascii="Verdana" w:eastAsia="Times New Roman" w:hAnsi="Verdana" w:cs="Times New Roman"/>
                            <w:color w:val="555555"/>
                            <w:sz w:val="17"/>
                            <w:szCs w:val="17"/>
                          </w:rPr>
                          <w:t>Buying a life insurance contract is a long-term commitment. However, surrender values are available on earlier termination of the contract. The surrender value will be the greater of the guaranteed surrender value and special surrender. The plan also allows for partial surrenders.</w:t>
                        </w:r>
                      </w:p>
                      <w:p w:rsidR="0031427D" w:rsidRDefault="0031427D" w:rsidP="00B21C91">
                        <w:pPr>
                          <w:spacing w:before="100" w:beforeAutospacing="1" w:after="100" w:afterAutospacing="1" w:line="240" w:lineRule="auto"/>
                          <w:jc w:val="both"/>
                          <w:rPr>
                            <w:rFonts w:ascii="Verdana" w:eastAsia="Times New Roman" w:hAnsi="Verdana" w:cs="Times New Roman"/>
                            <w:i/>
                            <w:iCs/>
                            <w:color w:val="555555"/>
                            <w:sz w:val="17"/>
                          </w:rPr>
                        </w:pPr>
                        <w:r>
                          <w:rPr>
                            <w:rFonts w:ascii="Verdana" w:eastAsia="Times New Roman" w:hAnsi="Verdana" w:cs="Times New Roman"/>
                            <w:b/>
                            <w:bCs/>
                            <w:color w:val="6676A8"/>
                            <w:sz w:val="18"/>
                          </w:rPr>
                          <w:t xml:space="preserve">Guaranteed </w:t>
                        </w:r>
                        <w:r w:rsidRPr="00BF2C88">
                          <w:rPr>
                            <w:rFonts w:ascii="Verdana" w:eastAsia="Times New Roman" w:hAnsi="Verdana" w:cs="Times New Roman"/>
                            <w:b/>
                            <w:bCs/>
                            <w:color w:val="6676A8"/>
                            <w:sz w:val="18"/>
                          </w:rPr>
                          <w:t>Surrender Value</w:t>
                        </w:r>
                        <w:proofErr w:type="gramStart"/>
                        <w:r w:rsidRPr="00BF2C88">
                          <w:rPr>
                            <w:rFonts w:ascii="Verdana" w:eastAsia="Times New Roman" w:hAnsi="Verdana" w:cs="Times New Roman"/>
                            <w:b/>
                            <w:bCs/>
                            <w:color w:val="6676A8"/>
                            <w:sz w:val="18"/>
                          </w:rPr>
                          <w:t>:</w:t>
                        </w:r>
                        <w:proofErr w:type="gramEnd"/>
                        <w:r w:rsidRPr="00BF2C88">
                          <w:rPr>
                            <w:rFonts w:ascii="Verdana" w:eastAsia="Times New Roman" w:hAnsi="Verdana" w:cs="Times New Roman"/>
                            <w:color w:val="555555"/>
                            <w:sz w:val="17"/>
                            <w:szCs w:val="17"/>
                          </w:rPr>
                          <w:br/>
                          <w:t>The policy can be surrendered after it has been in force for at least 3 full years. The Guaranteed Surrender value will be equal to 30% of the total amount of premiums paid excluding the premiums for the first year and all the extra premiums and premiums for accident benefit / term rider.</w:t>
                        </w:r>
                        <w:r w:rsidRPr="00BF2C88">
                          <w:rPr>
                            <w:rFonts w:ascii="Verdana" w:eastAsia="Times New Roman" w:hAnsi="Verdana" w:cs="Times New Roman"/>
                            <w:color w:val="555555"/>
                            <w:sz w:val="17"/>
                            <w:szCs w:val="17"/>
                          </w:rPr>
                          <w:br/>
                        </w:r>
                        <w:r w:rsidRPr="00BF2C88">
                          <w:rPr>
                            <w:rFonts w:ascii="Verdana" w:eastAsia="Times New Roman" w:hAnsi="Verdana" w:cs="Times New Roman"/>
                            <w:color w:val="555555"/>
                            <w:sz w:val="17"/>
                            <w:szCs w:val="17"/>
                          </w:rPr>
                          <w:br/>
                        </w:r>
                        <w:r w:rsidRPr="00BF2C88">
                          <w:rPr>
                            <w:rFonts w:ascii="Verdana" w:eastAsia="Times New Roman" w:hAnsi="Verdana" w:cs="Times New Roman"/>
                            <w:b/>
                            <w:bCs/>
                            <w:color w:val="6676A8"/>
                            <w:sz w:val="18"/>
                          </w:rPr>
                          <w:t>Special Surrender Value:</w:t>
                        </w:r>
                        <w:r w:rsidRPr="00BF2C88">
                          <w:rPr>
                            <w:rFonts w:ascii="Verdana" w:eastAsia="Times New Roman" w:hAnsi="Verdana" w:cs="Times New Roman"/>
                            <w:color w:val="555555"/>
                            <w:sz w:val="17"/>
                            <w:szCs w:val="17"/>
                          </w:rPr>
                          <w:br/>
                          <w:t xml:space="preserve">80% of Maturity Sum Assured if 3 or more years’ but less than 4 years’ premiums have been paid; 90% of the Maturity Sum Assured, if 4 or more years’ but less than 5 years’ premiums have been paid and 100% of the Maturity Sum Assured, if 5 or more years’ premiums have been paid. The Maturity Sum Assured for this </w:t>
                        </w:r>
                        <w:proofErr w:type="spellStart"/>
                        <w:r w:rsidRPr="00BF2C88">
                          <w:rPr>
                            <w:rFonts w:ascii="Verdana" w:eastAsia="Times New Roman" w:hAnsi="Verdana" w:cs="Times New Roman"/>
                            <w:color w:val="555555"/>
                            <w:sz w:val="17"/>
                            <w:szCs w:val="17"/>
                          </w:rPr>
                          <w:t>para</w:t>
                        </w:r>
                        <w:proofErr w:type="spellEnd"/>
                        <w:r w:rsidRPr="00BF2C88">
                          <w:rPr>
                            <w:rFonts w:ascii="Verdana" w:eastAsia="Times New Roman" w:hAnsi="Verdana" w:cs="Times New Roman"/>
                            <w:color w:val="555555"/>
                            <w:sz w:val="17"/>
                            <w:szCs w:val="17"/>
                          </w:rPr>
                          <w:t xml:space="preserve"> will be the Maturity Sum Assured corresponding to the </w:t>
                        </w:r>
                        <w:r w:rsidRPr="00BF2C88">
                          <w:rPr>
                            <w:rFonts w:ascii="Verdana" w:eastAsia="Times New Roman" w:hAnsi="Verdana" w:cs="Times New Roman"/>
                            <w:color w:val="555555"/>
                            <w:sz w:val="17"/>
                            <w:szCs w:val="17"/>
                          </w:rPr>
                          <w:lastRenderedPageBreak/>
                          <w:t>term for which premiums have been paid under the policy.</w:t>
                        </w:r>
                        <w:r w:rsidRPr="00BF2C88">
                          <w:rPr>
                            <w:rFonts w:ascii="Verdana" w:eastAsia="Times New Roman" w:hAnsi="Verdana" w:cs="Times New Roman"/>
                            <w:color w:val="555555"/>
                            <w:sz w:val="17"/>
                            <w:szCs w:val="17"/>
                          </w:rPr>
                          <w:br/>
                        </w:r>
                        <w:r w:rsidRPr="00BF2C88">
                          <w:rPr>
                            <w:rFonts w:ascii="Verdana" w:eastAsia="Times New Roman" w:hAnsi="Verdana" w:cs="Times New Roman"/>
                            <w:color w:val="555555"/>
                            <w:sz w:val="17"/>
                            <w:szCs w:val="17"/>
                          </w:rPr>
                          <w:br/>
                        </w:r>
                        <w:r w:rsidRPr="00BF2C88">
                          <w:rPr>
                            <w:rFonts w:ascii="Verdana" w:eastAsia="Times New Roman" w:hAnsi="Verdana" w:cs="Times New Roman"/>
                            <w:b/>
                            <w:bCs/>
                            <w:color w:val="6676A8"/>
                            <w:sz w:val="18"/>
                          </w:rPr>
                          <w:t>Corporation’s policy on surrenders</w:t>
                        </w:r>
                        <w:proofErr w:type="gramStart"/>
                        <w:r w:rsidRPr="00BF2C88">
                          <w:rPr>
                            <w:rFonts w:ascii="Verdana" w:eastAsia="Times New Roman" w:hAnsi="Verdana" w:cs="Times New Roman"/>
                            <w:b/>
                            <w:bCs/>
                            <w:color w:val="6676A8"/>
                            <w:sz w:val="18"/>
                          </w:rPr>
                          <w:t>:</w:t>
                        </w:r>
                        <w:proofErr w:type="gramEnd"/>
                        <w:r w:rsidRPr="00BF2C88">
                          <w:rPr>
                            <w:rFonts w:ascii="Verdana" w:eastAsia="Times New Roman" w:hAnsi="Verdana" w:cs="Times New Roman"/>
                            <w:color w:val="555555"/>
                            <w:sz w:val="17"/>
                            <w:szCs w:val="17"/>
                          </w:rPr>
                          <w:br/>
                          <w:t>In practice, the Corporation will pay a Special Surrender Value – which is usually higher than the Guaranteed Surrender Value. This value will depend on the duration for which premiums have been paid and the policy duration at the date of surrender. In some circumstances, in case of early termination of the policy, the surrender value payable may be less than the total premium paid.</w:t>
                        </w:r>
                        <w:r w:rsidRPr="00BF2C88">
                          <w:rPr>
                            <w:rFonts w:ascii="Verdana" w:eastAsia="Times New Roman" w:hAnsi="Verdana" w:cs="Times New Roman"/>
                            <w:color w:val="555555"/>
                            <w:sz w:val="17"/>
                            <w:szCs w:val="17"/>
                          </w:rPr>
                          <w:br/>
                        </w:r>
                        <w:r w:rsidRPr="00BF2C88">
                          <w:rPr>
                            <w:rFonts w:ascii="Verdana" w:eastAsia="Times New Roman" w:hAnsi="Verdana" w:cs="Times New Roman"/>
                            <w:color w:val="555555"/>
                            <w:sz w:val="17"/>
                            <w:szCs w:val="17"/>
                          </w:rPr>
                          <w:br/>
                          <w:t>The Corporation reviews the surrender value payable under its plans from time to time</w:t>
                        </w:r>
                        <w:proofErr w:type="gramStart"/>
                        <w:r w:rsidRPr="00BF2C88">
                          <w:rPr>
                            <w:rFonts w:ascii="Verdana" w:eastAsia="Times New Roman" w:hAnsi="Verdana" w:cs="Times New Roman"/>
                            <w:color w:val="555555"/>
                            <w:sz w:val="17"/>
                            <w:szCs w:val="17"/>
                          </w:rPr>
                          <w:t>  depending</w:t>
                        </w:r>
                        <w:proofErr w:type="gramEnd"/>
                        <w:r w:rsidRPr="00BF2C88">
                          <w:rPr>
                            <w:rFonts w:ascii="Verdana" w:eastAsia="Times New Roman" w:hAnsi="Verdana" w:cs="Times New Roman"/>
                            <w:color w:val="555555"/>
                            <w:sz w:val="17"/>
                            <w:szCs w:val="17"/>
                          </w:rPr>
                          <w:t xml:space="preserve"> on the economic environment, experience and other factors.</w:t>
                        </w:r>
                        <w:r w:rsidRPr="00BF2C88">
                          <w:rPr>
                            <w:rFonts w:ascii="Verdana" w:eastAsia="Times New Roman" w:hAnsi="Verdana" w:cs="Times New Roman"/>
                            <w:color w:val="555555"/>
                            <w:sz w:val="17"/>
                            <w:szCs w:val="17"/>
                          </w:rPr>
                          <w:br/>
                        </w:r>
                        <w:r w:rsidRPr="00BF2C88">
                          <w:rPr>
                            <w:rFonts w:ascii="Verdana" w:eastAsia="Times New Roman" w:hAnsi="Verdana" w:cs="Times New Roman"/>
                            <w:color w:val="555555"/>
                            <w:sz w:val="17"/>
                            <w:szCs w:val="17"/>
                          </w:rPr>
                          <w:br/>
                        </w:r>
                        <w:r w:rsidRPr="00BF2C88">
                          <w:rPr>
                            <w:rFonts w:ascii="Verdana" w:eastAsia="Times New Roman" w:hAnsi="Verdana" w:cs="Times New Roman"/>
                            <w:i/>
                            <w:iCs/>
                            <w:color w:val="555555"/>
                            <w:sz w:val="17"/>
                          </w:rPr>
                          <w:t>Note: The above is the product summary giving the key features of the plan. This is for illustrative purpose only. This does not represent a contract and for details please refer to your policy document.</w:t>
                        </w:r>
                      </w:p>
                      <w:p w:rsidR="00C31497" w:rsidRPr="00BF2C88" w:rsidRDefault="00C31497" w:rsidP="00B21C91">
                        <w:pPr>
                          <w:spacing w:before="100" w:beforeAutospacing="1" w:after="100" w:afterAutospacing="1" w:line="240" w:lineRule="auto"/>
                          <w:jc w:val="both"/>
                          <w:rPr>
                            <w:rFonts w:ascii="Verdana" w:eastAsia="Times New Roman" w:hAnsi="Verdana" w:cs="Times New Roman"/>
                            <w:color w:val="555555"/>
                            <w:sz w:val="17"/>
                            <w:szCs w:val="17"/>
                          </w:rPr>
                        </w:pPr>
                      </w:p>
                    </w:tc>
                  </w:tr>
                </w:tbl>
                <w:p w:rsidR="0031427D" w:rsidRPr="00BF2C88" w:rsidRDefault="0031427D" w:rsidP="00B21C91">
                  <w:pPr>
                    <w:spacing w:after="0" w:line="240" w:lineRule="auto"/>
                    <w:rPr>
                      <w:rFonts w:ascii="Times New Roman" w:eastAsia="Times New Roman" w:hAnsi="Times New Roman" w:cs="Times New Roman"/>
                      <w:sz w:val="24"/>
                      <w:szCs w:val="24"/>
                    </w:rPr>
                  </w:pPr>
                </w:p>
              </w:tc>
            </w:tr>
          </w:tbl>
          <w:p w:rsidR="0031427D" w:rsidRPr="00BF2C88" w:rsidRDefault="0031427D" w:rsidP="00B21C91">
            <w:pPr>
              <w:spacing w:after="0" w:line="240" w:lineRule="auto"/>
              <w:rPr>
                <w:rFonts w:ascii="Times New Roman" w:eastAsia="Times New Roman" w:hAnsi="Times New Roman" w:cs="Times New Roman"/>
                <w:sz w:val="24"/>
                <w:szCs w:val="24"/>
              </w:rPr>
            </w:pPr>
          </w:p>
        </w:tc>
      </w:tr>
      <w:tr w:rsidR="0031427D" w:rsidRPr="00500100" w:rsidTr="00B21C91">
        <w:trPr>
          <w:tblCellSpacing w:w="0" w:type="dxa"/>
        </w:trPr>
        <w:tc>
          <w:tcPr>
            <w:tcW w:w="0" w:type="auto"/>
            <w:shd w:val="clear" w:color="auto" w:fill="FFFFFF"/>
            <w:vAlign w:val="center"/>
            <w:hideMark/>
          </w:tcPr>
          <w:p w:rsidR="0031427D" w:rsidRPr="00500100" w:rsidRDefault="0031427D" w:rsidP="00B21C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24425" cy="190500"/>
                  <wp:effectExtent l="19050" t="0" r="9525" b="0"/>
                  <wp:docPr id="2" name="Picture 90" descr="http://www.licindia.in/images/illustration_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icindia.in/images/illustration_title.jpg"/>
                          <pic:cNvPicPr>
                            <a:picLocks noChangeAspect="1" noChangeArrowheads="1"/>
                          </pic:cNvPicPr>
                        </pic:nvPicPr>
                        <pic:blipFill>
                          <a:blip r:embed="rId5"/>
                          <a:srcRect/>
                          <a:stretch>
                            <a:fillRect/>
                          </a:stretch>
                        </pic:blipFill>
                        <pic:spPr bwMode="auto">
                          <a:xfrm>
                            <a:off x="0" y="0"/>
                            <a:ext cx="4924425" cy="190500"/>
                          </a:xfrm>
                          <a:prstGeom prst="rect">
                            <a:avLst/>
                          </a:prstGeom>
                          <a:noFill/>
                          <a:ln w="9525">
                            <a:noFill/>
                            <a:miter lim="800000"/>
                            <a:headEnd/>
                            <a:tailEnd/>
                          </a:ln>
                        </pic:spPr>
                      </pic:pic>
                    </a:graphicData>
                  </a:graphic>
                </wp:inline>
              </w:drawing>
            </w:r>
          </w:p>
        </w:tc>
      </w:tr>
      <w:tr w:rsidR="0031427D" w:rsidRPr="00500100" w:rsidTr="00B21C91">
        <w:trPr>
          <w:tblCellSpacing w:w="0" w:type="dxa"/>
        </w:trPr>
        <w:tc>
          <w:tcPr>
            <w:tcW w:w="0" w:type="auto"/>
            <w:shd w:val="clear" w:color="auto" w:fill="FFFFFF"/>
            <w:hideMark/>
          </w:tcPr>
          <w:tbl>
            <w:tblPr>
              <w:tblW w:w="0" w:type="auto"/>
              <w:tblCellSpacing w:w="0" w:type="dxa"/>
              <w:tblCellMar>
                <w:top w:w="75" w:type="dxa"/>
                <w:left w:w="75" w:type="dxa"/>
                <w:bottom w:w="75" w:type="dxa"/>
                <w:right w:w="75" w:type="dxa"/>
              </w:tblCellMar>
              <w:tblLook w:val="04A0"/>
            </w:tblPr>
            <w:tblGrid>
              <w:gridCol w:w="8625"/>
            </w:tblGrid>
            <w:tr w:rsidR="0031427D" w:rsidRPr="00500100" w:rsidTr="00B21C91">
              <w:trPr>
                <w:tblCellSpacing w:w="0" w:type="dxa"/>
              </w:trPr>
              <w:tc>
                <w:tcPr>
                  <w:tcW w:w="0" w:type="auto"/>
                  <w:hideMark/>
                </w:tcPr>
                <w:p w:rsidR="0031427D" w:rsidRPr="00500100" w:rsidRDefault="00C31497" w:rsidP="00B21C91">
                  <w:pPr>
                    <w:spacing w:before="100" w:beforeAutospacing="1" w:after="100" w:afterAutospacing="1" w:line="240" w:lineRule="auto"/>
                    <w:jc w:val="both"/>
                    <w:rPr>
                      <w:rFonts w:ascii="Verdana" w:eastAsia="Times New Roman" w:hAnsi="Verdana" w:cs="Times New Roman"/>
                      <w:color w:val="555555"/>
                      <w:sz w:val="17"/>
                      <w:szCs w:val="17"/>
                    </w:rPr>
                  </w:pPr>
                  <w:r>
                    <w:rPr>
                      <w:rFonts w:ascii="Verdana" w:eastAsia="Times New Roman" w:hAnsi="Verdana" w:cs="Times New Roman"/>
                      <w:color w:val="555555"/>
                      <w:sz w:val="17"/>
                      <w:szCs w:val="17"/>
                    </w:rPr>
                    <w:t xml:space="preserve">Age </w:t>
                  </w:r>
                  <w:r w:rsidR="0031427D" w:rsidRPr="00500100">
                    <w:rPr>
                      <w:rFonts w:ascii="Verdana" w:eastAsia="Times New Roman" w:hAnsi="Verdana" w:cs="Times New Roman"/>
                      <w:color w:val="555555"/>
                      <w:sz w:val="17"/>
                      <w:szCs w:val="17"/>
                    </w:rPr>
                    <w:t>at entry: 35 years</w:t>
                  </w:r>
                  <w:r w:rsidR="0031427D" w:rsidRPr="00500100">
                    <w:rPr>
                      <w:rFonts w:ascii="Verdana" w:eastAsia="Times New Roman" w:hAnsi="Verdana" w:cs="Times New Roman"/>
                      <w:color w:val="555555"/>
                      <w:sz w:val="17"/>
                      <w:szCs w:val="17"/>
                    </w:rPr>
                    <w:br/>
                    <w:t>Policy term: 25 years</w:t>
                  </w:r>
                  <w:r w:rsidR="0031427D" w:rsidRPr="00500100">
                    <w:rPr>
                      <w:rFonts w:ascii="Verdana" w:eastAsia="Times New Roman" w:hAnsi="Verdana" w:cs="Times New Roman"/>
                      <w:color w:val="555555"/>
                      <w:sz w:val="17"/>
                      <w:szCs w:val="17"/>
                    </w:rPr>
                    <w:br/>
                    <w:t>Mode of premium payment: Yearly</w:t>
                  </w:r>
                  <w:r w:rsidR="0031427D" w:rsidRPr="00500100">
                    <w:rPr>
                      <w:rFonts w:ascii="Verdana" w:eastAsia="Times New Roman" w:hAnsi="Verdana" w:cs="Times New Roman"/>
                      <w:color w:val="555555"/>
                      <w:sz w:val="17"/>
                      <w:szCs w:val="17"/>
                    </w:rPr>
                    <w:br/>
                    <w:t>Amount of annual premium: Rs.4704/-</w:t>
                  </w:r>
                </w:p>
                <w:tbl>
                  <w:tblPr>
                    <w:tblW w:w="4750" w:type="pct"/>
                    <w:tblCellSpacing w:w="7" w:type="dxa"/>
                    <w:shd w:val="clear" w:color="auto" w:fill="CCCCCC"/>
                    <w:tblCellMar>
                      <w:top w:w="45" w:type="dxa"/>
                      <w:left w:w="45" w:type="dxa"/>
                      <w:bottom w:w="45" w:type="dxa"/>
                      <w:right w:w="45" w:type="dxa"/>
                    </w:tblCellMar>
                    <w:tblLook w:val="04A0"/>
                  </w:tblPr>
                  <w:tblGrid>
                    <w:gridCol w:w="892"/>
                    <w:gridCol w:w="1203"/>
                    <w:gridCol w:w="1218"/>
                    <w:gridCol w:w="1123"/>
                    <w:gridCol w:w="1123"/>
                    <w:gridCol w:w="1123"/>
                    <w:gridCol w:w="1369"/>
                  </w:tblGrid>
                  <w:tr w:rsidR="0031427D" w:rsidRPr="00500100" w:rsidTr="00B21C91">
                    <w:trPr>
                      <w:tblCellSpacing w:w="7" w:type="dxa"/>
                    </w:trPr>
                    <w:tc>
                      <w:tcPr>
                        <w:tcW w:w="550" w:type="pct"/>
                        <w:vMerge w:val="restart"/>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End Of Policy</w:t>
                        </w:r>
                        <w:r w:rsidRPr="00500100">
                          <w:rPr>
                            <w:rFonts w:ascii="Verdana" w:eastAsia="Times New Roman" w:hAnsi="Verdana" w:cs="Times New Roman"/>
                            <w:b/>
                            <w:bCs/>
                            <w:color w:val="555555"/>
                            <w:sz w:val="17"/>
                            <w:szCs w:val="17"/>
                          </w:rPr>
                          <w:br/>
                          <w:t>Year</w:t>
                        </w:r>
                      </w:p>
                    </w:tc>
                    <w:tc>
                      <w:tcPr>
                        <w:tcW w:w="750" w:type="pct"/>
                        <w:vMerge w:val="restart"/>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Total Premium paid till end of year</w:t>
                        </w:r>
                      </w:p>
                    </w:tc>
                    <w:tc>
                      <w:tcPr>
                        <w:tcW w:w="0" w:type="auto"/>
                        <w:gridSpan w:val="5"/>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rPr>
                          <w:t>Amount payable at the end of year on death during the year (Rs.)</w:t>
                        </w:r>
                      </w:p>
                    </w:tc>
                  </w:tr>
                  <w:tr w:rsidR="0031427D" w:rsidRPr="00500100" w:rsidTr="00B21C91">
                    <w:trPr>
                      <w:tblCellSpacing w:w="7" w:type="dxa"/>
                    </w:trPr>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750" w:type="pct"/>
                        <w:vMerge w:val="restart"/>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Guaranteed</w:t>
                        </w:r>
                      </w:p>
                    </w:tc>
                    <w:tc>
                      <w:tcPr>
                        <w:tcW w:w="0" w:type="auto"/>
                        <w:gridSpan w:val="2"/>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Variable</w:t>
                        </w:r>
                      </w:p>
                    </w:tc>
                    <w:tc>
                      <w:tcPr>
                        <w:tcW w:w="0" w:type="auto"/>
                        <w:gridSpan w:val="2"/>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Total</w:t>
                        </w:r>
                      </w:p>
                    </w:tc>
                  </w:tr>
                  <w:tr w:rsidR="0031427D" w:rsidRPr="00500100" w:rsidTr="00B21C91">
                    <w:trPr>
                      <w:tblCellSpacing w:w="7" w:type="dxa"/>
                    </w:trPr>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7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1</w:t>
                        </w:r>
                      </w:p>
                    </w:tc>
                    <w:tc>
                      <w:tcPr>
                        <w:tcW w:w="7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2</w:t>
                        </w:r>
                      </w:p>
                    </w:tc>
                    <w:tc>
                      <w:tcPr>
                        <w:tcW w:w="7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1</w:t>
                        </w:r>
                      </w:p>
                    </w:tc>
                    <w:tc>
                      <w:tcPr>
                        <w:tcW w:w="85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2</w:t>
                        </w:r>
                      </w:p>
                    </w:tc>
                  </w:tr>
                  <w:tr w:rsidR="0031427D" w:rsidRPr="00500100" w:rsidTr="00B21C91">
                    <w:trPr>
                      <w:tblCellSpacing w:w="7" w:type="dxa"/>
                    </w:trPr>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1</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4704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100000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100000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100000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9408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104800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104800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104800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3</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14112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109600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109600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109600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18816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114400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114400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114400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23520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119200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119200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119200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28224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124000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124000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124000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7</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32928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128800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128800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128800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37632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133600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133600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133600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9</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42336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138400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138400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138400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10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47040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143200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7000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150200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161200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15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70560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167200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41000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180200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208200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94080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191200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30000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100000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221200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291200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117600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215200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65000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211000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280200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426200</w:t>
                        </w:r>
                      </w:p>
                    </w:tc>
                  </w:tr>
                </w:tbl>
                <w:p w:rsidR="0031427D" w:rsidRPr="00500100" w:rsidRDefault="0031427D" w:rsidP="00B21C91">
                  <w:pPr>
                    <w:spacing w:after="240" w:line="240" w:lineRule="auto"/>
                    <w:jc w:val="both"/>
                    <w:rPr>
                      <w:rFonts w:ascii="Verdana" w:eastAsia="Times New Roman" w:hAnsi="Verdana" w:cs="Times New Roman"/>
                      <w:color w:val="555555"/>
                      <w:sz w:val="17"/>
                      <w:szCs w:val="17"/>
                    </w:rPr>
                  </w:pPr>
                </w:p>
                <w:tbl>
                  <w:tblPr>
                    <w:tblW w:w="4750" w:type="pct"/>
                    <w:tblCellSpacing w:w="7" w:type="dxa"/>
                    <w:shd w:val="clear" w:color="auto" w:fill="CCCCCC"/>
                    <w:tblCellMar>
                      <w:top w:w="45" w:type="dxa"/>
                      <w:left w:w="45" w:type="dxa"/>
                      <w:bottom w:w="45" w:type="dxa"/>
                      <w:right w:w="45" w:type="dxa"/>
                    </w:tblCellMar>
                    <w:tblLook w:val="04A0"/>
                  </w:tblPr>
                  <w:tblGrid>
                    <w:gridCol w:w="1241"/>
                    <w:gridCol w:w="1394"/>
                    <w:gridCol w:w="1218"/>
                    <w:gridCol w:w="1092"/>
                    <w:gridCol w:w="1235"/>
                    <w:gridCol w:w="932"/>
                    <w:gridCol w:w="939"/>
                  </w:tblGrid>
                  <w:tr w:rsidR="0031427D" w:rsidRPr="00500100" w:rsidTr="00B21C91">
                    <w:trPr>
                      <w:tblCellSpacing w:w="7" w:type="dxa"/>
                    </w:trPr>
                    <w:tc>
                      <w:tcPr>
                        <w:tcW w:w="1000" w:type="pct"/>
                        <w:vMerge w:val="restart"/>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End Of Policy Year</w:t>
                        </w:r>
                      </w:p>
                    </w:tc>
                    <w:tc>
                      <w:tcPr>
                        <w:tcW w:w="1100" w:type="pct"/>
                        <w:vMerge w:val="restar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Total Premium paid till end of year</w:t>
                        </w:r>
                      </w:p>
                    </w:tc>
                    <w:tc>
                      <w:tcPr>
                        <w:tcW w:w="0" w:type="auto"/>
                        <w:gridSpan w:val="5"/>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rPr>
                          <w:t>Amount payable on surrender or maturity at the end of year</w:t>
                        </w:r>
                      </w:p>
                    </w:tc>
                  </w:tr>
                  <w:tr w:rsidR="0031427D" w:rsidRPr="00500100" w:rsidTr="00B21C91">
                    <w:trPr>
                      <w:tblCellSpacing w:w="7" w:type="dxa"/>
                    </w:trPr>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950" w:type="pct"/>
                        <w:vMerge w:val="restart"/>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Guaranteed</w:t>
                        </w:r>
                      </w:p>
                    </w:tc>
                    <w:tc>
                      <w:tcPr>
                        <w:tcW w:w="0" w:type="auto"/>
                        <w:gridSpan w:val="2"/>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Variable</w:t>
                        </w:r>
                      </w:p>
                    </w:tc>
                    <w:tc>
                      <w:tcPr>
                        <w:tcW w:w="0" w:type="auto"/>
                        <w:gridSpan w:val="2"/>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Total</w:t>
                        </w:r>
                      </w:p>
                    </w:tc>
                  </w:tr>
                  <w:tr w:rsidR="0031427D" w:rsidRPr="00500100" w:rsidTr="00B21C91">
                    <w:trPr>
                      <w:tblCellSpacing w:w="7" w:type="dxa"/>
                    </w:trPr>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0" w:type="auto"/>
                        <w:vMerge/>
                        <w:shd w:val="clear" w:color="auto" w:fill="FFFFFF"/>
                        <w:vAlign w:val="center"/>
                        <w:hideMark/>
                      </w:tcPr>
                      <w:p w:rsidR="0031427D" w:rsidRPr="00500100" w:rsidRDefault="0031427D" w:rsidP="00B21C91">
                        <w:pPr>
                          <w:spacing w:after="0" w:line="240" w:lineRule="auto"/>
                          <w:rPr>
                            <w:rFonts w:ascii="Verdana" w:eastAsia="Times New Roman" w:hAnsi="Verdana" w:cs="Times New Roman"/>
                            <w:b/>
                            <w:bCs/>
                            <w:color w:val="555555"/>
                            <w:sz w:val="17"/>
                            <w:szCs w:val="17"/>
                          </w:rPr>
                        </w:pPr>
                      </w:p>
                    </w:tc>
                    <w:tc>
                      <w:tcPr>
                        <w:tcW w:w="95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1</w:t>
                        </w:r>
                      </w:p>
                    </w:tc>
                    <w:tc>
                      <w:tcPr>
                        <w:tcW w:w="10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2</w:t>
                        </w:r>
                      </w:p>
                    </w:tc>
                    <w:tc>
                      <w:tcPr>
                        <w:tcW w:w="10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1</w:t>
                        </w:r>
                      </w:p>
                    </w:tc>
                    <w:tc>
                      <w:tcPr>
                        <w:tcW w:w="1000" w:type="pct"/>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b/>
                            <w:bCs/>
                            <w:color w:val="555555"/>
                            <w:sz w:val="17"/>
                            <w:szCs w:val="17"/>
                          </w:rPr>
                        </w:pPr>
                        <w:r w:rsidRPr="00500100">
                          <w:rPr>
                            <w:rFonts w:ascii="Verdana" w:eastAsia="Times New Roman" w:hAnsi="Verdana" w:cs="Times New Roman"/>
                            <w:b/>
                            <w:bCs/>
                            <w:color w:val="555555"/>
                            <w:sz w:val="17"/>
                            <w:szCs w:val="17"/>
                          </w:rPr>
                          <w:t>Scenario 2</w:t>
                        </w:r>
                      </w:p>
                    </w:tc>
                  </w:tr>
                  <w:tr w:rsidR="0031427D" w:rsidRPr="00500100" w:rsidTr="00B21C91">
                    <w:trPr>
                      <w:tblCellSpacing w:w="7" w:type="dxa"/>
                    </w:trPr>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4704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9408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lastRenderedPageBreak/>
                          <w:t>3</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14112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8099</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8099</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8099</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18816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12942</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12942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12942</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23520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18660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18660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18660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28224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23180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23180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23180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7</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32928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27856</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27856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27856</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8</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37632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32744</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32744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32744</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9</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42336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37892</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37892</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37892</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10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47040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43360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7000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18000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50360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61360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15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70560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75200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41000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88200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116200</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94080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106124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30000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100000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136124</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206124</w:t>
                        </w:r>
                      </w:p>
                    </w:tc>
                  </w:tr>
                  <w:tr w:rsidR="0031427D" w:rsidRPr="00500100" w:rsidTr="00B21C91">
                    <w:trPr>
                      <w:tblCellSpacing w:w="7" w:type="dxa"/>
                    </w:trPr>
                    <w:tc>
                      <w:tcPr>
                        <w:tcW w:w="0" w:type="auto"/>
                        <w:shd w:val="clear" w:color="auto" w:fill="FFFFFF"/>
                        <w:vAlign w:val="center"/>
                        <w:hideMark/>
                      </w:tcPr>
                      <w:p w:rsidR="0031427D" w:rsidRPr="00500100" w:rsidRDefault="0031427D" w:rsidP="00B21C91">
                        <w:pPr>
                          <w:spacing w:after="0"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rPr>
                          <w:t>25</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117600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135296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65000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211000</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200296</w:t>
                        </w:r>
                      </w:p>
                    </w:tc>
                    <w:tc>
                      <w:tcPr>
                        <w:tcW w:w="0" w:type="auto"/>
                        <w:shd w:val="clear" w:color="auto" w:fill="FFFFFF"/>
                        <w:vAlign w:val="center"/>
                        <w:hideMark/>
                      </w:tcPr>
                      <w:p w:rsidR="00500100" w:rsidRPr="00500100" w:rsidRDefault="0031427D" w:rsidP="00B21C91">
                        <w:pPr>
                          <w:spacing w:before="100" w:beforeAutospacing="1" w:after="100" w:afterAutospacing="1" w:line="240" w:lineRule="auto"/>
                          <w:jc w:val="center"/>
                          <w:rPr>
                            <w:rFonts w:ascii="Verdana" w:eastAsia="Times New Roman" w:hAnsi="Verdana" w:cs="Times New Roman"/>
                            <w:color w:val="555555"/>
                            <w:sz w:val="17"/>
                            <w:szCs w:val="17"/>
                          </w:rPr>
                        </w:pPr>
                        <w:r w:rsidRPr="00500100">
                          <w:rPr>
                            <w:rFonts w:ascii="Verdana" w:eastAsia="Times New Roman" w:hAnsi="Verdana" w:cs="Times New Roman"/>
                            <w:color w:val="555555"/>
                            <w:sz w:val="17"/>
                            <w:szCs w:val="17"/>
                            <w:lang w:val="en-GB"/>
                          </w:rPr>
                          <w:t>346296</w:t>
                        </w:r>
                      </w:p>
                    </w:tc>
                  </w:tr>
                </w:tbl>
                <w:p w:rsidR="00500100" w:rsidRPr="00500100" w:rsidRDefault="0031427D" w:rsidP="00B21C91">
                  <w:pPr>
                    <w:spacing w:before="100" w:beforeAutospacing="1" w:after="100" w:afterAutospacing="1" w:line="240" w:lineRule="auto"/>
                    <w:jc w:val="both"/>
                    <w:rPr>
                      <w:rFonts w:ascii="Verdana" w:eastAsia="Times New Roman" w:hAnsi="Verdana" w:cs="Times New Roman"/>
                      <w:color w:val="555555"/>
                      <w:sz w:val="17"/>
                      <w:szCs w:val="17"/>
                    </w:rPr>
                  </w:pPr>
                  <w:proofErr w:type="spellStart"/>
                  <w:r w:rsidRPr="00500100">
                    <w:rPr>
                      <w:rFonts w:ascii="Verdana" w:eastAsia="Times New Roman" w:hAnsi="Verdana" w:cs="Times New Roman"/>
                      <w:i/>
                      <w:iCs/>
                      <w:color w:val="555555"/>
                      <w:sz w:val="17"/>
                      <w:lang w:val="en-GB"/>
                    </w:rPr>
                    <w:t>i</w:t>
                  </w:r>
                  <w:proofErr w:type="spellEnd"/>
                  <w:r w:rsidRPr="00500100">
                    <w:rPr>
                      <w:rFonts w:ascii="Verdana" w:eastAsia="Times New Roman" w:hAnsi="Verdana" w:cs="Times New Roman"/>
                      <w:i/>
                      <w:iCs/>
                      <w:color w:val="555555"/>
                      <w:sz w:val="17"/>
                      <w:lang w:val="en-GB"/>
                    </w:rPr>
                    <w:t>) This illustration is applicable to a non-smoker male/female standard (from medical, life style and occupation point of view) life.</w:t>
                  </w:r>
                  <w:r w:rsidRPr="00500100">
                    <w:rPr>
                      <w:rFonts w:ascii="Verdana" w:eastAsia="Times New Roman" w:hAnsi="Verdana" w:cs="Times New Roman"/>
                      <w:color w:val="555555"/>
                      <w:sz w:val="17"/>
                      <w:szCs w:val="17"/>
                    </w:rPr>
                    <w:br/>
                  </w:r>
                  <w:r w:rsidRPr="00500100">
                    <w:rPr>
                      <w:rFonts w:ascii="Verdana" w:eastAsia="Times New Roman" w:hAnsi="Verdana" w:cs="Times New Roman"/>
                      <w:i/>
                      <w:iCs/>
                      <w:color w:val="555555"/>
                      <w:sz w:val="17"/>
                      <w:szCs w:val="17"/>
                      <w:lang w:val="en-GB"/>
                    </w:rPr>
                    <w:br/>
                  </w:r>
                  <w:r w:rsidRPr="00500100">
                    <w:rPr>
                      <w:rFonts w:ascii="Verdana" w:eastAsia="Times New Roman" w:hAnsi="Verdana" w:cs="Times New Roman"/>
                      <w:i/>
                      <w:iCs/>
                      <w:color w:val="555555"/>
                      <w:sz w:val="17"/>
                      <w:lang w:val="en-GB"/>
                    </w:rPr>
                    <w:t>ii) The non-guaranteed benefits (1) and (2) in above illustration are calculated so that they are consistent with the Projected Investment Rate of Return assumption of 6% p.a</w:t>
                  </w:r>
                  <w:proofErr w:type="gramStart"/>
                  <w:r w:rsidRPr="00500100">
                    <w:rPr>
                      <w:rFonts w:ascii="Verdana" w:eastAsia="Times New Roman" w:hAnsi="Verdana" w:cs="Times New Roman"/>
                      <w:i/>
                      <w:iCs/>
                      <w:color w:val="555555"/>
                      <w:sz w:val="17"/>
                      <w:lang w:val="en-GB"/>
                    </w:rPr>
                    <w:t>.(</w:t>
                  </w:r>
                  <w:proofErr w:type="gramEnd"/>
                  <w:r w:rsidRPr="00500100">
                    <w:rPr>
                      <w:rFonts w:ascii="Verdana" w:eastAsia="Times New Roman" w:hAnsi="Verdana" w:cs="Times New Roman"/>
                      <w:i/>
                      <w:iCs/>
                      <w:color w:val="555555"/>
                      <w:sz w:val="17"/>
                      <w:lang w:val="en-GB"/>
                    </w:rPr>
                    <w:t>Scenario 1) and 10% p.a. (Scenario 2) respectively.  In other words, in preparing this benefit illustration, it is assumed that the Projected Investment Rate of Return that LICI will be able to earn </w:t>
                  </w:r>
                  <w:r w:rsidRPr="00500100">
                    <w:rPr>
                      <w:rFonts w:ascii="Verdana" w:eastAsia="Times New Roman" w:hAnsi="Verdana" w:cs="Times New Roman"/>
                      <w:b/>
                      <w:bCs/>
                      <w:i/>
                      <w:iCs/>
                      <w:color w:val="555555"/>
                      <w:sz w:val="17"/>
                      <w:lang w:val="en-GB"/>
                    </w:rPr>
                    <w:t>throughout the term of the policy</w:t>
                  </w:r>
                  <w:r w:rsidRPr="00500100">
                    <w:rPr>
                      <w:rFonts w:ascii="Verdana" w:eastAsia="Times New Roman" w:hAnsi="Verdana" w:cs="Times New Roman"/>
                      <w:i/>
                      <w:iCs/>
                      <w:color w:val="555555"/>
                      <w:sz w:val="17"/>
                      <w:lang w:val="en-GB"/>
                    </w:rPr>
                    <w:t> will be 6% p.a. or 10% p.a., as the case may be.  The Projected Investment Rate of Return is </w:t>
                  </w:r>
                  <w:r w:rsidRPr="00500100">
                    <w:rPr>
                      <w:rFonts w:ascii="Verdana" w:eastAsia="Times New Roman" w:hAnsi="Verdana" w:cs="Times New Roman"/>
                      <w:b/>
                      <w:bCs/>
                      <w:i/>
                      <w:iCs/>
                      <w:color w:val="555555"/>
                      <w:sz w:val="17"/>
                      <w:lang w:val="en-GB"/>
                    </w:rPr>
                    <w:t>not guaranteed</w:t>
                  </w:r>
                  <w:r w:rsidRPr="00500100">
                    <w:rPr>
                      <w:rFonts w:ascii="Verdana" w:eastAsia="Times New Roman" w:hAnsi="Verdana" w:cs="Times New Roman"/>
                      <w:i/>
                      <w:iCs/>
                      <w:color w:val="555555"/>
                      <w:sz w:val="17"/>
                      <w:lang w:val="en-GB"/>
                    </w:rPr>
                    <w:t>.</w:t>
                  </w:r>
                  <w:r w:rsidRPr="00500100">
                    <w:rPr>
                      <w:rFonts w:ascii="Verdana" w:eastAsia="Times New Roman" w:hAnsi="Verdana" w:cs="Times New Roman"/>
                      <w:color w:val="555555"/>
                      <w:sz w:val="17"/>
                      <w:szCs w:val="17"/>
                    </w:rPr>
                    <w:br/>
                  </w:r>
                  <w:r w:rsidRPr="00500100">
                    <w:rPr>
                      <w:rFonts w:ascii="Verdana" w:eastAsia="Times New Roman" w:hAnsi="Verdana" w:cs="Times New Roman"/>
                      <w:color w:val="555555"/>
                      <w:sz w:val="17"/>
                      <w:szCs w:val="17"/>
                    </w:rPr>
                    <w:br/>
                  </w:r>
                  <w:r w:rsidRPr="00500100">
                    <w:rPr>
                      <w:rFonts w:ascii="Verdana" w:eastAsia="Times New Roman" w:hAnsi="Verdana" w:cs="Times New Roman"/>
                      <w:i/>
                      <w:iCs/>
                      <w:color w:val="555555"/>
                      <w:sz w:val="17"/>
                      <w:lang w:val="en-GB"/>
                    </w:rPr>
                    <w:t>iii) The main objective of the illustration is that the client is able to appreciate the features of the product and the flow of benefits in different circumstances with some level of quantification.</w:t>
                  </w:r>
                  <w:r w:rsidRPr="00500100">
                    <w:rPr>
                      <w:rFonts w:ascii="Verdana" w:eastAsia="Times New Roman" w:hAnsi="Verdana" w:cs="Times New Roman"/>
                      <w:color w:val="555555"/>
                      <w:sz w:val="17"/>
                      <w:szCs w:val="17"/>
                    </w:rPr>
                    <w:br/>
                  </w:r>
                  <w:r w:rsidRPr="00500100">
                    <w:rPr>
                      <w:rFonts w:ascii="Verdana" w:eastAsia="Times New Roman" w:hAnsi="Verdana" w:cs="Times New Roman"/>
                      <w:color w:val="555555"/>
                      <w:sz w:val="17"/>
                      <w:szCs w:val="17"/>
                    </w:rPr>
                    <w:br/>
                  </w:r>
                  <w:r w:rsidRPr="00500100">
                    <w:rPr>
                      <w:rFonts w:ascii="Verdana" w:eastAsia="Times New Roman" w:hAnsi="Verdana" w:cs="Times New Roman"/>
                      <w:i/>
                      <w:iCs/>
                      <w:color w:val="555555"/>
                      <w:sz w:val="17"/>
                      <w:lang w:val="en-GB"/>
                    </w:rPr>
                    <w:t>iv) Loyalty additions will depend on future profits and as such is not guaranteed.</w:t>
                  </w:r>
                  <w:r w:rsidRPr="00500100">
                    <w:rPr>
                      <w:rFonts w:ascii="Verdana" w:eastAsia="Times New Roman" w:hAnsi="Verdana" w:cs="Times New Roman"/>
                      <w:color w:val="555555"/>
                      <w:sz w:val="17"/>
                      <w:szCs w:val="17"/>
                    </w:rPr>
                    <w:br/>
                  </w:r>
                  <w:r w:rsidRPr="00500100">
                    <w:rPr>
                      <w:rFonts w:ascii="Verdana" w:eastAsia="Times New Roman" w:hAnsi="Verdana" w:cs="Times New Roman"/>
                      <w:color w:val="555555"/>
                      <w:sz w:val="17"/>
                      <w:szCs w:val="17"/>
                    </w:rPr>
                    <w:br/>
                  </w:r>
                  <w:r w:rsidRPr="00500100">
                    <w:rPr>
                      <w:rFonts w:ascii="Verdana" w:eastAsia="Times New Roman" w:hAnsi="Verdana" w:cs="Times New Roman"/>
                      <w:i/>
                      <w:iCs/>
                      <w:color w:val="555555"/>
                      <w:sz w:val="17"/>
                    </w:rPr>
                    <w:t>v)</w:t>
                  </w:r>
                  <w:r w:rsidRPr="00500100">
                    <w:rPr>
                      <w:rFonts w:ascii="Verdana" w:eastAsia="Times New Roman" w:hAnsi="Verdana" w:cs="Times New Roman"/>
                      <w:i/>
                      <w:iCs/>
                      <w:color w:val="555555"/>
                      <w:sz w:val="17"/>
                      <w:lang w:val="en-GB"/>
                    </w:rPr>
                    <w:t> The Maturity Benefit is the amount shown at the end of the policy term.</w:t>
                  </w:r>
                </w:p>
              </w:tc>
            </w:tr>
          </w:tbl>
          <w:p w:rsidR="0031427D" w:rsidRPr="00500100" w:rsidRDefault="0031427D" w:rsidP="00B21C91">
            <w:pPr>
              <w:spacing w:after="0" w:line="240" w:lineRule="auto"/>
              <w:rPr>
                <w:rFonts w:ascii="Times New Roman" w:eastAsia="Times New Roman" w:hAnsi="Times New Roman" w:cs="Times New Roman"/>
                <w:sz w:val="24"/>
                <w:szCs w:val="24"/>
              </w:rPr>
            </w:pPr>
          </w:p>
        </w:tc>
      </w:tr>
    </w:tbl>
    <w:p w:rsidR="0031427D" w:rsidRDefault="0031427D" w:rsidP="0031427D"/>
    <w:sectPr w:rsidR="0031427D" w:rsidSect="00307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27D"/>
    <w:rsid w:val="00307252"/>
    <w:rsid w:val="0031427D"/>
    <w:rsid w:val="005D4224"/>
    <w:rsid w:val="008C7FAE"/>
    <w:rsid w:val="00C31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er2">
    <w:name w:val="contentheader2"/>
    <w:basedOn w:val="DefaultParagraphFont"/>
    <w:rsid w:val="0031427D"/>
  </w:style>
  <w:style w:type="character" w:styleId="Strong">
    <w:name w:val="Strong"/>
    <w:basedOn w:val="DefaultParagraphFont"/>
    <w:uiPriority w:val="22"/>
    <w:qFormat/>
    <w:rsid w:val="0031427D"/>
    <w:rPr>
      <w:b/>
      <w:bCs/>
    </w:rPr>
  </w:style>
  <w:style w:type="paragraph" w:styleId="BalloonText">
    <w:name w:val="Balloon Text"/>
    <w:basedOn w:val="Normal"/>
    <w:link w:val="BalloonTextChar"/>
    <w:uiPriority w:val="99"/>
    <w:semiHidden/>
    <w:unhideWhenUsed/>
    <w:rsid w:val="00314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2013-04-02T12:27:00Z</dcterms:created>
  <dcterms:modified xsi:type="dcterms:W3CDTF">2013-04-02T12:31:00Z</dcterms:modified>
</cp:coreProperties>
</file>