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C56C1" w14:textId="764DA6AD" w:rsidR="00781E43" w:rsidRPr="000A75F1" w:rsidRDefault="005E0527" w:rsidP="005E0527">
      <w:pPr>
        <w:spacing w:line="276" w:lineRule="auto"/>
        <w:rPr>
          <w:rFonts w:cstheme="minorHAnsi"/>
          <w:b/>
          <w:bCs/>
          <w:sz w:val="24"/>
          <w:szCs w:val="24"/>
        </w:rPr>
      </w:pPr>
      <w:r w:rsidRPr="000A75F1">
        <w:rPr>
          <w:rFonts w:cstheme="minorHAnsi"/>
          <w:b/>
          <w:bCs/>
          <w:sz w:val="24"/>
          <w:szCs w:val="24"/>
        </w:rPr>
        <w:t>Case Notes – 2023</w:t>
      </w:r>
    </w:p>
    <w:p w14:paraId="6E8B512A" w14:textId="7011C023" w:rsidR="005E0527" w:rsidRPr="000A75F1" w:rsidRDefault="005E0527" w:rsidP="005E0527">
      <w:pPr>
        <w:spacing w:line="276" w:lineRule="auto"/>
        <w:rPr>
          <w:rFonts w:cstheme="minorHAnsi"/>
          <w:b/>
          <w:bCs/>
          <w:sz w:val="24"/>
          <w:szCs w:val="24"/>
          <w:u w:val="single"/>
        </w:rPr>
      </w:pPr>
      <w:r w:rsidRPr="000A75F1">
        <w:rPr>
          <w:rFonts w:cstheme="minorHAnsi"/>
          <w:b/>
          <w:bCs/>
          <w:sz w:val="24"/>
          <w:szCs w:val="24"/>
          <w:u w:val="single"/>
        </w:rPr>
        <w:t>03/15/2023</w:t>
      </w:r>
    </w:p>
    <w:p w14:paraId="26D66565" w14:textId="674C2098" w:rsidR="005E0527" w:rsidRPr="000A75F1" w:rsidRDefault="005E0527" w:rsidP="005E0527">
      <w:pPr>
        <w:pStyle w:val="ListParagraph"/>
        <w:numPr>
          <w:ilvl w:val="0"/>
          <w:numId w:val="1"/>
        </w:numPr>
        <w:spacing w:line="276" w:lineRule="auto"/>
        <w:rPr>
          <w:rFonts w:asciiTheme="minorHAnsi" w:hAnsiTheme="minorHAnsi" w:cstheme="minorHAnsi"/>
        </w:rPr>
      </w:pPr>
      <w:r w:rsidRPr="000A75F1">
        <w:rPr>
          <w:rFonts w:asciiTheme="minorHAnsi" w:hAnsiTheme="minorHAnsi" w:cstheme="minorHAnsi"/>
        </w:rPr>
        <w:t xml:space="preserve">DSHS has reported final 2021 COVID-19 case data to the CDC as of 12/22/22. The 2021 totals following de-duplication and other data corrections are </w:t>
      </w:r>
      <w:r w:rsidRPr="000A75F1">
        <w:rPr>
          <w:rFonts w:asciiTheme="minorHAnsi" w:hAnsiTheme="minorHAnsi" w:cstheme="minorHAnsi"/>
          <w:b/>
          <w:bCs/>
        </w:rPr>
        <w:t>2,244,878 confirmed and 649,458 probable case</w:t>
      </w:r>
      <w:r w:rsidRPr="000A75F1">
        <w:rPr>
          <w:rFonts w:asciiTheme="minorHAnsi" w:hAnsiTheme="minorHAnsi" w:cstheme="minorHAnsi"/>
        </w:rPr>
        <w:t xml:space="preserve">s. </w:t>
      </w:r>
    </w:p>
    <w:p w14:paraId="09FCA43E" w14:textId="27B3C964" w:rsidR="005E0527" w:rsidRPr="000A75F1" w:rsidRDefault="005E0527" w:rsidP="005E0527">
      <w:pPr>
        <w:pStyle w:val="ListParagraph"/>
        <w:numPr>
          <w:ilvl w:val="0"/>
          <w:numId w:val="1"/>
        </w:numPr>
        <w:spacing w:line="276" w:lineRule="auto"/>
        <w:rPr>
          <w:rFonts w:asciiTheme="minorHAnsi" w:hAnsiTheme="minorHAnsi" w:cstheme="minorHAnsi"/>
          <w:b/>
          <w:bCs/>
        </w:rPr>
      </w:pPr>
      <w:r w:rsidRPr="000A75F1">
        <w:rPr>
          <w:rFonts w:asciiTheme="minorHAnsi" w:hAnsiTheme="minorHAnsi" w:cstheme="minorHAnsi"/>
        </w:rPr>
        <w:t xml:space="preserve">DSHS has updated statewide and county case counts to include these final 2021 data submitted to the CDC. That led to an increase of </w:t>
      </w:r>
      <w:r w:rsidRPr="000A75F1">
        <w:rPr>
          <w:rFonts w:asciiTheme="minorHAnsi" w:hAnsiTheme="minorHAnsi" w:cstheme="minorHAnsi"/>
          <w:b/>
          <w:bCs/>
        </w:rPr>
        <w:t>5,232 confirmed and 69,216 probable cases.</w:t>
      </w:r>
    </w:p>
    <w:p w14:paraId="3C359C1D" w14:textId="77777777" w:rsidR="005E0527" w:rsidRPr="000A75F1" w:rsidRDefault="005E0527" w:rsidP="005E0527">
      <w:pPr>
        <w:pStyle w:val="ListParagraph"/>
        <w:numPr>
          <w:ilvl w:val="0"/>
          <w:numId w:val="1"/>
        </w:numPr>
        <w:spacing w:line="276" w:lineRule="auto"/>
        <w:rPr>
          <w:rFonts w:asciiTheme="minorHAnsi" w:hAnsiTheme="minorHAnsi" w:cstheme="minorHAnsi"/>
        </w:rPr>
      </w:pPr>
      <w:r w:rsidRPr="000A75F1">
        <w:rPr>
          <w:rFonts w:asciiTheme="minorHAnsi" w:hAnsiTheme="minorHAnsi" w:cstheme="minorHAnsi"/>
        </w:rPr>
        <w:t>Additional notes regarding this update are as follows:</w:t>
      </w:r>
    </w:p>
    <w:p w14:paraId="6FB2EA36" w14:textId="77777777" w:rsidR="005E0527" w:rsidRPr="000A75F1" w:rsidRDefault="005E0527" w:rsidP="005E0527">
      <w:pPr>
        <w:pStyle w:val="ListParagraph"/>
        <w:numPr>
          <w:ilvl w:val="1"/>
          <w:numId w:val="1"/>
        </w:numPr>
        <w:spacing w:line="276" w:lineRule="auto"/>
        <w:rPr>
          <w:rFonts w:asciiTheme="minorHAnsi" w:eastAsia="Times New Roman" w:hAnsiTheme="minorHAnsi" w:cstheme="minorHAnsi"/>
        </w:rPr>
      </w:pPr>
      <w:r w:rsidRPr="000A75F1">
        <w:rPr>
          <w:rFonts w:asciiTheme="minorHAnsi" w:eastAsia="Times New Roman" w:hAnsiTheme="minorHAnsi" w:cstheme="minorHAnsi"/>
        </w:rPr>
        <w:t>Finalized data are based on a defined MMWR Year, which is an epidemiologic year used by the Centers for Disease Control’s National Notifiable Diseases Surveillance System (NNDSS) for disease incidence reporting and publishing. In this dashboard:</w:t>
      </w:r>
    </w:p>
    <w:p w14:paraId="3DD0061D" w14:textId="77777777" w:rsidR="005E0527" w:rsidRPr="000A75F1" w:rsidRDefault="005E0527" w:rsidP="005E0527">
      <w:pPr>
        <w:pStyle w:val="ListParagraph"/>
        <w:numPr>
          <w:ilvl w:val="1"/>
          <w:numId w:val="1"/>
        </w:numPr>
        <w:spacing w:line="276" w:lineRule="auto"/>
        <w:rPr>
          <w:rFonts w:asciiTheme="minorHAnsi" w:eastAsia="Times New Roman" w:hAnsiTheme="minorHAnsi" w:cstheme="minorHAnsi"/>
        </w:rPr>
      </w:pPr>
      <w:r w:rsidRPr="000A75F1">
        <w:rPr>
          <w:rFonts w:asciiTheme="minorHAnsi" w:eastAsia="Times New Roman" w:hAnsiTheme="minorHAnsi" w:cstheme="minorHAnsi"/>
        </w:rPr>
        <w:t>The dashboard reports data based a typical calendar year. However finalized data are selected based on an MMWR Year. For example MMWR Year 2021 was 1/3/2021 through 1/1/2022.</w:t>
      </w:r>
    </w:p>
    <w:p w14:paraId="708760F9" w14:textId="77777777" w:rsidR="005E0527" w:rsidRPr="000A75F1" w:rsidRDefault="005E0527" w:rsidP="005E0527">
      <w:pPr>
        <w:pStyle w:val="ListParagraph"/>
        <w:numPr>
          <w:ilvl w:val="1"/>
          <w:numId w:val="1"/>
        </w:numPr>
        <w:spacing w:line="276" w:lineRule="auto"/>
        <w:rPr>
          <w:rFonts w:asciiTheme="minorHAnsi" w:eastAsia="Times New Roman" w:hAnsiTheme="minorHAnsi" w:cstheme="minorHAnsi"/>
        </w:rPr>
      </w:pPr>
      <w:r w:rsidRPr="000A75F1">
        <w:rPr>
          <w:rFonts w:asciiTheme="minorHAnsi" w:eastAsia="Times New Roman" w:hAnsiTheme="minorHAnsi" w:cstheme="minorHAnsi"/>
        </w:rPr>
        <w:t xml:space="preserve">Any cases falling on those days that are in the MMWR Year but with a date not in the same calendar year are counted the MMWR year without a date. </w:t>
      </w:r>
    </w:p>
    <w:p w14:paraId="14A01384" w14:textId="77777777" w:rsidR="005E0527" w:rsidRPr="000A75F1" w:rsidRDefault="005E0527" w:rsidP="005E0527">
      <w:pPr>
        <w:pStyle w:val="ListParagraph"/>
        <w:numPr>
          <w:ilvl w:val="1"/>
          <w:numId w:val="1"/>
        </w:numPr>
        <w:spacing w:line="276" w:lineRule="auto"/>
        <w:rPr>
          <w:rFonts w:asciiTheme="minorHAnsi" w:eastAsia="Times New Roman" w:hAnsiTheme="minorHAnsi" w:cstheme="minorHAnsi"/>
        </w:rPr>
      </w:pPr>
      <w:r w:rsidRPr="000A75F1">
        <w:rPr>
          <w:rFonts w:asciiTheme="minorHAnsi" w:eastAsia="Times New Roman" w:hAnsiTheme="minorHAnsi" w:cstheme="minorHAnsi"/>
        </w:rPr>
        <w:t>Thus in addition to the 1/1/21-1/2/21 cases reported and shown on the dashboard, there are an additional 37,665 MMWR year 2020 confirmed and 3,460 MMWR year 2020 probable cases reported on 1/1/21-1/2/21. These were counted as MMWR Year 2020 cases without a date.</w:t>
      </w:r>
    </w:p>
    <w:p w14:paraId="5C196786" w14:textId="5C59422A" w:rsidR="005E0527" w:rsidRPr="000A75F1" w:rsidRDefault="005E0527" w:rsidP="005E0527">
      <w:pPr>
        <w:pStyle w:val="ListParagraph"/>
        <w:numPr>
          <w:ilvl w:val="0"/>
          <w:numId w:val="1"/>
        </w:numPr>
        <w:spacing w:line="276" w:lineRule="auto"/>
        <w:rPr>
          <w:rFonts w:asciiTheme="minorHAnsi" w:eastAsia="Times New Roman" w:hAnsiTheme="minorHAnsi" w:cstheme="minorHAnsi"/>
        </w:rPr>
      </w:pPr>
      <w:r w:rsidRPr="000A75F1">
        <w:rPr>
          <w:rFonts w:asciiTheme="minorHAnsi" w:eastAsia="Times New Roman" w:hAnsiTheme="minorHAnsi" w:cstheme="minorHAnsi"/>
        </w:rPr>
        <w:t xml:space="preserve">On </w:t>
      </w:r>
      <w:r w:rsidRPr="000A75F1">
        <w:rPr>
          <w:rFonts w:asciiTheme="minorHAnsi" w:eastAsia="Times New Roman" w:hAnsiTheme="minorHAnsi" w:cstheme="minorHAnsi"/>
          <w:b/>
          <w:bCs/>
        </w:rPr>
        <w:t>July 13 and 14, 2021</w:t>
      </w:r>
      <w:r w:rsidRPr="000A75F1">
        <w:rPr>
          <w:rFonts w:asciiTheme="minorHAnsi" w:eastAsia="Times New Roman" w:hAnsiTheme="minorHAnsi" w:cstheme="minorHAnsi"/>
        </w:rPr>
        <w:t xml:space="preserve"> the count of confirmed and probable cases is higher than surrounding days. During those days, an additional 50,381 confirmed and 16,159 probable cases that had not yet been reported were added to the NEDSS reporting system.</w:t>
      </w:r>
    </w:p>
    <w:p w14:paraId="42AC8177" w14:textId="3B7B062F" w:rsidR="005E0527" w:rsidRPr="000A75F1" w:rsidRDefault="005E0527" w:rsidP="005E0527">
      <w:pPr>
        <w:pStyle w:val="ListParagraph"/>
        <w:numPr>
          <w:ilvl w:val="0"/>
          <w:numId w:val="1"/>
        </w:numPr>
        <w:spacing w:line="276" w:lineRule="auto"/>
        <w:rPr>
          <w:rFonts w:asciiTheme="minorHAnsi" w:hAnsiTheme="minorHAnsi" w:cstheme="minorHAnsi"/>
        </w:rPr>
      </w:pPr>
      <w:r w:rsidRPr="000A75F1">
        <w:rPr>
          <w:rFonts w:asciiTheme="minorHAnsi" w:eastAsia="Times New Roman" w:hAnsiTheme="minorHAnsi" w:cstheme="minorHAnsi"/>
        </w:rPr>
        <w:t xml:space="preserve">On </w:t>
      </w:r>
      <w:r w:rsidRPr="000A75F1">
        <w:rPr>
          <w:rFonts w:asciiTheme="minorHAnsi" w:eastAsia="Times New Roman" w:hAnsiTheme="minorHAnsi" w:cstheme="minorHAnsi"/>
          <w:b/>
          <w:bCs/>
        </w:rPr>
        <w:t>December 31, 2021</w:t>
      </w:r>
      <w:r w:rsidRPr="000A75F1">
        <w:rPr>
          <w:rFonts w:asciiTheme="minorHAnsi" w:eastAsia="Times New Roman" w:hAnsiTheme="minorHAnsi" w:cstheme="minorHAnsi"/>
        </w:rPr>
        <w:t xml:space="preserve"> the count of confirmed and probable cases is higher than in previous days. Improvements in the database reporting system allowed additional cases to be processed that day, while a simultaneous increase in case counts occurred due to a surge in the COVID-19 Omicron (BA.5) case variant.</w:t>
      </w:r>
    </w:p>
    <w:p w14:paraId="79A90EB7" w14:textId="2A0089CA" w:rsidR="005E0527" w:rsidRPr="000A75F1" w:rsidRDefault="005E0527" w:rsidP="005E0527">
      <w:pPr>
        <w:spacing w:line="276" w:lineRule="auto"/>
        <w:rPr>
          <w:rFonts w:cstheme="minorHAnsi"/>
          <w:sz w:val="24"/>
          <w:szCs w:val="24"/>
        </w:rPr>
      </w:pPr>
    </w:p>
    <w:p w14:paraId="71B2CF8A" w14:textId="31249E0D" w:rsidR="000A75F1" w:rsidRPr="000A75F1" w:rsidRDefault="000A75F1" w:rsidP="005E0527">
      <w:pPr>
        <w:spacing w:line="276" w:lineRule="auto"/>
        <w:rPr>
          <w:rFonts w:cstheme="minorHAnsi"/>
          <w:b/>
          <w:bCs/>
          <w:sz w:val="24"/>
          <w:szCs w:val="24"/>
          <w:u w:val="single"/>
        </w:rPr>
      </w:pPr>
      <w:r w:rsidRPr="000A75F1">
        <w:rPr>
          <w:rFonts w:cstheme="minorHAnsi"/>
          <w:b/>
          <w:bCs/>
          <w:sz w:val="24"/>
          <w:szCs w:val="24"/>
          <w:u w:val="single"/>
        </w:rPr>
        <w:t>03/12/2023</w:t>
      </w:r>
    </w:p>
    <w:p w14:paraId="64D02359" w14:textId="62A20E7C" w:rsidR="000A75F1" w:rsidRPr="000A75F1" w:rsidRDefault="000A75F1" w:rsidP="005E0527">
      <w:pPr>
        <w:spacing w:line="276" w:lineRule="auto"/>
        <w:rPr>
          <w:rFonts w:cstheme="minorHAnsi"/>
          <w:sz w:val="24"/>
          <w:szCs w:val="24"/>
        </w:rPr>
      </w:pPr>
      <w:r w:rsidRPr="000A75F1">
        <w:rPr>
          <w:sz w:val="24"/>
          <w:szCs w:val="24"/>
        </w:rPr>
        <w:t>Due to NEDSS maintenance on 3/12, the ELR importer did not run. There are no case counts for that day.</w:t>
      </w:r>
    </w:p>
    <w:p w14:paraId="055CB610" w14:textId="77777777" w:rsidR="000A75F1" w:rsidRDefault="000A75F1">
      <w:pPr>
        <w:rPr>
          <w:rFonts w:cstheme="minorHAnsi"/>
          <w:b/>
          <w:bCs/>
          <w:sz w:val="24"/>
          <w:szCs w:val="24"/>
          <w:u w:val="single"/>
        </w:rPr>
      </w:pPr>
      <w:r>
        <w:rPr>
          <w:rFonts w:cstheme="minorHAnsi"/>
          <w:b/>
          <w:bCs/>
          <w:sz w:val="24"/>
          <w:szCs w:val="24"/>
          <w:u w:val="single"/>
        </w:rPr>
        <w:br w:type="page"/>
      </w:r>
    </w:p>
    <w:p w14:paraId="1603A2B9" w14:textId="636719FC" w:rsidR="005E0527" w:rsidRPr="000A75F1" w:rsidRDefault="005E0527" w:rsidP="005E0527">
      <w:pPr>
        <w:spacing w:line="276" w:lineRule="auto"/>
        <w:rPr>
          <w:rFonts w:cstheme="minorHAnsi"/>
          <w:b/>
          <w:bCs/>
          <w:sz w:val="24"/>
          <w:szCs w:val="24"/>
          <w:u w:val="single"/>
        </w:rPr>
      </w:pPr>
      <w:r w:rsidRPr="000A75F1">
        <w:rPr>
          <w:rFonts w:cstheme="minorHAnsi"/>
          <w:b/>
          <w:bCs/>
          <w:sz w:val="24"/>
          <w:szCs w:val="24"/>
          <w:u w:val="single"/>
        </w:rPr>
        <w:t>03/04/2023</w:t>
      </w:r>
    </w:p>
    <w:p w14:paraId="50EF469A" w14:textId="305B8CE8" w:rsidR="005E0527" w:rsidRPr="000A75F1" w:rsidRDefault="005E0527" w:rsidP="005E0527">
      <w:pPr>
        <w:spacing w:line="276" w:lineRule="auto"/>
        <w:rPr>
          <w:rFonts w:cstheme="minorHAnsi"/>
          <w:sz w:val="24"/>
          <w:szCs w:val="24"/>
        </w:rPr>
      </w:pPr>
      <w:r w:rsidRPr="000A75F1">
        <w:rPr>
          <w:rFonts w:cstheme="minorHAnsi"/>
          <w:sz w:val="24"/>
          <w:szCs w:val="24"/>
        </w:rPr>
        <w:t>On March 4, 2023, the lab importer did not run because of planned annual maintenance. This led to artificially low confirmed and probable case counts on this date.</w:t>
      </w:r>
    </w:p>
    <w:p w14:paraId="43397C98" w14:textId="4E139541" w:rsidR="005E0527" w:rsidRPr="000A75F1" w:rsidRDefault="005E0527" w:rsidP="005E0527">
      <w:pPr>
        <w:spacing w:line="276" w:lineRule="auto"/>
        <w:rPr>
          <w:rFonts w:cstheme="minorHAnsi"/>
          <w:b/>
          <w:bCs/>
          <w:sz w:val="24"/>
          <w:szCs w:val="24"/>
          <w:u w:val="single"/>
        </w:rPr>
      </w:pPr>
      <w:r w:rsidRPr="000A75F1">
        <w:rPr>
          <w:rFonts w:cstheme="minorHAnsi"/>
          <w:b/>
          <w:bCs/>
          <w:sz w:val="24"/>
          <w:szCs w:val="24"/>
          <w:u w:val="single"/>
        </w:rPr>
        <w:t>02/23/2023</w:t>
      </w:r>
    </w:p>
    <w:p w14:paraId="6051C929" w14:textId="342740F1" w:rsidR="005E0527" w:rsidRPr="000A75F1" w:rsidRDefault="005E0527" w:rsidP="005E0527">
      <w:pPr>
        <w:spacing w:line="276" w:lineRule="auto"/>
        <w:rPr>
          <w:rFonts w:cstheme="minorHAnsi"/>
          <w:sz w:val="24"/>
          <w:szCs w:val="24"/>
        </w:rPr>
      </w:pPr>
      <w:r w:rsidRPr="000A75F1">
        <w:rPr>
          <w:rFonts w:cstheme="minorHAnsi"/>
          <w:sz w:val="24"/>
          <w:szCs w:val="24"/>
        </w:rPr>
        <w:t>A backlog of labs on 2/22/2023 resulted in a large increase in new confirmed cases.</w:t>
      </w:r>
    </w:p>
    <w:sectPr w:rsidR="005E0527" w:rsidRPr="000A7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43B08"/>
    <w:multiLevelType w:val="hybridMultilevel"/>
    <w:tmpl w:val="AC26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4D09E3"/>
    <w:multiLevelType w:val="hybridMultilevel"/>
    <w:tmpl w:val="70DC1C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45932034">
    <w:abstractNumId w:val="1"/>
  </w:num>
  <w:num w:numId="2" w16cid:durableId="1560048588">
    <w:abstractNumId w:val="1"/>
  </w:num>
  <w:num w:numId="3" w16cid:durableId="715392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43"/>
    <w:rsid w:val="000A75F1"/>
    <w:rsid w:val="005E0527"/>
    <w:rsid w:val="00781E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63927"/>
  <w15:chartTrackingRefBased/>
  <w15:docId w15:val="{78371AD1-02D2-456B-8226-3F70F4A88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527"/>
    <w:pPr>
      <w:spacing w:after="0" w:line="240" w:lineRule="auto"/>
      <w:ind w:left="720"/>
    </w:pPr>
    <w:rPr>
      <w:rFonts w:ascii="Verdana" w:hAnsi="Verdana"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79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Seidel,Sarah (DSHS)</dc:creator>
  <cp:keywords/>
  <dc:description/>
  <cp:lastModifiedBy>NILESH JOSHI</cp:lastModifiedBy>
  <cp:revision>4</cp:revision>
  <dcterms:created xsi:type="dcterms:W3CDTF">2023-10-05T21:46:00Z</dcterms:created>
  <dcterms:modified xsi:type="dcterms:W3CDTF">2023-10-05T21:46:00Z</dcterms:modified>
</cp:coreProperties>
</file>