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0A7E8C"/>
          <w:spacing w:val="40"/>
          <w:sz w:val="30"/>
          <w:szCs w:val="30"/>
        </w:rPr>
        <w:t xml:space="preserve">ASCENDANCY ANALYTICS</w:t>
      </w:r>
    </w:p>
    <w:p>
      <w:pPr>
        <w:pBdr>
          <w:bottom w:val="single" w:color="0A7E8C" w:sz="12" w:space="10"/>
        </w:pBdr>
        <w:spacing w:after="0" w:before="40"/>
      </w:pPr>
      <w:r>
        <w:rPr>
          <w:rFonts w:ascii="Calibri" w:cs="Calibri" w:eastAsia="Calibri" w:hAnsi="Calibri"/>
          <w:i/>
          <w:iCs/>
          <w:color w:val="5A6B70"/>
          <w:sz w:val="22"/>
          <w:szCs w:val="22"/>
        </w:rPr>
        <w:t xml:space="preserve">AI-Driven Precision Agriculture Platform</w:t>
      </w:r>
    </w:p>
    <w:p>
      <w:pPr>
        <w:spacing w:after="0" w:before="520"/>
      </w:pPr>
      <w:r>
        <w:rPr>
          <w:rFonts w:ascii="Calibri" w:cs="Calibri" w:eastAsia="Calibri" w:hAnsi="Calibri"/>
          <w:color w:val="5A6B70"/>
          <w:sz w:val="26"/>
          <w:szCs w:val="26"/>
        </w:rPr>
        <w:t xml:space="preserve">Phase 1 Proposal</w:t>
      </w:r>
    </w:p>
    <w:p>
      <w:pPr>
        <w:spacing w:after="0" w:before="60"/>
      </w:pPr>
      <w:r>
        <w:rPr>
          <w:rFonts w:ascii="Calibri" w:cs="Calibri" w:eastAsia="Calibri" w:hAnsi="Calibri"/>
          <w:b/>
          <w:bCs/>
          <w:color w:val="0F2A33"/>
          <w:sz w:val="40"/>
          <w:szCs w:val="40"/>
        </w:rPr>
        <w:t xml:space="preserve">Research &amp; Development, Scope Definition</w:t>
      </w:r>
    </w:p>
    <w:p>
      <w:pPr>
        <w:spacing w:after="0" w:before="0"/>
      </w:pPr>
      <w:r>
        <w:rPr>
          <w:rFonts w:ascii="Calibri" w:cs="Calibri" w:eastAsia="Calibri" w:hAnsi="Calibri"/>
          <w:b/>
          <w:bCs/>
          <w:color w:val="0F2A33"/>
          <w:sz w:val="40"/>
          <w:szCs w:val="40"/>
        </w:rPr>
        <w:t xml:space="preserve">&amp; Core Platform Foundation</w:t>
      </w:r>
    </w:p>
    <w:p>
      <w:pPr>
        <w:spacing w:before="900"/>
      </w:pPr>
    </w:p>
    <w:tbl>
      <w:tblPr>
        <w:tblW w:type="dxa" w:w="6600"/>
        <w:tblBorders>
          <w:top w:val="none"/>
          <w:left w:val="none"/>
          <w:bottom w:val="none"/>
          <w:right w:val="none"/>
          <w:insideH w:val="single" w:color="auto" w:sz="4"/>
          <w:insideV w:val="single" w:color="auto" w:sz="4"/>
        </w:tblBorders>
      </w:tblPr>
      <w:tblGrid>
        <w:gridCol w:w="1900"/>
        <w:gridCol w:w="4700"/>
      </w:tblGrid>
      <w:tr>
        <w:tc>
          <w:tcPr>
            <w:tcW w:type="dxa" w:w="1900"/>
            <w:tcBorders>
              <w:top w:val="none"/>
              <w:left w:val="none"/>
              <w:bottom w:val="none"/>
              <w:right w:val="none"/>
            </w:tcBorders>
            <w:tcMar>
              <w:top w:type="dxa" w:w="40"/>
              <w:bottom w:type="dxa" w:w="40"/>
            </w:tcMar>
          </w:tcPr>
          <w:p>
            <w:r>
              <w:rPr>
                <w:rFonts w:ascii="Calibri" w:cs="Calibri" w:eastAsia="Calibri" w:hAnsi="Calibri"/>
                <w:b/>
                <w:bCs/>
                <w:color w:val="0A7E8C"/>
                <w:sz w:val="19"/>
                <w:szCs w:val="19"/>
              </w:rPr>
              <w:t xml:space="preserve">Prepared for</w:t>
            </w:r>
          </w:p>
        </w:tc>
        <w:tc>
          <w:tcPr>
            <w:tcW w:type="dxa" w:w="4700"/>
            <w:tcBorders>
              <w:top w:val="none"/>
              <w:left w:val="none"/>
              <w:bottom w:val="none"/>
              <w:right w:val="none"/>
            </w:tcBorders>
            <w:tcMar>
              <w:top w:type="dxa" w:w="40"/>
              <w:bottom w:type="dxa" w:w="40"/>
            </w:tcMar>
          </w:tcPr>
          <w:p>
            <w:r>
              <w:rPr>
                <w:rFonts w:ascii="Calibri" w:cs="Calibri" w:eastAsia="Calibri" w:hAnsi="Calibri"/>
                <w:color w:val="2B3B40"/>
                <w:sz w:val="19"/>
                <w:szCs w:val="19"/>
              </w:rPr>
              <w:t xml:space="preserve">Ascendancy Analytics — [Client Contact Name]</w:t>
            </w:r>
          </w:p>
        </w:tc>
      </w:tr>
      <w:tr>
        <w:tc>
          <w:tcPr>
            <w:tcW w:type="dxa" w:w="1900"/>
            <w:tcBorders>
              <w:top w:val="none"/>
              <w:left w:val="none"/>
              <w:bottom w:val="none"/>
              <w:right w:val="none"/>
            </w:tcBorders>
            <w:tcMar>
              <w:top w:type="dxa" w:w="40"/>
              <w:bottom w:type="dxa" w:w="40"/>
            </w:tcMar>
          </w:tcPr>
          <w:p>
            <w:r>
              <w:rPr>
                <w:rFonts w:ascii="Calibri" w:cs="Calibri" w:eastAsia="Calibri" w:hAnsi="Calibri"/>
                <w:b/>
                <w:bCs/>
                <w:color w:val="0A7E8C"/>
                <w:sz w:val="19"/>
                <w:szCs w:val="19"/>
              </w:rPr>
              <w:t xml:space="preserve">Prepared by</w:t>
            </w:r>
          </w:p>
        </w:tc>
        <w:tc>
          <w:tcPr>
            <w:tcW w:type="dxa" w:w="4700"/>
            <w:tcBorders>
              <w:top w:val="none"/>
              <w:left w:val="none"/>
              <w:bottom w:val="none"/>
              <w:right w:val="none"/>
            </w:tcBorders>
            <w:tcMar>
              <w:top w:type="dxa" w:w="40"/>
              <w:bottom w:type="dxa" w:w="40"/>
            </w:tcMar>
          </w:tcPr>
          <w:p>
            <w:r>
              <w:rPr>
                <w:rFonts w:ascii="Calibri" w:cs="Calibri" w:eastAsia="Calibri" w:hAnsi="Calibri"/>
                <w:color w:val="2B3B40"/>
                <w:sz w:val="19"/>
                <w:szCs w:val="19"/>
              </w:rPr>
              <w:t xml:space="preserve">[Your Company Name]</w:t>
            </w:r>
          </w:p>
        </w:tc>
      </w:tr>
      <w:tr>
        <w:tc>
          <w:tcPr>
            <w:tcW w:type="dxa" w:w="1900"/>
            <w:tcBorders>
              <w:top w:val="none"/>
              <w:left w:val="none"/>
              <w:bottom w:val="none"/>
              <w:right w:val="none"/>
            </w:tcBorders>
            <w:tcMar>
              <w:top w:type="dxa" w:w="40"/>
              <w:bottom w:type="dxa" w:w="40"/>
            </w:tcMar>
          </w:tcPr>
          <w:p>
            <w:r>
              <w:rPr>
                <w:rFonts w:ascii="Calibri" w:cs="Calibri" w:eastAsia="Calibri" w:hAnsi="Calibri"/>
                <w:b/>
                <w:bCs/>
                <w:color w:val="0A7E8C"/>
                <w:sz w:val="19"/>
                <w:szCs w:val="19"/>
              </w:rPr>
              <w:t xml:space="preserve">Date</w:t>
            </w:r>
          </w:p>
        </w:tc>
        <w:tc>
          <w:tcPr>
            <w:tcW w:type="dxa" w:w="4700"/>
            <w:tcBorders>
              <w:top w:val="none"/>
              <w:left w:val="none"/>
              <w:bottom w:val="none"/>
              <w:right w:val="none"/>
            </w:tcBorders>
            <w:tcMar>
              <w:top w:type="dxa" w:w="40"/>
              <w:bottom w:type="dxa" w:w="40"/>
            </w:tcMar>
          </w:tcPr>
          <w:p>
            <w:r>
              <w:rPr>
                <w:rFonts w:ascii="Calibri" w:cs="Calibri" w:eastAsia="Calibri" w:hAnsi="Calibri"/>
                <w:color w:val="2B3B40"/>
                <w:sz w:val="19"/>
                <w:szCs w:val="19"/>
              </w:rPr>
              <w:t xml:space="preserve">[Date]</w:t>
            </w:r>
          </w:p>
        </w:tc>
      </w:tr>
      <w:tr>
        <w:tc>
          <w:tcPr>
            <w:tcW w:type="dxa" w:w="1900"/>
            <w:tcBorders>
              <w:top w:val="none"/>
              <w:left w:val="none"/>
              <w:bottom w:val="none"/>
              <w:right w:val="none"/>
            </w:tcBorders>
            <w:tcMar>
              <w:top w:type="dxa" w:w="40"/>
              <w:bottom w:type="dxa" w:w="40"/>
            </w:tcMar>
          </w:tcPr>
          <w:p>
            <w:r>
              <w:rPr>
                <w:rFonts w:ascii="Calibri" w:cs="Calibri" w:eastAsia="Calibri" w:hAnsi="Calibri"/>
                <w:b/>
                <w:bCs/>
                <w:color w:val="0A7E8C"/>
                <w:sz w:val="19"/>
                <w:szCs w:val="19"/>
              </w:rPr>
              <w:t xml:space="preserve">Version</w:t>
            </w:r>
          </w:p>
        </w:tc>
        <w:tc>
          <w:tcPr>
            <w:tcW w:type="dxa" w:w="4700"/>
            <w:tcBorders>
              <w:top w:val="none"/>
              <w:left w:val="none"/>
              <w:bottom w:val="none"/>
              <w:right w:val="none"/>
            </w:tcBorders>
            <w:tcMar>
              <w:top w:type="dxa" w:w="40"/>
              <w:bottom w:type="dxa" w:w="40"/>
            </w:tcMar>
          </w:tcPr>
          <w:p>
            <w:r>
              <w:rPr>
                <w:rFonts w:ascii="Calibri" w:cs="Calibri" w:eastAsia="Calibri" w:hAnsi="Calibri"/>
                <w:color w:val="2B3B40"/>
                <w:sz w:val="19"/>
                <w:szCs w:val="19"/>
              </w:rPr>
              <w:t xml:space="preserve">Draft 1.0 — Commercial in Confidence</w:t>
            </w:r>
          </w:p>
        </w:tc>
      </w:tr>
      <w:tr>
        <w:tc>
          <w:tcPr>
            <w:tcW w:type="dxa" w:w="1900"/>
            <w:tcBorders>
              <w:top w:val="none"/>
              <w:left w:val="none"/>
              <w:bottom w:val="none"/>
              <w:right w:val="none"/>
            </w:tcBorders>
            <w:tcMar>
              <w:top w:type="dxa" w:w="40"/>
              <w:bottom w:type="dxa" w:w="40"/>
            </w:tcMar>
          </w:tcPr>
          <w:p>
            <w:r>
              <w:rPr>
                <w:rFonts w:ascii="Calibri" w:cs="Calibri" w:eastAsia="Calibri" w:hAnsi="Calibri"/>
                <w:b/>
                <w:bCs/>
                <w:color w:val="0A7E8C"/>
                <w:sz w:val="19"/>
                <w:szCs w:val="19"/>
              </w:rPr>
              <w:t xml:space="preserve">Phase 1 Budget</w:t>
            </w:r>
          </w:p>
        </w:tc>
        <w:tc>
          <w:tcPr>
            <w:tcW w:type="dxa" w:w="4700"/>
            <w:tcBorders>
              <w:top w:val="none"/>
              <w:left w:val="none"/>
              <w:bottom w:val="none"/>
              <w:right w:val="none"/>
            </w:tcBorders>
            <w:tcMar>
              <w:top w:type="dxa" w:w="40"/>
              <w:bottom w:type="dxa" w:w="40"/>
            </w:tcMar>
          </w:tcPr>
          <w:p>
            <w:r>
              <w:rPr>
                <w:rFonts w:ascii="Calibri" w:cs="Calibri" w:eastAsia="Calibri" w:hAnsi="Calibri"/>
                <w:color w:val="2B3B40"/>
                <w:sz w:val="19"/>
                <w:szCs w:val="19"/>
              </w:rPr>
              <w:t xml:space="preserve">£45,000 (fixed envelope, excl. VAT)</w:t>
            </w:r>
          </w:p>
        </w:tc>
      </w:tr>
    </w:tbl>
    <w:p>
      <w:r>
        <w:br w:type="page"/>
      </w:r>
    </w:p>
    <w:p>
      <w:pPr>
        <w:pStyle w:val="Heading1"/>
        <w:pBdr>
          <w:bottom w:val="single" w:color="CFE0E2" w:sz="8" w:space="6"/>
        </w:pBdr>
        <w:spacing w:after="120" w:before="280"/>
      </w:pPr>
      <w:r>
        <w:rPr>
          <w:rFonts w:ascii="Calibri" w:cs="Calibri" w:eastAsia="Calibri" w:hAnsi="Calibri"/>
          <w:b/>
          <w:bCs/>
          <w:color w:val="0F2A33"/>
        </w:rPr>
        <w:t xml:space="preserve">1.  Purpose of This Document</w:t>
      </w:r>
    </w:p>
    <w:p>
      <w:pPr>
        <w:spacing w:after="140" w:line="276"/>
        <w:jc w:val="both"/>
      </w:pPr>
      <w:r>
        <w:rPr>
          <w:rFonts w:ascii="Calibri" w:cs="Calibri" w:eastAsia="Calibri" w:hAnsi="Calibri"/>
          <w:color w:val="2B3B40"/>
          <w:sz w:val="21"/>
          <w:szCs w:val="21"/>
        </w:rPr>
        <w:t xml:space="preserve">Ascendancy Analytics is building a unified, AI-driven platform that integrates satellite and drone imagery, soil sensors, weather data and farm-management records into a single decision system for UK farmers — extending, uniquely, into financial, commodity and sustainability intelligence.</w:t>
      </w:r>
    </w:p>
    <w:p>
      <w:pPr>
        <w:spacing w:after="140" w:line="276"/>
        <w:jc w:val="both"/>
      </w:pPr>
      <w:r>
        <w:rPr>
          <w:rFonts w:ascii="Calibri" w:cs="Calibri" w:eastAsia="Calibri" w:hAnsi="Calibri"/>
          <w:color w:val="2B3B40"/>
          <w:sz w:val="21"/>
          <w:szCs w:val="21"/>
        </w:rPr>
        <w:t xml:space="preserve">This document sets out a proposal for Phase 1 of that build. Its purpose is deliberately scoped: to fund the research, scope definition and core technical foundation needed to define the full platform responsibly — and, from there, to produce a costed roadmap for the remaining delivery.</w:t>
      </w:r>
    </w:p>
    <w:p>
      <w:pPr>
        <w:pStyle w:val="Heading1"/>
        <w:pBdr>
          <w:bottom w:val="single" w:color="CFE0E2" w:sz="8" w:space="6"/>
        </w:pBdr>
        <w:spacing w:after="120" w:before="280"/>
      </w:pPr>
      <w:r>
        <w:rPr>
          <w:rFonts w:ascii="Calibri" w:cs="Calibri" w:eastAsia="Calibri" w:hAnsi="Calibri"/>
          <w:b/>
          <w:bCs/>
          <w:color w:val="0F2A33"/>
        </w:rPr>
        <w:t xml:space="preserve">2.  Why a Single Fixed Cost Is Not Yet Possible</w:t>
      </w:r>
    </w:p>
    <w:p>
      <w:pPr>
        <w:spacing w:after="140" w:line="276"/>
        <w:jc w:val="both"/>
      </w:pPr>
      <w:r>
        <w:rPr>
          <w:rFonts w:ascii="Calibri" w:cs="Calibri" w:eastAsia="Calibri" w:hAnsi="Calibri"/>
          <w:color w:val="2B3B40"/>
          <w:sz w:val="21"/>
          <w:szCs w:val="21"/>
        </w:rPr>
        <w:t xml:space="preserve">The platform Ascendancy Analytics is pursuing is genuinely innovative. It brings together multiple external data sources, several distinct AI / machine-learning capabilities, and a financial-intelligence layer that most AgTech products do not attempt. That ambition is exactly what makes it valuable — and exactly why a single, all-inclusive fixed price cannot be quoted responsibly today.</w:t>
      </w:r>
    </w:p>
    <w:p>
      <w:pPr>
        <w:spacing w:after="140" w:line="276"/>
        <w:jc w:val="both"/>
      </w:pPr>
      <w:r>
        <w:rPr>
          <w:rFonts w:ascii="Calibri" w:cs="Calibri" w:eastAsia="Calibri" w:hAnsi="Calibri"/>
          <w:b/>
          <w:bCs/>
          <w:color w:val="2B3B40"/>
          <w:sz w:val="21"/>
          <w:szCs w:val="21"/>
        </w:rPr>
        <w:t xml:space="preserve">Key variables remain undefined: </w:t>
      </w:r>
      <w:r>
        <w:rPr>
          <w:rFonts w:ascii="Calibri" w:cs="Calibri" w:eastAsia="Calibri" w:hAnsi="Calibri"/>
          <w:color w:val="2B3B40"/>
          <w:sz w:val="21"/>
          <w:szCs w:val="21"/>
        </w:rPr>
        <w:t xml:space="preserve">the commercial terms and technical feasibility of each data source, whether each AI capability can be integrated from existing tools or must be trained from scratch, the volume and quality of data required, and the infrastructure needed to scale to the 1,000-farm target. Each of these materially affects cost.</w:t>
      </w:r>
    </w:p>
    <w:p>
      <w:pPr>
        <w:spacing w:after="140" w:line="276"/>
        <w:jc w:val="both"/>
      </w:pPr>
      <w:r>
        <w:rPr>
          <w:rFonts w:ascii="Calibri" w:cs="Calibri" w:eastAsia="Calibri" w:hAnsi="Calibri"/>
          <w:color w:val="2B3B40"/>
          <w:sz w:val="21"/>
          <w:szCs w:val="21"/>
        </w:rPr>
        <w:t xml:space="preserve">Quoting a fixed number before these are understood would mean pricing risk rather than pricing work — leading either to an inflated figure that protects against the unknown, or an unrealistic one that unravels mid-project. We prefer to remove the unknowns first, then price with confidence.</w:t>
      </w:r>
    </w:p>
    <w:p>
      <w:pPr>
        <w:spacing w:after="140" w:line="276"/>
        <w:jc w:val="both"/>
      </w:pPr>
      <w:r>
        <w:rPr>
          <w:rFonts w:ascii="Calibri" w:cs="Calibri" w:eastAsia="Calibri" w:hAnsi="Calibri"/>
          <w:b/>
          <w:bCs/>
          <w:color w:val="2B3B40"/>
          <w:sz w:val="21"/>
          <w:szCs w:val="21"/>
        </w:rPr>
        <w:t xml:space="preserve">Our recommended approach</w:t>
      </w:r>
      <w:r>
        <w:rPr>
          <w:rFonts w:ascii="Calibri" w:cs="Calibri" w:eastAsia="Calibri" w:hAnsi="Calibri"/>
          <w:color w:val="2B3B40"/>
          <w:sz w:val="21"/>
          <w:szCs w:val="21"/>
        </w:rPr>
        <w:t xml:space="preserve"> is a defined, fixed-price Phase 1 that carries out the research and scope definition, stands up the core application structure, and delivers a costed, phased plan for the full build. Phase 1 is a fixed envelope of </w:t>
      </w:r>
      <w:r>
        <w:rPr>
          <w:rFonts w:ascii="Calibri" w:cs="Calibri" w:eastAsia="Calibri" w:hAnsi="Calibri"/>
          <w:b/>
          <w:bCs/>
          <w:color w:val="2B3B40"/>
          <w:sz w:val="21"/>
          <w:szCs w:val="21"/>
        </w:rPr>
        <w:t xml:space="preserve">£45,000</w:t>
      </w:r>
      <w:r>
        <w:rPr>
          <w:rFonts w:ascii="Calibri" w:cs="Calibri" w:eastAsia="Calibri" w:hAnsi="Calibri"/>
          <w:color w:val="2B3B40"/>
          <w:sz w:val="21"/>
          <w:szCs w:val="21"/>
        </w:rPr>
        <w:t xml:space="preserve">. The cost of the features built thereafter will be defined by the outputs of this phase.</w:t>
      </w:r>
    </w:p>
    <w:p>
      <w:pPr>
        <w:pStyle w:val="Heading1"/>
        <w:pBdr>
          <w:bottom w:val="single" w:color="CFE0E2" w:sz="8" w:space="6"/>
        </w:pBdr>
        <w:spacing w:after="120" w:before="280"/>
      </w:pPr>
      <w:r>
        <w:rPr>
          <w:rFonts w:ascii="Calibri" w:cs="Calibri" w:eastAsia="Calibri" w:hAnsi="Calibri"/>
          <w:b/>
          <w:bCs/>
          <w:color w:val="0F2A33"/>
        </w:rPr>
        <w:t xml:space="preserve">3.  Indicative Scope of the Full Platform</w:t>
      </w:r>
    </w:p>
    <w:p>
      <w:pPr>
        <w:spacing w:after="140" w:line="276"/>
        <w:jc w:val="both"/>
      </w:pPr>
      <w:r>
        <w:rPr>
          <w:rFonts w:ascii="Calibri" w:cs="Calibri" w:eastAsia="Calibri" w:hAnsi="Calibri"/>
          <w:color w:val="2B3B40"/>
          <w:sz w:val="21"/>
          <w:szCs w:val="21"/>
        </w:rPr>
        <w:t xml:space="preserve">The following is an indicative, high-level view of what the full platform is understood to encompass. It is provided for context and to frame the research below — it is not a fixed specification, and each area will be defined and costed as part of Phase 1.</w:t>
      </w:r>
    </w:p>
    <w:p>
      <w:pPr>
        <w:pStyle w:val="ListParagraph"/>
        <w:numPr>
          <w:ilvl w:val="0"/>
          <w:numId w:val="2"/>
        </w:numPr>
        <w:spacing w:after="70" w:line="270"/>
      </w:pPr>
      <w:r>
        <w:rPr>
          <w:rFonts w:ascii="Calibri" w:cs="Calibri" w:eastAsia="Calibri" w:hAnsi="Calibri"/>
          <w:b/>
          <w:bCs/>
          <w:color w:val="0F2A33"/>
          <w:sz w:val="21"/>
          <w:szCs w:val="21"/>
        </w:rPr>
        <w:t xml:space="preserve">Unified data ingestion — </w:t>
      </w:r>
      <w:r>
        <w:rPr>
          <w:rFonts w:ascii="Calibri" w:cs="Calibri" w:eastAsia="Calibri" w:hAnsi="Calibri"/>
          <w:color w:val="2B3B40"/>
          <w:sz w:val="21"/>
          <w:szCs w:val="21"/>
        </w:rPr>
        <w:t xml:space="preserve">satellite / drone imagery, IoT soil sensors, weather feeds and farm records in one system</w:t>
      </w:r>
    </w:p>
    <w:p>
      <w:pPr>
        <w:pStyle w:val="ListParagraph"/>
        <w:numPr>
          <w:ilvl w:val="0"/>
          <w:numId w:val="2"/>
        </w:numPr>
        <w:spacing w:after="70" w:line="270"/>
      </w:pPr>
      <w:r>
        <w:rPr>
          <w:rFonts w:ascii="Calibri" w:cs="Calibri" w:eastAsia="Calibri" w:hAnsi="Calibri"/>
          <w:b/>
          <w:bCs/>
          <w:color w:val="0F2A33"/>
          <w:sz w:val="21"/>
          <w:szCs w:val="21"/>
        </w:rPr>
        <w:t xml:space="preserve">Crop-health monitoring — </w:t>
      </w:r>
      <w:r>
        <w:rPr>
          <w:rFonts w:ascii="Calibri" w:cs="Calibri" w:eastAsia="Calibri" w:hAnsi="Calibri"/>
          <w:color w:val="2B3B40"/>
          <w:sz w:val="21"/>
          <w:szCs w:val="21"/>
        </w:rPr>
        <w:t xml:space="preserve">AI analysis of imagery for stress, disease, pest and nutrient indicators</w:t>
      </w:r>
    </w:p>
    <w:p>
      <w:pPr>
        <w:pStyle w:val="ListParagraph"/>
        <w:numPr>
          <w:ilvl w:val="0"/>
          <w:numId w:val="2"/>
        </w:numPr>
        <w:spacing w:after="70" w:line="270"/>
      </w:pPr>
      <w:r>
        <w:rPr>
          <w:rFonts w:ascii="Calibri" w:cs="Calibri" w:eastAsia="Calibri" w:hAnsi="Calibri"/>
          <w:b/>
          <w:bCs/>
          <w:color w:val="0F2A33"/>
          <w:sz w:val="21"/>
          <w:szCs w:val="21"/>
        </w:rPr>
        <w:t xml:space="preserve">Soil intelligence — </w:t>
      </w:r>
      <w:r>
        <w:rPr>
          <w:rFonts w:ascii="Calibri" w:cs="Calibri" w:eastAsia="Calibri" w:hAnsi="Calibri"/>
          <w:color w:val="2B3B40"/>
          <w:sz w:val="21"/>
          <w:szCs w:val="21"/>
        </w:rPr>
        <w:t xml:space="preserve">sensor-driven moisture, nutrient and fertiliser-optimisation insight</w:t>
      </w:r>
    </w:p>
    <w:p>
      <w:pPr>
        <w:pStyle w:val="ListParagraph"/>
        <w:numPr>
          <w:ilvl w:val="0"/>
          <w:numId w:val="2"/>
        </w:numPr>
        <w:spacing w:after="70" w:line="270"/>
      </w:pPr>
      <w:r>
        <w:rPr>
          <w:rFonts w:ascii="Calibri" w:cs="Calibri" w:eastAsia="Calibri" w:hAnsi="Calibri"/>
          <w:b/>
          <w:bCs/>
          <w:color w:val="0F2A33"/>
          <w:sz w:val="21"/>
          <w:szCs w:val="21"/>
        </w:rPr>
        <w:t xml:space="preserve">Predictive yield analytics — </w:t>
      </w:r>
      <w:r>
        <w:rPr>
          <w:rFonts w:ascii="Calibri" w:cs="Calibri" w:eastAsia="Calibri" w:hAnsi="Calibri"/>
          <w:color w:val="2B3B40"/>
          <w:sz w:val="21"/>
          <w:szCs w:val="21"/>
        </w:rPr>
        <w:t xml:space="preserve">ML models forecasting yield from conditions and history</w:t>
      </w:r>
    </w:p>
    <w:p>
      <w:pPr>
        <w:pStyle w:val="ListParagraph"/>
        <w:numPr>
          <w:ilvl w:val="0"/>
          <w:numId w:val="2"/>
        </w:numPr>
        <w:spacing w:after="70" w:line="270"/>
      </w:pPr>
      <w:r>
        <w:rPr>
          <w:rFonts w:ascii="Calibri" w:cs="Calibri" w:eastAsia="Calibri" w:hAnsi="Calibri"/>
          <w:b/>
          <w:bCs/>
          <w:color w:val="0F2A33"/>
          <w:sz w:val="21"/>
          <w:szCs w:val="21"/>
        </w:rPr>
        <w:t xml:space="preserve">Pest &amp; disease early warning — </w:t>
      </w:r>
      <w:r>
        <w:rPr>
          <w:rFonts w:ascii="Calibri" w:cs="Calibri" w:eastAsia="Calibri" w:hAnsi="Calibri"/>
          <w:color w:val="2B3B40"/>
          <w:sz w:val="21"/>
          <w:szCs w:val="21"/>
        </w:rPr>
        <w:t xml:space="preserve">risk alerts ahead of outbreaks</w:t>
      </w:r>
    </w:p>
    <w:p>
      <w:pPr>
        <w:pStyle w:val="ListParagraph"/>
        <w:numPr>
          <w:ilvl w:val="0"/>
          <w:numId w:val="2"/>
        </w:numPr>
        <w:spacing w:after="70" w:line="270"/>
      </w:pPr>
      <w:r>
        <w:rPr>
          <w:rFonts w:ascii="Calibri" w:cs="Calibri" w:eastAsia="Calibri" w:hAnsi="Calibri"/>
          <w:b/>
          <w:bCs/>
          <w:color w:val="0F2A33"/>
          <w:sz w:val="21"/>
          <w:szCs w:val="21"/>
        </w:rPr>
        <w:t xml:space="preserve">Resource optimisation — </w:t>
      </w:r>
      <w:r>
        <w:rPr>
          <w:rFonts w:ascii="Calibri" w:cs="Calibri" w:eastAsia="Calibri" w:hAnsi="Calibri"/>
          <w:color w:val="2B3B40"/>
          <w:sz w:val="21"/>
          <w:szCs w:val="21"/>
        </w:rPr>
        <w:t xml:space="preserve">irrigation, fertiliser and pesticide recommendations</w:t>
      </w:r>
    </w:p>
    <w:p>
      <w:pPr>
        <w:pStyle w:val="ListParagraph"/>
        <w:numPr>
          <w:ilvl w:val="0"/>
          <w:numId w:val="2"/>
        </w:numPr>
        <w:spacing w:after="70" w:line="270"/>
      </w:pPr>
      <w:r>
        <w:rPr>
          <w:rFonts w:ascii="Calibri" w:cs="Calibri" w:eastAsia="Calibri" w:hAnsi="Calibri"/>
          <w:b/>
          <w:bCs/>
          <w:color w:val="0F2A33"/>
          <w:sz w:val="21"/>
          <w:szCs w:val="21"/>
        </w:rPr>
        <w:t xml:space="preserve">Financial &amp; commodity intelligence — </w:t>
      </w:r>
      <w:r>
        <w:rPr>
          <w:rFonts w:ascii="Calibri" w:cs="Calibri" w:eastAsia="Calibri" w:hAnsi="Calibri"/>
          <w:color w:val="2B3B40"/>
          <w:sz w:val="21"/>
          <w:szCs w:val="21"/>
        </w:rPr>
        <w:t xml:space="preserve">linking production to pricing and forecasting — the key differentiator</w:t>
      </w:r>
    </w:p>
    <w:p>
      <w:pPr>
        <w:pStyle w:val="ListParagraph"/>
        <w:numPr>
          <w:ilvl w:val="0"/>
          <w:numId w:val="2"/>
        </w:numPr>
        <w:spacing w:after="70" w:line="270"/>
      </w:pPr>
      <w:r>
        <w:rPr>
          <w:rFonts w:ascii="Calibri" w:cs="Calibri" w:eastAsia="Calibri" w:hAnsi="Calibri"/>
          <w:b/>
          <w:bCs/>
          <w:color w:val="0F2A33"/>
          <w:sz w:val="21"/>
          <w:szCs w:val="21"/>
        </w:rPr>
        <w:t xml:space="preserve">ESG &amp; carbon tracking — </w:t>
      </w:r>
      <w:r>
        <w:rPr>
          <w:rFonts w:ascii="Calibri" w:cs="Calibri" w:eastAsia="Calibri" w:hAnsi="Calibri"/>
          <w:color w:val="2B3B40"/>
          <w:sz w:val="21"/>
          <w:szCs w:val="21"/>
        </w:rPr>
        <w:t xml:space="preserve">sustainability and carbon reporting</w:t>
      </w:r>
    </w:p>
    <w:p>
      <w:pPr>
        <w:pStyle w:val="ListParagraph"/>
        <w:numPr>
          <w:ilvl w:val="0"/>
          <w:numId w:val="2"/>
        </w:numPr>
        <w:spacing w:after="70" w:line="270"/>
      </w:pPr>
      <w:r>
        <w:rPr>
          <w:rFonts w:ascii="Calibri" w:cs="Calibri" w:eastAsia="Calibri" w:hAnsi="Calibri"/>
          <w:b/>
          <w:bCs/>
          <w:color w:val="0F2A33"/>
          <w:sz w:val="21"/>
          <w:szCs w:val="21"/>
        </w:rPr>
        <w:t xml:space="preserve">Trade integration — </w:t>
      </w:r>
      <w:r>
        <w:rPr>
          <w:rFonts w:ascii="Calibri" w:cs="Calibri" w:eastAsia="Calibri" w:hAnsi="Calibri"/>
          <w:color w:val="2B3B40"/>
          <w:sz w:val="21"/>
          <w:szCs w:val="21"/>
        </w:rPr>
        <w:t xml:space="preserve">connecting farmers to buyers and markets</w:t>
      </w:r>
    </w:p>
    <w:p>
      <w:pPr>
        <w:pStyle w:val="ListParagraph"/>
        <w:numPr>
          <w:ilvl w:val="0"/>
          <w:numId w:val="2"/>
        </w:numPr>
        <w:spacing w:after="70" w:line="270"/>
      </w:pPr>
      <w:r>
        <w:rPr>
          <w:rFonts w:ascii="Calibri" w:cs="Calibri" w:eastAsia="Calibri" w:hAnsi="Calibri"/>
          <w:b/>
          <w:bCs/>
          <w:color w:val="0F2A33"/>
          <w:sz w:val="21"/>
          <w:szCs w:val="21"/>
        </w:rPr>
        <w:t xml:space="preserve">Farmer dashboard &amp; delivery — </w:t>
      </w:r>
      <w:r>
        <w:rPr>
          <w:rFonts w:ascii="Calibri" w:cs="Calibri" w:eastAsia="Calibri" w:hAnsi="Calibri"/>
          <w:color w:val="2B3B40"/>
          <w:sz w:val="21"/>
          <w:szCs w:val="21"/>
        </w:rPr>
        <w:t xml:space="preserve">a simple, action-first interface for non-technical users</w:t>
      </w:r>
    </w:p>
    <w:p>
      <w:pPr>
        <w:pStyle w:val="Heading1"/>
        <w:pBdr>
          <w:bottom w:val="single" w:color="CFE0E2" w:sz="8" w:space="6"/>
        </w:pBdr>
        <w:spacing w:after="120" w:before="280"/>
      </w:pPr>
      <w:r>
        <w:rPr>
          <w:rFonts w:ascii="Calibri" w:cs="Calibri" w:eastAsia="Calibri" w:hAnsi="Calibri"/>
          <w:b/>
          <w:bCs/>
          <w:color w:val="0F2A33"/>
        </w:rPr>
        <w:t xml:space="preserve">4.  Phase 1 Research &amp; Development Modules</w:t>
      </w:r>
    </w:p>
    <w:p>
      <w:pPr>
        <w:spacing w:after="140" w:line="276"/>
        <w:jc w:val="both"/>
      </w:pPr>
      <w:r>
        <w:rPr>
          <w:rFonts w:ascii="Calibri" w:cs="Calibri" w:eastAsia="Calibri" w:hAnsi="Calibri"/>
          <w:color w:val="2B3B40"/>
          <w:sz w:val="21"/>
          <w:szCs w:val="21"/>
        </w:rPr>
        <w:t xml:space="preserve">These are the workstreams we will research in Phase 1 to define the scope of the full platform. Each answers the questions that today prevent a firm cost, and each produces a concrete output that feeds the scope definition and roadmap.</w:t>
      </w:r>
    </w:p>
    <w:p>
      <w:pPr>
        <w:spacing w:after="60" w:before="200"/>
      </w:pPr>
      <w:r>
        <w:rPr>
          <w:rFonts w:ascii="Calibri" w:cs="Calibri" w:eastAsia="Calibri" w:hAnsi="Calibri"/>
          <w:b/>
          <w:bCs/>
          <w:color w:val="08616C"/>
          <w:sz w:val="23"/>
          <w:szCs w:val="23"/>
        </w:rPr>
        <w:t xml:space="preserve">R1 — Data Acquisition &amp; Integration Feasibility</w:t>
      </w:r>
    </w:p>
    <w:p>
      <w:pPr>
        <w:spacing w:after="140" w:line="276"/>
        <w:jc w:val="both"/>
      </w:pPr>
      <w:r>
        <w:rPr>
          <w:rFonts w:ascii="Calibri" w:cs="Calibri" w:eastAsia="Calibri" w:hAnsi="Calibri"/>
          <w:b/>
          <w:bCs/>
          <w:color w:val="0F2A33"/>
          <w:sz w:val="21"/>
          <w:szCs w:val="21"/>
        </w:rPr>
        <w:t xml:space="preserve">Objective:  </w:t>
      </w:r>
      <w:r>
        <w:rPr>
          <w:rFonts w:ascii="Calibri" w:cs="Calibri" w:eastAsia="Calibri" w:hAnsi="Calibri"/>
          <w:color w:val="2B3B40"/>
          <w:sz w:val="21"/>
          <w:szCs w:val="21"/>
        </w:rPr>
        <w:t xml:space="preserve">Establish which data sources can realistically power the platform, on what commercial terms, and how they integrate.</w:t>
      </w:r>
    </w:p>
    <w:p>
      <w:pPr>
        <w:spacing w:after="40"/>
      </w:pPr>
      <w:r>
        <w:rPr>
          <w:rFonts w:ascii="Calibri" w:cs="Calibri" w:eastAsia="Calibri" w:hAnsi="Calibri"/>
          <w:b/>
          <w:bCs/>
          <w:color w:val="0F2A33"/>
          <w:sz w:val="20"/>
          <w:szCs w:val="20"/>
        </w:rPr>
        <w:t xml:space="preserve">We will determine:</w:t>
      </w:r>
    </w:p>
    <w:p>
      <w:pPr>
        <w:pStyle w:val="ListParagraph"/>
        <w:numPr>
          <w:ilvl w:val="0"/>
          <w:numId w:val="2"/>
        </w:numPr>
        <w:spacing w:after="70" w:line="270"/>
      </w:pPr>
      <w:r>
        <w:rPr>
          <w:rFonts w:ascii="Calibri" w:cs="Calibri" w:eastAsia="Calibri" w:hAnsi="Calibri"/>
          <w:color w:val="2B3B40"/>
          <w:sz w:val="21"/>
          <w:szCs w:val="21"/>
        </w:rPr>
        <w:t xml:space="preserve">Availability, licensing cost and data-rights of satellite imagery providers (e.g. Sentinel / commercial), drone imaging, IoT soil sensors, and weather feeds</w:t>
      </w:r>
    </w:p>
    <w:p>
      <w:pPr>
        <w:pStyle w:val="ListParagraph"/>
        <w:numPr>
          <w:ilvl w:val="0"/>
          <w:numId w:val="2"/>
        </w:numPr>
        <w:spacing w:after="70" w:line="270"/>
      </w:pPr>
      <w:r>
        <w:rPr>
          <w:rFonts w:ascii="Calibri" w:cs="Calibri" w:eastAsia="Calibri" w:hAnsi="Calibri"/>
          <w:color w:val="2B3B40"/>
          <w:sz w:val="21"/>
          <w:szCs w:val="21"/>
        </w:rPr>
        <w:t xml:space="preserve">Formats and accessibility of existing farm-management records and how they are ingested</w:t>
      </w:r>
    </w:p>
    <w:p>
      <w:pPr>
        <w:pStyle w:val="ListParagraph"/>
        <w:numPr>
          <w:ilvl w:val="0"/>
          <w:numId w:val="2"/>
        </w:numPr>
        <w:spacing w:after="70" w:line="270"/>
      </w:pPr>
      <w:r>
        <w:rPr>
          <w:rFonts w:ascii="Calibri" w:cs="Calibri" w:eastAsia="Calibri" w:hAnsi="Calibri"/>
          <w:color w:val="2B3B40"/>
          <w:sz w:val="21"/>
          <w:szCs w:val="21"/>
        </w:rPr>
        <w:t xml:space="preserve">A prioritised data-source matrix with cost, coverage, refresh rate and integration effort</w:t>
      </w:r>
    </w:p>
    <w:p>
      <w:pPr>
        <w:spacing w:after="60" w:before="200"/>
      </w:pPr>
      <w:r>
        <w:rPr>
          <w:rFonts w:ascii="Calibri" w:cs="Calibri" w:eastAsia="Calibri" w:hAnsi="Calibri"/>
          <w:b/>
          <w:bCs/>
          <w:color w:val="08616C"/>
          <w:sz w:val="23"/>
          <w:szCs w:val="23"/>
        </w:rPr>
        <w:t xml:space="preserve">R2 — Crop Health Computer Vision</w:t>
      </w:r>
    </w:p>
    <w:p>
      <w:pPr>
        <w:spacing w:after="140" w:line="276"/>
        <w:jc w:val="both"/>
      </w:pPr>
      <w:r>
        <w:rPr>
          <w:rFonts w:ascii="Calibri" w:cs="Calibri" w:eastAsia="Calibri" w:hAnsi="Calibri"/>
          <w:b/>
          <w:bCs/>
          <w:color w:val="0F2A33"/>
          <w:sz w:val="21"/>
          <w:szCs w:val="21"/>
        </w:rPr>
        <w:t xml:space="preserve">Objective:  </w:t>
      </w:r>
      <w:r>
        <w:rPr>
          <w:rFonts w:ascii="Calibri" w:cs="Calibri" w:eastAsia="Calibri" w:hAnsi="Calibri"/>
          <w:color w:val="2B3B40"/>
          <w:sz w:val="21"/>
          <w:szCs w:val="21"/>
        </w:rPr>
        <w:t xml:space="preserve">Determine the feasibility and approach for detecting crop stress, disease, pest activity and nutrient deficiency from imagery.</w:t>
      </w:r>
    </w:p>
    <w:p>
      <w:pPr>
        <w:spacing w:after="40"/>
      </w:pPr>
      <w:r>
        <w:rPr>
          <w:rFonts w:ascii="Calibri" w:cs="Calibri" w:eastAsia="Calibri" w:hAnsi="Calibri"/>
          <w:b/>
          <w:bCs/>
          <w:color w:val="0F2A33"/>
          <w:sz w:val="20"/>
          <w:szCs w:val="20"/>
        </w:rPr>
        <w:t xml:space="preserve">We will determine:</w:t>
      </w:r>
    </w:p>
    <w:p>
      <w:pPr>
        <w:pStyle w:val="ListParagraph"/>
        <w:numPr>
          <w:ilvl w:val="0"/>
          <w:numId w:val="2"/>
        </w:numPr>
        <w:spacing w:after="70" w:line="270"/>
      </w:pPr>
      <w:r>
        <w:rPr>
          <w:rFonts w:ascii="Calibri" w:cs="Calibri" w:eastAsia="Calibri" w:hAnsi="Calibri"/>
          <w:color w:val="2B3B40"/>
          <w:sz w:val="21"/>
          <w:szCs w:val="21"/>
        </w:rPr>
        <w:t xml:space="preserve">Whether proven models / APIs can be integrated versus where bespoke model training is required</w:t>
      </w:r>
    </w:p>
    <w:p>
      <w:pPr>
        <w:pStyle w:val="ListParagraph"/>
        <w:numPr>
          <w:ilvl w:val="0"/>
          <w:numId w:val="2"/>
        </w:numPr>
        <w:spacing w:after="70" w:line="270"/>
      </w:pPr>
      <w:r>
        <w:rPr>
          <w:rFonts w:ascii="Calibri" w:cs="Calibri" w:eastAsia="Calibri" w:hAnsi="Calibri"/>
          <w:color w:val="2B3B40"/>
          <w:sz w:val="21"/>
          <w:szCs w:val="21"/>
        </w:rPr>
        <w:t xml:space="preserve">Volume and quality of imagery and labelled data needed to reach usable accuracy</w:t>
      </w:r>
    </w:p>
    <w:p>
      <w:pPr>
        <w:pStyle w:val="ListParagraph"/>
        <w:numPr>
          <w:ilvl w:val="0"/>
          <w:numId w:val="2"/>
        </w:numPr>
        <w:spacing w:after="70" w:line="270"/>
      </w:pPr>
      <w:r>
        <w:rPr>
          <w:rFonts w:ascii="Calibri" w:cs="Calibri" w:eastAsia="Calibri" w:hAnsi="Calibri"/>
          <w:color w:val="2B3B40"/>
          <w:sz w:val="21"/>
          <w:szCs w:val="21"/>
        </w:rPr>
        <w:t xml:space="preserve">A feasibility finding with recommended build-vs-integrate path per detection type</w:t>
      </w:r>
    </w:p>
    <w:p>
      <w:pPr>
        <w:spacing w:after="60" w:before="200"/>
      </w:pPr>
      <w:r>
        <w:rPr>
          <w:rFonts w:ascii="Calibri" w:cs="Calibri" w:eastAsia="Calibri" w:hAnsi="Calibri"/>
          <w:b/>
          <w:bCs/>
          <w:color w:val="08616C"/>
          <w:sz w:val="23"/>
          <w:szCs w:val="23"/>
        </w:rPr>
        <w:t xml:space="preserve">R3 — Predictive Yield &amp; Agronomic Modelling</w:t>
      </w:r>
    </w:p>
    <w:p>
      <w:pPr>
        <w:spacing w:after="140" w:line="276"/>
        <w:jc w:val="both"/>
      </w:pPr>
      <w:r>
        <w:rPr>
          <w:rFonts w:ascii="Calibri" w:cs="Calibri" w:eastAsia="Calibri" w:hAnsi="Calibri"/>
          <w:b/>
          <w:bCs/>
          <w:color w:val="0F2A33"/>
          <w:sz w:val="21"/>
          <w:szCs w:val="21"/>
        </w:rPr>
        <w:t xml:space="preserve">Objective:  </w:t>
      </w:r>
      <w:r>
        <w:rPr>
          <w:rFonts w:ascii="Calibri" w:cs="Calibri" w:eastAsia="Calibri" w:hAnsi="Calibri"/>
          <w:color w:val="2B3B40"/>
          <w:sz w:val="21"/>
          <w:szCs w:val="21"/>
        </w:rPr>
        <w:t xml:space="preserve">Define the modelling approach for yield forecasting and resource-optimisation recommendations.</w:t>
      </w:r>
    </w:p>
    <w:p>
      <w:pPr>
        <w:spacing w:after="40"/>
      </w:pPr>
      <w:r>
        <w:rPr>
          <w:rFonts w:ascii="Calibri" w:cs="Calibri" w:eastAsia="Calibri" w:hAnsi="Calibri"/>
          <w:b/>
          <w:bCs/>
          <w:color w:val="0F2A33"/>
          <w:sz w:val="20"/>
          <w:szCs w:val="20"/>
        </w:rPr>
        <w:t xml:space="preserve">We will determine:</w:t>
      </w:r>
    </w:p>
    <w:p>
      <w:pPr>
        <w:pStyle w:val="ListParagraph"/>
        <w:numPr>
          <w:ilvl w:val="0"/>
          <w:numId w:val="2"/>
        </w:numPr>
        <w:spacing w:after="70" w:line="270"/>
      </w:pPr>
      <w:r>
        <w:rPr>
          <w:rFonts w:ascii="Calibri" w:cs="Calibri" w:eastAsia="Calibri" w:hAnsi="Calibri"/>
          <w:color w:val="2B3B40"/>
          <w:sz w:val="21"/>
          <w:szCs w:val="21"/>
        </w:rPr>
        <w:t xml:space="preserve">Modelling methods, training-data requirements and realistic accuracy expectations</w:t>
      </w:r>
    </w:p>
    <w:p>
      <w:pPr>
        <w:pStyle w:val="ListParagraph"/>
        <w:numPr>
          <w:ilvl w:val="0"/>
          <w:numId w:val="2"/>
        </w:numPr>
        <w:spacing w:after="70" w:line="270"/>
      </w:pPr>
      <w:r>
        <w:rPr>
          <w:rFonts w:ascii="Calibri" w:cs="Calibri" w:eastAsia="Calibri" w:hAnsi="Calibri"/>
          <w:color w:val="2B3B40"/>
          <w:sz w:val="21"/>
          <w:szCs w:val="21"/>
        </w:rPr>
        <w:t xml:space="preserve">How models are calibrated to an individual farm over time</w:t>
      </w:r>
    </w:p>
    <w:p>
      <w:pPr>
        <w:pStyle w:val="ListParagraph"/>
        <w:numPr>
          <w:ilvl w:val="0"/>
          <w:numId w:val="2"/>
        </w:numPr>
        <w:spacing w:after="70" w:line="270"/>
      </w:pPr>
      <w:r>
        <w:rPr>
          <w:rFonts w:ascii="Calibri" w:cs="Calibri" w:eastAsia="Calibri" w:hAnsi="Calibri"/>
          <w:color w:val="2B3B40"/>
          <w:sz w:val="21"/>
          <w:szCs w:val="21"/>
        </w:rPr>
        <w:t xml:space="preserve">A modelling strategy and data-collection plan for Phase 2</w:t>
      </w:r>
    </w:p>
    <w:p>
      <w:pPr>
        <w:spacing w:after="60" w:before="200"/>
      </w:pPr>
      <w:r>
        <w:rPr>
          <w:rFonts w:ascii="Calibri" w:cs="Calibri" w:eastAsia="Calibri" w:hAnsi="Calibri"/>
          <w:b/>
          <w:bCs/>
          <w:color w:val="08616C"/>
          <w:sz w:val="23"/>
          <w:szCs w:val="23"/>
        </w:rPr>
        <w:t xml:space="preserve">R4 — Soil Intelligence &amp; IoT Sensor Layer</w:t>
      </w:r>
    </w:p>
    <w:p>
      <w:pPr>
        <w:spacing w:after="140" w:line="276"/>
        <w:jc w:val="both"/>
      </w:pPr>
      <w:r>
        <w:rPr>
          <w:rFonts w:ascii="Calibri" w:cs="Calibri" w:eastAsia="Calibri" w:hAnsi="Calibri"/>
          <w:b/>
          <w:bCs/>
          <w:color w:val="0F2A33"/>
          <w:sz w:val="21"/>
          <w:szCs w:val="21"/>
        </w:rPr>
        <w:t xml:space="preserve">Objective:  </w:t>
      </w:r>
      <w:r>
        <w:rPr>
          <w:rFonts w:ascii="Calibri" w:cs="Calibri" w:eastAsia="Calibri" w:hAnsi="Calibri"/>
          <w:color w:val="2B3B40"/>
          <w:sz w:val="21"/>
          <w:szCs w:val="21"/>
        </w:rPr>
        <w:t xml:space="preserve">Assess the sensor ecosystem and how soil data is captured, normalised and interpreted.</w:t>
      </w:r>
    </w:p>
    <w:p>
      <w:pPr>
        <w:spacing w:after="40"/>
      </w:pPr>
      <w:r>
        <w:rPr>
          <w:rFonts w:ascii="Calibri" w:cs="Calibri" w:eastAsia="Calibri" w:hAnsi="Calibri"/>
          <w:b/>
          <w:bCs/>
          <w:color w:val="0F2A33"/>
          <w:sz w:val="20"/>
          <w:szCs w:val="20"/>
        </w:rPr>
        <w:t xml:space="preserve">We will determine:</w:t>
      </w:r>
    </w:p>
    <w:p>
      <w:pPr>
        <w:pStyle w:val="ListParagraph"/>
        <w:numPr>
          <w:ilvl w:val="0"/>
          <w:numId w:val="2"/>
        </w:numPr>
        <w:spacing w:after="70" w:line="270"/>
      </w:pPr>
      <w:r>
        <w:rPr>
          <w:rFonts w:ascii="Calibri" w:cs="Calibri" w:eastAsia="Calibri" w:hAnsi="Calibri"/>
          <w:color w:val="2B3B40"/>
          <w:sz w:val="21"/>
          <w:szCs w:val="21"/>
        </w:rPr>
        <w:t xml:space="preserve">Compatible sensor hardware, calibration and connectivity considerations</w:t>
      </w:r>
    </w:p>
    <w:p>
      <w:pPr>
        <w:pStyle w:val="ListParagraph"/>
        <w:numPr>
          <w:ilvl w:val="0"/>
          <w:numId w:val="2"/>
        </w:numPr>
        <w:spacing w:after="70" w:line="270"/>
      </w:pPr>
      <w:r>
        <w:rPr>
          <w:rFonts w:ascii="Calibri" w:cs="Calibri" w:eastAsia="Calibri" w:hAnsi="Calibri"/>
          <w:color w:val="2B3B40"/>
          <w:sz w:val="21"/>
          <w:szCs w:val="21"/>
        </w:rPr>
        <w:t xml:space="preserve">Normalisation of heterogeneous sensor data into a common model</w:t>
      </w:r>
    </w:p>
    <w:p>
      <w:pPr>
        <w:pStyle w:val="ListParagraph"/>
        <w:numPr>
          <w:ilvl w:val="0"/>
          <w:numId w:val="2"/>
        </w:numPr>
        <w:spacing w:after="70" w:line="270"/>
      </w:pPr>
      <w:r>
        <w:rPr>
          <w:rFonts w:ascii="Calibri" w:cs="Calibri" w:eastAsia="Calibri" w:hAnsi="Calibri"/>
          <w:color w:val="2B3B40"/>
          <w:sz w:val="21"/>
          <w:szCs w:val="21"/>
        </w:rPr>
        <w:t xml:space="preserve">A recommended sensor/data approach and any hardware dependencies</w:t>
      </w:r>
    </w:p>
    <w:p>
      <w:pPr>
        <w:spacing w:after="60" w:before="200"/>
      </w:pPr>
      <w:r>
        <w:rPr>
          <w:rFonts w:ascii="Calibri" w:cs="Calibri" w:eastAsia="Calibri" w:hAnsi="Calibri"/>
          <w:b/>
          <w:bCs/>
          <w:color w:val="08616C"/>
          <w:sz w:val="23"/>
          <w:szCs w:val="23"/>
        </w:rPr>
        <w:t xml:space="preserve">R5 — Financial &amp; Commodity Intelligence Layer</w:t>
      </w:r>
    </w:p>
    <w:p>
      <w:pPr>
        <w:spacing w:after="140" w:line="276"/>
        <w:jc w:val="both"/>
      </w:pPr>
      <w:r>
        <w:rPr>
          <w:rFonts w:ascii="Calibri" w:cs="Calibri" w:eastAsia="Calibri" w:hAnsi="Calibri"/>
          <w:b/>
          <w:bCs/>
          <w:color w:val="0F2A33"/>
          <w:sz w:val="21"/>
          <w:szCs w:val="21"/>
        </w:rPr>
        <w:t xml:space="preserve">Objective:  </w:t>
      </w:r>
      <w:r>
        <w:rPr>
          <w:rFonts w:ascii="Calibri" w:cs="Calibri" w:eastAsia="Calibri" w:hAnsi="Calibri"/>
          <w:color w:val="2B3B40"/>
          <w:sz w:val="21"/>
          <w:szCs w:val="21"/>
        </w:rPr>
        <w:t xml:space="preserve">Scope the differentiating layer that connects farm production to commodity pricing and financial forecasting.</w:t>
      </w:r>
    </w:p>
    <w:p>
      <w:pPr>
        <w:spacing w:after="40"/>
      </w:pPr>
      <w:r>
        <w:rPr>
          <w:rFonts w:ascii="Calibri" w:cs="Calibri" w:eastAsia="Calibri" w:hAnsi="Calibri"/>
          <w:b/>
          <w:bCs/>
          <w:color w:val="0F2A33"/>
          <w:sz w:val="20"/>
          <w:szCs w:val="20"/>
        </w:rPr>
        <w:t xml:space="preserve">We will determine:</w:t>
      </w:r>
    </w:p>
    <w:p>
      <w:pPr>
        <w:pStyle w:val="ListParagraph"/>
        <w:numPr>
          <w:ilvl w:val="0"/>
          <w:numId w:val="2"/>
        </w:numPr>
        <w:spacing w:after="70" w:line="270"/>
      </w:pPr>
      <w:r>
        <w:rPr>
          <w:rFonts w:ascii="Calibri" w:cs="Calibri" w:eastAsia="Calibri" w:hAnsi="Calibri"/>
          <w:color w:val="2B3B40"/>
          <w:sz w:val="21"/>
          <w:szCs w:val="21"/>
        </w:rPr>
        <w:t xml:space="preserve">Available commodity-pricing and market data feeds and their licensing terms</w:t>
      </w:r>
    </w:p>
    <w:p>
      <w:pPr>
        <w:pStyle w:val="ListParagraph"/>
        <w:numPr>
          <w:ilvl w:val="0"/>
          <w:numId w:val="2"/>
        </w:numPr>
        <w:spacing w:after="70" w:line="270"/>
      </w:pPr>
      <w:r>
        <w:rPr>
          <w:rFonts w:ascii="Calibri" w:cs="Calibri" w:eastAsia="Calibri" w:hAnsi="Calibri"/>
          <w:color w:val="2B3B40"/>
          <w:sz w:val="21"/>
          <w:szCs w:val="21"/>
        </w:rPr>
        <w:t xml:space="preserve">Forecasting approach linking production data to financial outcomes</w:t>
      </w:r>
    </w:p>
    <w:p>
      <w:pPr>
        <w:pStyle w:val="ListParagraph"/>
        <w:numPr>
          <w:ilvl w:val="0"/>
          <w:numId w:val="2"/>
        </w:numPr>
        <w:spacing w:after="70" w:line="270"/>
      </w:pPr>
      <w:r>
        <w:rPr>
          <w:rFonts w:ascii="Calibri" w:cs="Calibri" w:eastAsia="Calibri" w:hAnsi="Calibri"/>
          <w:color w:val="2B3B40"/>
          <w:sz w:val="21"/>
          <w:szCs w:val="21"/>
        </w:rPr>
        <w:t xml:space="preserve">A feasibility outline for the financial-intelligence module</w:t>
      </w:r>
    </w:p>
    <w:p>
      <w:pPr>
        <w:spacing w:after="60" w:before="200"/>
      </w:pPr>
      <w:r>
        <w:rPr>
          <w:rFonts w:ascii="Calibri" w:cs="Calibri" w:eastAsia="Calibri" w:hAnsi="Calibri"/>
          <w:b/>
          <w:bCs/>
          <w:color w:val="08616C"/>
          <w:sz w:val="23"/>
          <w:szCs w:val="23"/>
        </w:rPr>
        <w:t xml:space="preserve">R6 — ESG, Carbon &amp; Sustainability Reporting</w:t>
      </w:r>
    </w:p>
    <w:p>
      <w:pPr>
        <w:spacing w:after="140" w:line="276"/>
        <w:jc w:val="both"/>
      </w:pPr>
      <w:r>
        <w:rPr>
          <w:rFonts w:ascii="Calibri" w:cs="Calibri" w:eastAsia="Calibri" w:hAnsi="Calibri"/>
          <w:b/>
          <w:bCs/>
          <w:color w:val="0F2A33"/>
          <w:sz w:val="21"/>
          <w:szCs w:val="21"/>
        </w:rPr>
        <w:t xml:space="preserve">Objective:  </w:t>
      </w:r>
      <w:r>
        <w:rPr>
          <w:rFonts w:ascii="Calibri" w:cs="Calibri" w:eastAsia="Calibri" w:hAnsi="Calibri"/>
          <w:color w:val="2B3B40"/>
          <w:sz w:val="21"/>
          <w:szCs w:val="21"/>
        </w:rPr>
        <w:t xml:space="preserve">Identify the standards and data required to support sustainability and carbon reporting.</w:t>
      </w:r>
    </w:p>
    <w:p>
      <w:pPr>
        <w:spacing w:after="40"/>
      </w:pPr>
      <w:r>
        <w:rPr>
          <w:rFonts w:ascii="Calibri" w:cs="Calibri" w:eastAsia="Calibri" w:hAnsi="Calibri"/>
          <w:b/>
          <w:bCs/>
          <w:color w:val="0F2A33"/>
          <w:sz w:val="20"/>
          <w:szCs w:val="20"/>
        </w:rPr>
        <w:t xml:space="preserve">We will determine:</w:t>
      </w:r>
    </w:p>
    <w:p>
      <w:pPr>
        <w:pStyle w:val="ListParagraph"/>
        <w:numPr>
          <w:ilvl w:val="0"/>
          <w:numId w:val="2"/>
        </w:numPr>
        <w:spacing w:after="70" w:line="270"/>
      </w:pPr>
      <w:r>
        <w:rPr>
          <w:rFonts w:ascii="Calibri" w:cs="Calibri" w:eastAsia="Calibri" w:hAnsi="Calibri"/>
          <w:color w:val="2B3B40"/>
          <w:sz w:val="21"/>
          <w:szCs w:val="21"/>
        </w:rPr>
        <w:t xml:space="preserve">Relevant carbon-accounting and ESG reporting frameworks applicable to UK farms</w:t>
      </w:r>
    </w:p>
    <w:p>
      <w:pPr>
        <w:pStyle w:val="ListParagraph"/>
        <w:numPr>
          <w:ilvl w:val="0"/>
          <w:numId w:val="2"/>
        </w:numPr>
        <w:spacing w:after="70" w:line="270"/>
      </w:pPr>
      <w:r>
        <w:rPr>
          <w:rFonts w:ascii="Calibri" w:cs="Calibri" w:eastAsia="Calibri" w:hAnsi="Calibri"/>
          <w:color w:val="2B3B40"/>
          <w:sz w:val="21"/>
          <w:szCs w:val="21"/>
        </w:rPr>
        <w:t xml:space="preserve">Data inputs required and how they are captured through the platform</w:t>
      </w:r>
    </w:p>
    <w:p>
      <w:pPr>
        <w:pStyle w:val="ListParagraph"/>
        <w:numPr>
          <w:ilvl w:val="0"/>
          <w:numId w:val="2"/>
        </w:numPr>
        <w:spacing w:after="70" w:line="270"/>
      </w:pPr>
      <w:r>
        <w:rPr>
          <w:rFonts w:ascii="Calibri" w:cs="Calibri" w:eastAsia="Calibri" w:hAnsi="Calibri"/>
          <w:color w:val="2B3B40"/>
          <w:sz w:val="21"/>
          <w:szCs w:val="21"/>
        </w:rPr>
        <w:t xml:space="preserve">A recommended scope for the sustainability/ESG module</w:t>
      </w:r>
    </w:p>
    <w:p>
      <w:pPr>
        <w:spacing w:after="60" w:before="200"/>
      </w:pPr>
      <w:r>
        <w:rPr>
          <w:rFonts w:ascii="Calibri" w:cs="Calibri" w:eastAsia="Calibri" w:hAnsi="Calibri"/>
          <w:b/>
          <w:bCs/>
          <w:color w:val="08616C"/>
          <w:sz w:val="23"/>
          <w:szCs w:val="23"/>
        </w:rPr>
        <w:t xml:space="preserve">R7 — Platform Architecture, Data &amp; AI Infrastructure</w:t>
      </w:r>
    </w:p>
    <w:p>
      <w:pPr>
        <w:spacing w:after="140" w:line="276"/>
        <w:jc w:val="both"/>
      </w:pPr>
      <w:r>
        <w:rPr>
          <w:rFonts w:ascii="Calibri" w:cs="Calibri" w:eastAsia="Calibri" w:hAnsi="Calibri"/>
          <w:b/>
          <w:bCs/>
          <w:color w:val="0F2A33"/>
          <w:sz w:val="21"/>
          <w:szCs w:val="21"/>
        </w:rPr>
        <w:t xml:space="preserve">Objective:  </w:t>
      </w:r>
      <w:r>
        <w:rPr>
          <w:rFonts w:ascii="Calibri" w:cs="Calibri" w:eastAsia="Calibri" w:hAnsi="Calibri"/>
          <w:color w:val="2B3B40"/>
          <w:sz w:val="21"/>
          <w:szCs w:val="21"/>
        </w:rPr>
        <w:t xml:space="preserve">Define a technical architecture that can scale to the 1,000-farm target securely and cost-effectively.</w:t>
      </w:r>
    </w:p>
    <w:p>
      <w:pPr>
        <w:spacing w:after="40"/>
      </w:pPr>
      <w:r>
        <w:rPr>
          <w:rFonts w:ascii="Calibri" w:cs="Calibri" w:eastAsia="Calibri" w:hAnsi="Calibri"/>
          <w:b/>
          <w:bCs/>
          <w:color w:val="0F2A33"/>
          <w:sz w:val="20"/>
          <w:szCs w:val="20"/>
        </w:rPr>
        <w:t xml:space="preserve">We will determine:</w:t>
      </w:r>
    </w:p>
    <w:p>
      <w:pPr>
        <w:pStyle w:val="ListParagraph"/>
        <w:numPr>
          <w:ilvl w:val="0"/>
          <w:numId w:val="2"/>
        </w:numPr>
        <w:spacing w:after="70" w:line="270"/>
      </w:pPr>
      <w:r>
        <w:rPr>
          <w:rFonts w:ascii="Calibri" w:cs="Calibri" w:eastAsia="Calibri" w:hAnsi="Calibri"/>
          <w:color w:val="2B3B40"/>
          <w:sz w:val="21"/>
          <w:szCs w:val="21"/>
        </w:rPr>
        <w:t xml:space="preserve">Cloud architecture, data pipeline / data-lake design, and MLOps approach</w:t>
      </w:r>
    </w:p>
    <w:p>
      <w:pPr>
        <w:pStyle w:val="ListParagraph"/>
        <w:numPr>
          <w:ilvl w:val="0"/>
          <w:numId w:val="2"/>
        </w:numPr>
        <w:spacing w:after="70" w:line="270"/>
      </w:pPr>
      <w:r>
        <w:rPr>
          <w:rFonts w:ascii="Calibri" w:cs="Calibri" w:eastAsia="Calibri" w:hAnsi="Calibri"/>
          <w:color w:val="2B3B40"/>
          <w:sz w:val="21"/>
          <w:szCs w:val="21"/>
        </w:rPr>
        <w:t xml:space="preserve">Multi-tenant SaaS model, scalability, and running-cost drivers at scale</w:t>
      </w:r>
    </w:p>
    <w:p>
      <w:pPr>
        <w:pStyle w:val="ListParagraph"/>
        <w:numPr>
          <w:ilvl w:val="0"/>
          <w:numId w:val="2"/>
        </w:numPr>
        <w:spacing w:after="70" w:line="270"/>
      </w:pPr>
      <w:r>
        <w:rPr>
          <w:rFonts w:ascii="Calibri" w:cs="Calibri" w:eastAsia="Calibri" w:hAnsi="Calibri"/>
          <w:color w:val="2B3B40"/>
          <w:sz w:val="21"/>
          <w:szCs w:val="21"/>
        </w:rPr>
        <w:t xml:space="preserve">Security, data protection (UK GDPR) and resilience requirements</w:t>
      </w:r>
    </w:p>
    <w:p>
      <w:pPr>
        <w:pStyle w:val="ListParagraph"/>
        <w:numPr>
          <w:ilvl w:val="0"/>
          <w:numId w:val="2"/>
        </w:numPr>
        <w:spacing w:after="70" w:line="270"/>
      </w:pPr>
      <w:r>
        <w:rPr>
          <w:rFonts w:ascii="Calibri" w:cs="Calibri" w:eastAsia="Calibri" w:hAnsi="Calibri"/>
          <w:color w:val="2B3B40"/>
          <w:sz w:val="21"/>
          <w:szCs w:val="21"/>
        </w:rPr>
        <w:t xml:space="preserve">A reference architecture and infrastructure cost model</w:t>
      </w:r>
    </w:p>
    <w:p>
      <w:pPr>
        <w:spacing w:after="60" w:before="200"/>
      </w:pPr>
      <w:r>
        <w:rPr>
          <w:rFonts w:ascii="Calibri" w:cs="Calibri" w:eastAsia="Calibri" w:hAnsi="Calibri"/>
          <w:b/>
          <w:bCs/>
          <w:color w:val="08616C"/>
          <w:sz w:val="23"/>
          <w:szCs w:val="23"/>
        </w:rPr>
        <w:t xml:space="preserve">R8 — Regulatory, IP &amp; EIS / Knowledge-Intensive Alignment</w:t>
      </w:r>
    </w:p>
    <w:p>
      <w:pPr>
        <w:spacing w:after="140" w:line="276"/>
        <w:jc w:val="both"/>
      </w:pPr>
      <w:r>
        <w:rPr>
          <w:rFonts w:ascii="Calibri" w:cs="Calibri" w:eastAsia="Calibri" w:hAnsi="Calibri"/>
          <w:b/>
          <w:bCs/>
          <w:color w:val="0F2A33"/>
          <w:sz w:val="21"/>
          <w:szCs w:val="21"/>
        </w:rPr>
        <w:t xml:space="preserve">Objective:  </w:t>
      </w:r>
      <w:r>
        <w:rPr>
          <w:rFonts w:ascii="Calibri" w:cs="Calibri" w:eastAsia="Calibri" w:hAnsi="Calibri"/>
          <w:color w:val="2B3B40"/>
          <w:sz w:val="21"/>
          <w:szCs w:val="21"/>
        </w:rPr>
        <w:t xml:space="preserve">Ensure the build is compliant and that the R&amp;D narrative supports the company’s EIS positioning.</w:t>
      </w:r>
    </w:p>
    <w:p>
      <w:pPr>
        <w:spacing w:after="40"/>
      </w:pPr>
      <w:r>
        <w:rPr>
          <w:rFonts w:ascii="Calibri" w:cs="Calibri" w:eastAsia="Calibri" w:hAnsi="Calibri"/>
          <w:b/>
          <w:bCs/>
          <w:color w:val="0F2A33"/>
          <w:sz w:val="20"/>
          <w:szCs w:val="20"/>
        </w:rPr>
        <w:t xml:space="preserve">We will determine:</w:t>
      </w:r>
    </w:p>
    <w:p>
      <w:pPr>
        <w:pStyle w:val="ListParagraph"/>
        <w:numPr>
          <w:ilvl w:val="0"/>
          <w:numId w:val="2"/>
        </w:numPr>
        <w:spacing w:after="70" w:line="270"/>
      </w:pPr>
      <w:r>
        <w:rPr>
          <w:rFonts w:ascii="Calibri" w:cs="Calibri" w:eastAsia="Calibri" w:hAnsi="Calibri"/>
          <w:color w:val="2B3B40"/>
          <w:sz w:val="21"/>
          <w:szCs w:val="21"/>
        </w:rPr>
        <w:t xml:space="preserve">Data-protection, agricultural-data ownership and liability considerations</w:t>
      </w:r>
    </w:p>
    <w:p>
      <w:pPr>
        <w:pStyle w:val="ListParagraph"/>
        <w:numPr>
          <w:ilvl w:val="0"/>
          <w:numId w:val="2"/>
        </w:numPr>
        <w:spacing w:after="70" w:line="270"/>
      </w:pPr>
      <w:r>
        <w:rPr>
          <w:rFonts w:ascii="Calibri" w:cs="Calibri" w:eastAsia="Calibri" w:hAnsi="Calibri"/>
          <w:color w:val="2B3B40"/>
          <w:sz w:val="21"/>
          <w:szCs w:val="21"/>
        </w:rPr>
        <w:t xml:space="preserve">Intellectual-property strategy for models and platform</w:t>
      </w:r>
    </w:p>
    <w:p>
      <w:pPr>
        <w:pStyle w:val="ListParagraph"/>
        <w:numPr>
          <w:ilvl w:val="0"/>
          <w:numId w:val="2"/>
        </w:numPr>
        <w:spacing w:after="70" w:line="270"/>
      </w:pPr>
      <w:r>
        <w:rPr>
          <w:rFonts w:ascii="Calibri" w:cs="Calibri" w:eastAsia="Calibri" w:hAnsi="Calibri"/>
          <w:color w:val="2B3B40"/>
          <w:sz w:val="21"/>
          <w:szCs w:val="21"/>
        </w:rPr>
        <w:t xml:space="preserve">How the documented R&amp;D supports an EIS / knowledge-intensive company narrative</w:t>
      </w:r>
    </w:p>
    <w:p>
      <w:pPr>
        <w:spacing w:after="60" w:before="200"/>
      </w:pPr>
      <w:r>
        <w:rPr>
          <w:rFonts w:ascii="Calibri" w:cs="Calibri" w:eastAsia="Calibri" w:hAnsi="Calibri"/>
          <w:b/>
          <w:bCs/>
          <w:color w:val="08616C"/>
          <w:sz w:val="23"/>
          <w:szCs w:val="23"/>
        </w:rPr>
        <w:t xml:space="preserve">R9 — User Experience &amp; Farmer Adoption</w:t>
      </w:r>
    </w:p>
    <w:p>
      <w:pPr>
        <w:spacing w:after="140" w:line="276"/>
        <w:jc w:val="both"/>
      </w:pPr>
      <w:r>
        <w:rPr>
          <w:rFonts w:ascii="Calibri" w:cs="Calibri" w:eastAsia="Calibri" w:hAnsi="Calibri"/>
          <w:b/>
          <w:bCs/>
          <w:color w:val="0F2A33"/>
          <w:sz w:val="21"/>
          <w:szCs w:val="21"/>
        </w:rPr>
        <w:t xml:space="preserve">Objective:  </w:t>
      </w:r>
      <w:r>
        <w:rPr>
          <w:rFonts w:ascii="Calibri" w:cs="Calibri" w:eastAsia="Calibri" w:hAnsi="Calibri"/>
          <w:color w:val="2B3B40"/>
          <w:sz w:val="21"/>
          <w:szCs w:val="21"/>
        </w:rPr>
        <w:t xml:space="preserve">Ensure the platform is usable by non-technical farmers and drives adoption.</w:t>
      </w:r>
    </w:p>
    <w:p>
      <w:pPr>
        <w:spacing w:after="40"/>
      </w:pPr>
      <w:r>
        <w:rPr>
          <w:rFonts w:ascii="Calibri" w:cs="Calibri" w:eastAsia="Calibri" w:hAnsi="Calibri"/>
          <w:b/>
          <w:bCs/>
          <w:color w:val="0F2A33"/>
          <w:sz w:val="20"/>
          <w:szCs w:val="20"/>
        </w:rPr>
        <w:t xml:space="preserve">We will determine:</w:t>
      </w:r>
    </w:p>
    <w:p>
      <w:pPr>
        <w:pStyle w:val="ListParagraph"/>
        <w:numPr>
          <w:ilvl w:val="0"/>
          <w:numId w:val="2"/>
        </w:numPr>
        <w:spacing w:after="70" w:line="270"/>
      </w:pPr>
      <w:r>
        <w:rPr>
          <w:rFonts w:ascii="Calibri" w:cs="Calibri" w:eastAsia="Calibri" w:hAnsi="Calibri"/>
          <w:color w:val="2B3B40"/>
          <w:sz w:val="21"/>
          <w:szCs w:val="21"/>
        </w:rPr>
        <w:t xml:space="preserve">Core user journeys, mobile-first considerations and onboarding</w:t>
      </w:r>
    </w:p>
    <w:p>
      <w:pPr>
        <w:pStyle w:val="ListParagraph"/>
        <w:numPr>
          <w:ilvl w:val="0"/>
          <w:numId w:val="2"/>
        </w:numPr>
        <w:spacing w:after="70" w:line="270"/>
      </w:pPr>
      <w:r>
        <w:rPr>
          <w:rFonts w:ascii="Calibri" w:cs="Calibri" w:eastAsia="Calibri" w:hAnsi="Calibri"/>
          <w:color w:val="2B3B40"/>
          <w:sz w:val="21"/>
          <w:szCs w:val="21"/>
        </w:rPr>
        <w:t xml:space="preserve">Information hierarchy that turns complex data into simple actions</w:t>
      </w:r>
    </w:p>
    <w:p>
      <w:pPr>
        <w:pStyle w:val="ListParagraph"/>
        <w:numPr>
          <w:ilvl w:val="0"/>
          <w:numId w:val="2"/>
        </w:numPr>
        <w:spacing w:after="70" w:line="270"/>
      </w:pPr>
      <w:r>
        <w:rPr>
          <w:rFonts w:ascii="Calibri" w:cs="Calibri" w:eastAsia="Calibri" w:hAnsi="Calibri"/>
          <w:color w:val="2B3B40"/>
          <w:sz w:val="21"/>
          <w:szCs w:val="21"/>
        </w:rPr>
        <w:t xml:space="preserve">Validated UX direction feeding the core application structure</w:t>
      </w:r>
    </w:p>
    <w:p>
      <w:pPr>
        <w:pStyle w:val="Heading1"/>
        <w:pBdr>
          <w:bottom w:val="single" w:color="CFE0E2" w:sz="8" w:space="6"/>
        </w:pBdr>
        <w:spacing w:after="120" w:before="280"/>
      </w:pPr>
      <w:r>
        <w:rPr>
          <w:rFonts w:ascii="Calibri" w:cs="Calibri" w:eastAsia="Calibri" w:hAnsi="Calibri"/>
          <w:b/>
          <w:bCs/>
          <w:color w:val="0F2A33"/>
        </w:rPr>
        <w:t xml:space="preserve">5.  Phase 1 Deliverables</w:t>
      </w:r>
    </w:p>
    <w:p>
      <w:pPr>
        <w:spacing w:after="140" w:line="276"/>
        <w:jc w:val="both"/>
      </w:pPr>
      <w:r>
        <w:rPr>
          <w:rFonts w:ascii="Calibri" w:cs="Calibri" w:eastAsia="Calibri" w:hAnsi="Calibri"/>
          <w:color w:val="2B3B40"/>
          <w:sz w:val="21"/>
          <w:szCs w:val="21"/>
        </w:rPr>
        <w:t xml:space="preserve">At the end of Phase 1, Ascendancy Analytics will hold everything needed to commission the full build with confidence:</w:t>
      </w:r>
    </w:p>
    <w:p>
      <w:pPr>
        <w:pStyle w:val="ListParagraph"/>
        <w:numPr>
          <w:ilvl w:val="0"/>
          <w:numId w:val="2"/>
        </w:numPr>
        <w:spacing w:after="70" w:line="270"/>
      </w:pPr>
      <w:r>
        <w:rPr>
          <w:rFonts w:ascii="Calibri" w:cs="Calibri" w:eastAsia="Calibri" w:hAnsi="Calibri"/>
          <w:b/>
          <w:bCs/>
          <w:color w:val="0F2A33"/>
          <w:sz w:val="21"/>
          <w:szCs w:val="21"/>
        </w:rPr>
        <w:t xml:space="preserve">Scope Definition &amp; Requirements Document — </w:t>
      </w:r>
      <w:r>
        <w:rPr>
          <w:rFonts w:ascii="Calibri" w:cs="Calibri" w:eastAsia="Calibri" w:hAnsi="Calibri"/>
          <w:color w:val="2B3B40"/>
          <w:sz w:val="21"/>
          <w:szCs w:val="21"/>
        </w:rPr>
        <w:t xml:space="preserve">A structured definition of the full platform scope, module by module, converting today’s open questions into defined requirements.</w:t>
      </w:r>
    </w:p>
    <w:p>
      <w:pPr>
        <w:pStyle w:val="ListParagraph"/>
        <w:numPr>
          <w:ilvl w:val="0"/>
          <w:numId w:val="2"/>
        </w:numPr>
        <w:spacing w:after="70" w:line="270"/>
      </w:pPr>
      <w:r>
        <w:rPr>
          <w:rFonts w:ascii="Calibri" w:cs="Calibri" w:eastAsia="Calibri" w:hAnsi="Calibri"/>
          <w:b/>
          <w:bCs/>
          <w:color w:val="0F2A33"/>
          <w:sz w:val="21"/>
          <w:szCs w:val="21"/>
        </w:rPr>
        <w:t xml:space="preserve">Technical Solution Architecture &amp; Data Strategy — </w:t>
      </w:r>
      <w:r>
        <w:rPr>
          <w:rFonts w:ascii="Calibri" w:cs="Calibri" w:eastAsia="Calibri" w:hAnsi="Calibri"/>
          <w:color w:val="2B3B40"/>
          <w:sz w:val="21"/>
          <w:szCs w:val="21"/>
        </w:rPr>
        <w:t xml:space="preserve">A reference architecture, data-integration strategy and infrastructure/cost model designed to scale.</w:t>
      </w:r>
    </w:p>
    <w:p>
      <w:pPr>
        <w:pStyle w:val="ListParagraph"/>
        <w:numPr>
          <w:ilvl w:val="0"/>
          <w:numId w:val="2"/>
        </w:numPr>
        <w:spacing w:after="70" w:line="270"/>
      </w:pPr>
      <w:r>
        <w:rPr>
          <w:rFonts w:ascii="Calibri" w:cs="Calibri" w:eastAsia="Calibri" w:hAnsi="Calibri"/>
          <w:b/>
          <w:bCs/>
          <w:color w:val="0F2A33"/>
          <w:sz w:val="21"/>
          <w:szCs w:val="21"/>
        </w:rPr>
        <w:t xml:space="preserve">AI / ML Feasibility Report — </w:t>
      </w:r>
      <w:r>
        <w:rPr>
          <w:rFonts w:ascii="Calibri" w:cs="Calibri" w:eastAsia="Calibri" w:hAnsi="Calibri"/>
          <w:color w:val="2B3B40"/>
          <w:sz w:val="21"/>
          <w:szCs w:val="21"/>
        </w:rPr>
        <w:t xml:space="preserve">Findings per intelligence module with clear build-vs-integrate recommendations, data requirements and accuracy expectations.</w:t>
      </w:r>
    </w:p>
    <w:p>
      <w:pPr>
        <w:pStyle w:val="ListParagraph"/>
        <w:numPr>
          <w:ilvl w:val="0"/>
          <w:numId w:val="2"/>
        </w:numPr>
        <w:spacing w:after="70" w:line="270"/>
      </w:pPr>
      <w:r>
        <w:rPr>
          <w:rFonts w:ascii="Calibri" w:cs="Calibri" w:eastAsia="Calibri" w:hAnsi="Calibri"/>
          <w:b/>
          <w:bCs/>
          <w:color w:val="0F2A33"/>
          <w:sz w:val="21"/>
          <w:szCs w:val="21"/>
        </w:rPr>
        <w:t xml:space="preserve">Core Application Foundation — </w:t>
      </w:r>
      <w:r>
        <w:rPr>
          <w:rFonts w:ascii="Calibri" w:cs="Calibri" w:eastAsia="Calibri" w:hAnsi="Calibri"/>
          <w:color w:val="2B3B40"/>
          <w:sz w:val="21"/>
          <w:szCs w:val="21"/>
        </w:rPr>
        <w:t xml:space="preserve">A working technical foundation — multi-tenant SaaS scaffold, authentication, data-ingestion skeleton, dashboard shell and development/CI environment — that all later features plug into.</w:t>
      </w:r>
    </w:p>
    <w:p>
      <w:pPr>
        <w:pStyle w:val="ListParagraph"/>
        <w:numPr>
          <w:ilvl w:val="0"/>
          <w:numId w:val="2"/>
        </w:numPr>
        <w:spacing w:after="70" w:line="270"/>
      </w:pPr>
      <w:r>
        <w:rPr>
          <w:rFonts w:ascii="Calibri" w:cs="Calibri" w:eastAsia="Calibri" w:hAnsi="Calibri"/>
          <w:b/>
          <w:bCs/>
          <w:color w:val="0F2A33"/>
          <w:sz w:val="21"/>
          <w:szCs w:val="21"/>
        </w:rPr>
        <w:t xml:space="preserve">Interactive Core Prototype — </w:t>
      </w:r>
      <w:r>
        <w:rPr>
          <w:rFonts w:ascii="Calibri" w:cs="Calibri" w:eastAsia="Calibri" w:hAnsi="Calibri"/>
          <w:color w:val="2B3B40"/>
          <w:sz w:val="21"/>
          <w:szCs w:val="21"/>
        </w:rPr>
        <w:t xml:space="preserve">A clickable prototype of the core dashboard to align the vision before full build.</w:t>
      </w:r>
    </w:p>
    <w:p>
      <w:pPr>
        <w:pStyle w:val="ListParagraph"/>
        <w:numPr>
          <w:ilvl w:val="0"/>
          <w:numId w:val="2"/>
        </w:numPr>
        <w:spacing w:after="70" w:line="270"/>
      </w:pPr>
      <w:r>
        <w:rPr>
          <w:rFonts w:ascii="Calibri" w:cs="Calibri" w:eastAsia="Calibri" w:hAnsi="Calibri"/>
          <w:b/>
          <w:bCs/>
          <w:color w:val="0F2A33"/>
          <w:sz w:val="21"/>
          <w:szCs w:val="21"/>
        </w:rPr>
        <w:t xml:space="preserve">Costed &amp; Phased Delivery Roadmap — </w:t>
      </w:r>
      <w:r>
        <w:rPr>
          <w:rFonts w:ascii="Calibri" w:cs="Calibri" w:eastAsia="Calibri" w:hAnsi="Calibri"/>
          <w:color w:val="2B3B40"/>
          <w:sz w:val="21"/>
          <w:szCs w:val="21"/>
        </w:rPr>
        <w:t xml:space="preserve">A prioritised Phase 2+ roadmap that converts unknowns into fixed or bounded cost estimates.</w:t>
      </w:r>
    </w:p>
    <w:p>
      <w:pPr>
        <w:pStyle w:val="ListParagraph"/>
        <w:numPr>
          <w:ilvl w:val="0"/>
          <w:numId w:val="2"/>
        </w:numPr>
        <w:spacing w:after="70" w:line="270"/>
      </w:pPr>
      <w:r>
        <w:rPr>
          <w:rFonts w:ascii="Calibri" w:cs="Calibri" w:eastAsia="Calibri" w:hAnsi="Calibri"/>
          <w:b/>
          <w:bCs/>
          <w:color w:val="0F2A33"/>
          <w:sz w:val="21"/>
          <w:szCs w:val="21"/>
        </w:rPr>
        <w:t xml:space="preserve">Risk &amp; Data-Licensing Schedule — </w:t>
      </w:r>
      <w:r>
        <w:rPr>
          <w:rFonts w:ascii="Calibri" w:cs="Calibri" w:eastAsia="Calibri" w:hAnsi="Calibri"/>
          <w:color w:val="2B3B40"/>
          <w:sz w:val="21"/>
          <w:szCs w:val="21"/>
        </w:rPr>
        <w:t xml:space="preserve">A register of technical/commercial risks and a schedule of expected third-party data and infrastructure costs.</w:t>
      </w:r>
    </w:p>
    <w:p>
      <w:pPr>
        <w:pStyle w:val="Heading1"/>
        <w:pBdr>
          <w:bottom w:val="single" w:color="CFE0E2" w:sz="8" w:space="6"/>
        </w:pBdr>
        <w:spacing w:after="120" w:before="280"/>
      </w:pPr>
      <w:r>
        <w:rPr>
          <w:rFonts w:ascii="Calibri" w:cs="Calibri" w:eastAsia="Calibri" w:hAnsi="Calibri"/>
          <w:b/>
          <w:bCs/>
          <w:color w:val="0F2A33"/>
        </w:rPr>
        <w:t xml:space="preserve">6.  Phase 1 Budget</w:t>
      </w:r>
    </w:p>
    <w:p>
      <w:pPr>
        <w:spacing w:after="140" w:line="276"/>
        <w:jc w:val="both"/>
      </w:pPr>
      <w:r>
        <w:rPr>
          <w:rFonts w:ascii="Calibri" w:cs="Calibri" w:eastAsia="Calibri" w:hAnsi="Calibri"/>
          <w:color w:val="2B3B40"/>
          <w:sz w:val="21"/>
          <w:szCs w:val="21"/>
        </w:rPr>
        <w:t xml:space="preserve">Phase 1 is offered as a fixed envelope of </w:t>
      </w:r>
      <w:r>
        <w:rPr>
          <w:rFonts w:ascii="Calibri" w:cs="Calibri" w:eastAsia="Calibri" w:hAnsi="Calibri"/>
          <w:b/>
          <w:bCs/>
          <w:color w:val="2B3B40"/>
          <w:sz w:val="21"/>
          <w:szCs w:val="21"/>
        </w:rPr>
        <w:t xml:space="preserve">£45,000 (excluding VAT)</w:t>
      </w:r>
      <w:r>
        <w:rPr>
          <w:rFonts w:ascii="Calibri" w:cs="Calibri" w:eastAsia="Calibri" w:hAnsi="Calibri"/>
          <w:color w:val="2B3B40"/>
          <w:sz w:val="21"/>
          <w:szCs w:val="21"/>
        </w:rPr>
        <w:t xml:space="preserve">, contributing towards research and development, scope definition and the core application structure. The allocation below is indicative and may be balanced across workstreams as the work directs; the total is fixed.</w:t>
      </w:r>
    </w:p>
    <w:tbl>
      <w:tblPr>
        <w:tblW w:type="dxa" w:w="9360"/>
        <w:tblBorders>
          <w:top w:val="single" w:color="CFE0E2" w:sz="4"/>
          <w:left w:val="single" w:color="CFE0E2" w:sz="4"/>
          <w:bottom w:val="single" w:color="CFE0E2" w:sz="4"/>
          <w:right w:val="single" w:color="CFE0E2" w:sz="4"/>
          <w:insideH w:val="single" w:color="CFE0E2" w:sz="4"/>
          <w:insideV w:val="single" w:color="CFE0E2" w:sz="4"/>
        </w:tblBorders>
      </w:tblPr>
      <w:tblGrid>
        <w:gridCol w:w="3200"/>
        <w:gridCol w:w="4360"/>
        <w:gridCol w:w="1800"/>
      </w:tblGrid>
      <w:tr>
        <w:trPr>
          <w:tblHeader/>
        </w:trPr>
        <w:tc>
          <w:tcPr>
            <w:tcW w:type="dxa" w:w="3200"/>
            <w:shd w:fill="0A7E8C" w:color="auto"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Workstream</w:t>
            </w:r>
          </w:p>
        </w:tc>
        <w:tc>
          <w:tcPr>
            <w:tcW w:type="dxa" w:w="4360"/>
            <w:shd w:fill="0A7E8C" w:color="auto"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Focus</w:t>
            </w:r>
          </w:p>
        </w:tc>
        <w:tc>
          <w:tcPr>
            <w:tcW w:type="dxa" w:w="1800"/>
            <w:shd w:fill="0A7E8C" w:color="auto" w:val="clear"/>
            <w:tcMar>
              <w:top w:type="dxa" w:w="90"/>
              <w:left w:type="dxa" w:w="130"/>
              <w:bottom w:type="dxa" w:w="90"/>
              <w:right w:type="dxa" w:w="130"/>
            </w:tcMar>
            <w:vAlign w:val="center"/>
          </w:tcPr>
          <w:p>
            <w:pPr>
              <w:jc w:val="right"/>
            </w:pPr>
            <w:r>
              <w:rPr>
                <w:rFonts w:ascii="Calibri" w:cs="Calibri" w:eastAsia="Calibri" w:hAnsi="Calibri"/>
                <w:b/>
                <w:bCs/>
                <w:color w:val="FFFFFF"/>
                <w:sz w:val="19"/>
                <w:szCs w:val="19"/>
              </w:rPr>
              <w:t xml:space="preserve">Indicative Allocation</w:t>
            </w:r>
          </w:p>
        </w:tc>
      </w:tr>
      <w:tr>
        <w:trPr>
          <w:tblHeader w:val="false"/>
        </w:trPr>
        <w:tc>
          <w:tcPr>
            <w:tcW w:type="dxa" w:w="3200"/>
            <w:tcMar>
              <w:top w:type="dxa" w:w="90"/>
              <w:left w:type="dxa" w:w="130"/>
              <w:bottom w:type="dxa" w:w="90"/>
              <w:right w:type="dxa" w:w="130"/>
            </w:tcMar>
            <w:vAlign w:val="center"/>
          </w:tcPr>
          <w:p>
            <w:pPr>
              <w:jc w:val="left"/>
            </w:pPr>
            <w:r>
              <w:rPr>
                <w:rFonts w:ascii="Calibri" w:cs="Calibri" w:eastAsia="Calibri" w:hAnsi="Calibri"/>
                <w:b w:val="false"/>
                <w:bCs w:val="false"/>
                <w:color w:val="2B3B40"/>
                <w:sz w:val="20"/>
                <w:szCs w:val="20"/>
              </w:rPr>
              <w:t xml:space="preserve">R&amp;D &amp; Technical Feasibility</w:t>
            </w:r>
          </w:p>
        </w:tc>
        <w:tc>
          <w:tcPr>
            <w:tcW w:type="dxa" w:w="4360"/>
            <w:tcMar>
              <w:top w:type="dxa" w:w="90"/>
              <w:left w:type="dxa" w:w="130"/>
              <w:bottom w:type="dxa" w:w="90"/>
              <w:right w:type="dxa" w:w="130"/>
            </w:tcMar>
            <w:vAlign w:val="center"/>
          </w:tcPr>
          <w:p>
            <w:pPr>
              <w:jc w:val="left"/>
            </w:pPr>
            <w:r>
              <w:rPr>
                <w:rFonts w:ascii="Calibri" w:cs="Calibri" w:eastAsia="Calibri" w:hAnsi="Calibri"/>
                <w:b w:val="false"/>
                <w:bCs w:val="false"/>
                <w:color w:val="2B3B40"/>
                <w:sz w:val="20"/>
                <w:szCs w:val="20"/>
              </w:rPr>
              <w:t xml:space="preserve">AI / ML / CV feasibility and data-source evaluation (R1–R6, R8)</w:t>
            </w:r>
          </w:p>
        </w:tc>
        <w:tc>
          <w:tcPr>
            <w:tcW w:type="dxa" w:w="1800"/>
            <w:tcMar>
              <w:top w:type="dxa" w:w="90"/>
              <w:left w:type="dxa" w:w="130"/>
              <w:bottom w:type="dxa" w:w="90"/>
              <w:right w:type="dxa" w:w="130"/>
            </w:tcMar>
            <w:vAlign w:val="center"/>
          </w:tcPr>
          <w:p>
            <w:pPr>
              <w:jc w:val="right"/>
            </w:pPr>
            <w:r>
              <w:rPr>
                <w:rFonts w:ascii="Calibri" w:cs="Calibri" w:eastAsia="Calibri" w:hAnsi="Calibri"/>
                <w:b w:val="false"/>
                <w:bCs w:val="false"/>
                <w:color w:val="2B3B40"/>
                <w:sz w:val="20"/>
                <w:szCs w:val="20"/>
              </w:rPr>
              <w:t xml:space="preserve">£18,000</w:t>
            </w:r>
          </w:p>
        </w:tc>
      </w:tr>
      <w:tr>
        <w:trPr>
          <w:tblHeader w:val="false"/>
        </w:trPr>
        <w:tc>
          <w:tcPr>
            <w:tcW w:type="dxa" w:w="3200"/>
            <w:tcMar>
              <w:top w:type="dxa" w:w="90"/>
              <w:left w:type="dxa" w:w="130"/>
              <w:bottom w:type="dxa" w:w="90"/>
              <w:right w:type="dxa" w:w="130"/>
            </w:tcMar>
            <w:vAlign w:val="center"/>
          </w:tcPr>
          <w:p>
            <w:pPr>
              <w:jc w:val="left"/>
            </w:pPr>
            <w:r>
              <w:rPr>
                <w:rFonts w:ascii="Calibri" w:cs="Calibri" w:eastAsia="Calibri" w:hAnsi="Calibri"/>
                <w:b w:val="false"/>
                <w:bCs w:val="false"/>
                <w:color w:val="2B3B40"/>
                <w:sz w:val="20"/>
                <w:szCs w:val="20"/>
              </w:rPr>
              <w:t xml:space="preserve">Scope Definition &amp; Solution Architecture</w:t>
            </w:r>
          </w:p>
        </w:tc>
        <w:tc>
          <w:tcPr>
            <w:tcW w:type="dxa" w:w="4360"/>
            <w:tcMar>
              <w:top w:type="dxa" w:w="90"/>
              <w:left w:type="dxa" w:w="130"/>
              <w:bottom w:type="dxa" w:w="90"/>
              <w:right w:type="dxa" w:w="130"/>
            </w:tcMar>
            <w:vAlign w:val="center"/>
          </w:tcPr>
          <w:p>
            <w:pPr>
              <w:jc w:val="left"/>
            </w:pPr>
            <w:r>
              <w:rPr>
                <w:rFonts w:ascii="Calibri" w:cs="Calibri" w:eastAsia="Calibri" w:hAnsi="Calibri"/>
                <w:b w:val="false"/>
                <w:bCs w:val="false"/>
                <w:color w:val="2B3B40"/>
                <w:sz w:val="20"/>
                <w:szCs w:val="20"/>
              </w:rPr>
              <w:t xml:space="preserve">Requirements, reference architecture and costed roadmap (R7)</w:t>
            </w:r>
          </w:p>
        </w:tc>
        <w:tc>
          <w:tcPr>
            <w:tcW w:type="dxa" w:w="1800"/>
            <w:tcMar>
              <w:top w:type="dxa" w:w="90"/>
              <w:left w:type="dxa" w:w="130"/>
              <w:bottom w:type="dxa" w:w="90"/>
              <w:right w:type="dxa" w:w="130"/>
            </w:tcMar>
            <w:vAlign w:val="center"/>
          </w:tcPr>
          <w:p>
            <w:pPr>
              <w:jc w:val="right"/>
            </w:pPr>
            <w:r>
              <w:rPr>
                <w:rFonts w:ascii="Calibri" w:cs="Calibri" w:eastAsia="Calibri" w:hAnsi="Calibri"/>
                <w:b w:val="false"/>
                <w:bCs w:val="false"/>
                <w:color w:val="2B3B40"/>
                <w:sz w:val="20"/>
                <w:szCs w:val="20"/>
              </w:rPr>
              <w:t xml:space="preserve">£12,000</w:t>
            </w:r>
          </w:p>
        </w:tc>
      </w:tr>
      <w:tr>
        <w:trPr>
          <w:tblHeader w:val="false"/>
        </w:trPr>
        <w:tc>
          <w:tcPr>
            <w:tcW w:type="dxa" w:w="3200"/>
            <w:tcMar>
              <w:top w:type="dxa" w:w="90"/>
              <w:left w:type="dxa" w:w="130"/>
              <w:bottom w:type="dxa" w:w="90"/>
              <w:right w:type="dxa" w:w="130"/>
            </w:tcMar>
            <w:vAlign w:val="center"/>
          </w:tcPr>
          <w:p>
            <w:pPr>
              <w:jc w:val="left"/>
            </w:pPr>
            <w:r>
              <w:rPr>
                <w:rFonts w:ascii="Calibri" w:cs="Calibri" w:eastAsia="Calibri" w:hAnsi="Calibri"/>
                <w:b w:val="false"/>
                <w:bCs w:val="false"/>
                <w:color w:val="2B3B40"/>
                <w:sz w:val="20"/>
                <w:szCs w:val="20"/>
              </w:rPr>
              <w:t xml:space="preserve">Core Application Structure</w:t>
            </w:r>
          </w:p>
        </w:tc>
        <w:tc>
          <w:tcPr>
            <w:tcW w:type="dxa" w:w="4360"/>
            <w:tcMar>
              <w:top w:type="dxa" w:w="90"/>
              <w:left w:type="dxa" w:w="130"/>
              <w:bottom w:type="dxa" w:w="90"/>
              <w:right w:type="dxa" w:w="130"/>
            </w:tcMar>
            <w:vAlign w:val="center"/>
          </w:tcPr>
          <w:p>
            <w:pPr>
              <w:jc w:val="left"/>
            </w:pPr>
            <w:r>
              <w:rPr>
                <w:rFonts w:ascii="Calibri" w:cs="Calibri" w:eastAsia="Calibri" w:hAnsi="Calibri"/>
                <w:b w:val="false"/>
                <w:bCs w:val="false"/>
                <w:color w:val="2B3B40"/>
                <w:sz w:val="20"/>
                <w:szCs w:val="20"/>
              </w:rPr>
              <w:t xml:space="preserve">Foundation build / SaaS scaffold and core prototype (R9)</w:t>
            </w:r>
          </w:p>
        </w:tc>
        <w:tc>
          <w:tcPr>
            <w:tcW w:type="dxa" w:w="1800"/>
            <w:tcMar>
              <w:top w:type="dxa" w:w="90"/>
              <w:left w:type="dxa" w:w="130"/>
              <w:bottom w:type="dxa" w:w="90"/>
              <w:right w:type="dxa" w:w="130"/>
            </w:tcMar>
            <w:vAlign w:val="center"/>
          </w:tcPr>
          <w:p>
            <w:pPr>
              <w:jc w:val="right"/>
            </w:pPr>
            <w:r>
              <w:rPr>
                <w:rFonts w:ascii="Calibri" w:cs="Calibri" w:eastAsia="Calibri" w:hAnsi="Calibri"/>
                <w:b w:val="false"/>
                <w:bCs w:val="false"/>
                <w:color w:val="2B3B40"/>
                <w:sz w:val="20"/>
                <w:szCs w:val="20"/>
              </w:rPr>
              <w:t xml:space="preserve">£11,000</w:t>
            </w:r>
          </w:p>
        </w:tc>
      </w:tr>
      <w:tr>
        <w:trPr>
          <w:tblHeader w:val="false"/>
        </w:trPr>
        <w:tc>
          <w:tcPr>
            <w:tcW w:type="dxa" w:w="3200"/>
            <w:tcMar>
              <w:top w:type="dxa" w:w="90"/>
              <w:left w:type="dxa" w:w="130"/>
              <w:bottom w:type="dxa" w:w="90"/>
              <w:right w:type="dxa" w:w="130"/>
            </w:tcMar>
            <w:vAlign w:val="center"/>
          </w:tcPr>
          <w:p>
            <w:pPr>
              <w:jc w:val="left"/>
            </w:pPr>
            <w:r>
              <w:rPr>
                <w:rFonts w:ascii="Calibri" w:cs="Calibri" w:eastAsia="Calibri" w:hAnsi="Calibri"/>
                <w:b w:val="false"/>
                <w:bCs w:val="false"/>
                <w:color w:val="2B3B40"/>
                <w:sz w:val="20"/>
                <w:szCs w:val="20"/>
              </w:rPr>
              <w:t xml:space="preserve">Project Management &amp; Documentation</w:t>
            </w:r>
          </w:p>
        </w:tc>
        <w:tc>
          <w:tcPr>
            <w:tcW w:type="dxa" w:w="4360"/>
            <w:tcMar>
              <w:top w:type="dxa" w:w="90"/>
              <w:left w:type="dxa" w:w="130"/>
              <w:bottom w:type="dxa" w:w="90"/>
              <w:right w:type="dxa" w:w="130"/>
            </w:tcMar>
            <w:vAlign w:val="center"/>
          </w:tcPr>
          <w:p>
            <w:pPr>
              <w:jc w:val="left"/>
            </w:pPr>
            <w:r>
              <w:rPr>
                <w:rFonts w:ascii="Calibri" w:cs="Calibri" w:eastAsia="Calibri" w:hAnsi="Calibri"/>
                <w:b w:val="false"/>
                <w:bCs w:val="false"/>
                <w:color w:val="2B3B40"/>
                <w:sz w:val="20"/>
                <w:szCs w:val="20"/>
              </w:rPr>
              <w:t xml:space="preserve">Coordination, reporting and deliverable production</w:t>
            </w:r>
          </w:p>
        </w:tc>
        <w:tc>
          <w:tcPr>
            <w:tcW w:type="dxa" w:w="1800"/>
            <w:tcMar>
              <w:top w:type="dxa" w:w="90"/>
              <w:left w:type="dxa" w:w="130"/>
              <w:bottom w:type="dxa" w:w="90"/>
              <w:right w:type="dxa" w:w="130"/>
            </w:tcMar>
            <w:vAlign w:val="center"/>
          </w:tcPr>
          <w:p>
            <w:pPr>
              <w:jc w:val="right"/>
            </w:pPr>
            <w:r>
              <w:rPr>
                <w:rFonts w:ascii="Calibri" w:cs="Calibri" w:eastAsia="Calibri" w:hAnsi="Calibri"/>
                <w:b w:val="false"/>
                <w:bCs w:val="false"/>
                <w:color w:val="2B3B40"/>
                <w:sz w:val="20"/>
                <w:szCs w:val="20"/>
              </w:rPr>
              <w:t xml:space="preserve">£4,000</w:t>
            </w:r>
          </w:p>
        </w:tc>
      </w:tr>
      <w:tr>
        <w:trPr>
          <w:tblHeader w:val="false"/>
        </w:trPr>
        <w:tc>
          <w:tcPr>
            <w:tcW w:type="dxa" w:w="3200"/>
            <w:shd w:fill="EAF4F5" w:color="auto" w:val="clear"/>
            <w:tcMar>
              <w:top w:type="dxa" w:w="90"/>
              <w:left w:type="dxa" w:w="130"/>
              <w:bottom w:type="dxa" w:w="90"/>
              <w:right w:type="dxa" w:w="130"/>
            </w:tcMar>
            <w:vAlign w:val="center"/>
          </w:tcPr>
          <w:p>
            <w:pPr>
              <w:jc w:val="left"/>
            </w:pPr>
            <w:r>
              <w:rPr>
                <w:rFonts w:ascii="Calibri" w:cs="Calibri" w:eastAsia="Calibri" w:hAnsi="Calibri"/>
                <w:b/>
                <w:bCs/>
                <w:color w:val="0F2A33"/>
                <w:sz w:val="20"/>
                <w:szCs w:val="20"/>
              </w:rPr>
              <w:t xml:space="preserve">Total — Phase 1 (fixed envelope)</w:t>
            </w:r>
          </w:p>
        </w:tc>
        <w:tc>
          <w:tcPr>
            <w:tcW w:type="dxa" w:w="4360"/>
            <w:shd w:fill="EAF4F5"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0F2A33"/>
                <w:sz w:val="20"/>
                <w:szCs w:val="20"/>
              </w:rPr>
              <w:t xml:space="preserve"/>
            </w:r>
          </w:p>
        </w:tc>
        <w:tc>
          <w:tcPr>
            <w:tcW w:type="dxa" w:w="1800"/>
            <w:shd w:fill="EAF4F5" w:color="auto" w:val="clear"/>
            <w:tcMar>
              <w:top w:type="dxa" w:w="90"/>
              <w:left w:type="dxa" w:w="130"/>
              <w:bottom w:type="dxa" w:w="90"/>
              <w:right w:type="dxa" w:w="130"/>
            </w:tcMar>
            <w:vAlign w:val="center"/>
          </w:tcPr>
          <w:p>
            <w:pPr>
              <w:jc w:val="right"/>
            </w:pPr>
            <w:r>
              <w:rPr>
                <w:rFonts w:ascii="Calibri" w:cs="Calibri" w:eastAsia="Calibri" w:hAnsi="Calibri"/>
                <w:b/>
                <w:bCs/>
                <w:color w:val="0F2A33"/>
                <w:sz w:val="20"/>
                <w:szCs w:val="20"/>
              </w:rPr>
              <w:t xml:space="preserve">£45,000</w:t>
            </w:r>
          </w:p>
        </w:tc>
      </w:tr>
    </w:tbl>
    <w:p>
      <w:pPr>
        <w:spacing w:before="120"/>
      </w:pPr>
      <w:r>
        <w:rPr>
          <w:rFonts w:ascii="Calibri" w:cs="Calibri" w:eastAsia="Calibri" w:hAnsi="Calibri"/>
          <w:i/>
          <w:iCs/>
          <w:color w:val="5A6B70"/>
          <w:sz w:val="19"/>
          <w:szCs w:val="19"/>
        </w:rPr>
        <w:t xml:space="preserve">The £45,000 covers Phase 1 effort only. It does not include third-party data, imagery or software licensing, cloud-infrastructure costs, or hardware — see Section 7. VAT is charged in addition where applicable.</w:t>
      </w:r>
    </w:p>
    <w:p>
      <w:pPr>
        <w:pStyle w:val="Heading1"/>
        <w:pBdr>
          <w:bottom w:val="single" w:color="CFE0E2" w:sz="8" w:space="6"/>
        </w:pBdr>
        <w:spacing w:after="120" w:before="280"/>
      </w:pPr>
      <w:r>
        <w:rPr>
          <w:rFonts w:ascii="Calibri" w:cs="Calibri" w:eastAsia="Calibri" w:hAnsi="Calibri"/>
          <w:b/>
          <w:bCs/>
          <w:color w:val="0F2A33"/>
        </w:rPr>
        <w:t xml:space="preserve">7.  What Is Not Included (and May Add to Cost)</w:t>
      </w:r>
    </w:p>
    <w:p>
      <w:pPr>
        <w:spacing w:after="140" w:line="276"/>
        <w:jc w:val="both"/>
      </w:pPr>
      <w:r>
        <w:rPr>
          <w:rFonts w:ascii="Calibri" w:cs="Calibri" w:eastAsia="Calibri" w:hAnsi="Calibri"/>
          <w:color w:val="2B3B40"/>
          <w:sz w:val="21"/>
          <w:szCs w:val="21"/>
        </w:rPr>
        <w:t xml:space="preserve">To be transparent: Phase 1 defines and scopes the platform and lays its foundation. The important features that make up the full product are built in later, costed phases. The following are outside this £45,000 and will contribute to the overall cost, to be quantified by the Phase 1 roadmap:</w:t>
      </w:r>
    </w:p>
    <w:p>
      <w:pPr>
        <w:pStyle w:val="ListParagraph"/>
        <w:numPr>
          <w:ilvl w:val="0"/>
          <w:numId w:val="2"/>
        </w:numPr>
        <w:spacing w:after="70" w:line="270"/>
      </w:pPr>
      <w:r>
        <w:rPr>
          <w:rFonts w:ascii="Calibri" w:cs="Calibri" w:eastAsia="Calibri" w:hAnsi="Calibri"/>
          <w:color w:val="2B3B40"/>
          <w:sz w:val="21"/>
          <w:szCs w:val="21"/>
        </w:rPr>
        <w:t xml:space="preserve">Development and training of individual AI / ML / computer-vision models beyond the feasibility stage</w:t>
      </w:r>
    </w:p>
    <w:p>
      <w:pPr>
        <w:pStyle w:val="ListParagraph"/>
        <w:numPr>
          <w:ilvl w:val="0"/>
          <w:numId w:val="2"/>
        </w:numPr>
        <w:spacing w:after="70" w:line="270"/>
      </w:pPr>
      <w:r>
        <w:rPr>
          <w:rFonts w:ascii="Calibri" w:cs="Calibri" w:eastAsia="Calibri" w:hAnsi="Calibri"/>
          <w:color w:val="2B3B40"/>
          <w:sz w:val="21"/>
          <w:szCs w:val="21"/>
        </w:rPr>
        <w:t xml:space="preserve">Third-party data, satellite / drone imagery and API licensing or subscription fees</w:t>
      </w:r>
    </w:p>
    <w:p>
      <w:pPr>
        <w:pStyle w:val="ListParagraph"/>
        <w:numPr>
          <w:ilvl w:val="0"/>
          <w:numId w:val="2"/>
        </w:numPr>
        <w:spacing w:after="70" w:line="270"/>
      </w:pPr>
      <w:r>
        <w:rPr>
          <w:rFonts w:ascii="Calibri" w:cs="Calibri" w:eastAsia="Calibri" w:hAnsi="Calibri"/>
          <w:color w:val="2B3B40"/>
          <w:sz w:val="21"/>
          <w:szCs w:val="21"/>
        </w:rPr>
        <w:t xml:space="preserve">IoT hardware, soil sensors and their field deployment</w:t>
      </w:r>
    </w:p>
    <w:p>
      <w:pPr>
        <w:pStyle w:val="ListParagraph"/>
        <w:numPr>
          <w:ilvl w:val="0"/>
          <w:numId w:val="2"/>
        </w:numPr>
        <w:spacing w:after="70" w:line="270"/>
      </w:pPr>
      <w:r>
        <w:rPr>
          <w:rFonts w:ascii="Calibri" w:cs="Calibri" w:eastAsia="Calibri" w:hAnsi="Calibri"/>
          <w:color w:val="2B3B40"/>
          <w:sz w:val="21"/>
          <w:szCs w:val="21"/>
        </w:rPr>
        <w:t xml:space="preserve">Native mobile applications (iOS / Android)</w:t>
      </w:r>
    </w:p>
    <w:p>
      <w:pPr>
        <w:pStyle w:val="ListParagraph"/>
        <w:numPr>
          <w:ilvl w:val="0"/>
          <w:numId w:val="2"/>
        </w:numPr>
        <w:spacing w:after="70" w:line="270"/>
      </w:pPr>
      <w:r>
        <w:rPr>
          <w:rFonts w:ascii="Calibri" w:cs="Calibri" w:eastAsia="Calibri" w:hAnsi="Calibri"/>
          <w:color w:val="2B3B40"/>
          <w:sz w:val="21"/>
          <w:szCs w:val="21"/>
        </w:rPr>
        <w:t xml:space="preserve">Third-party integrations (accounting, ERP, marketplaces, commodity exchanges)</w:t>
      </w:r>
    </w:p>
    <w:p>
      <w:pPr>
        <w:pStyle w:val="ListParagraph"/>
        <w:numPr>
          <w:ilvl w:val="0"/>
          <w:numId w:val="2"/>
        </w:numPr>
        <w:spacing w:after="70" w:line="270"/>
      </w:pPr>
      <w:r>
        <w:rPr>
          <w:rFonts w:ascii="Calibri" w:cs="Calibri" w:eastAsia="Calibri" w:hAnsi="Calibri"/>
          <w:color w:val="2B3B40"/>
          <w:sz w:val="21"/>
          <w:szCs w:val="21"/>
        </w:rPr>
        <w:t xml:space="preserve">Pilot deployments and farmer onboarding at scale</w:t>
      </w:r>
    </w:p>
    <w:p>
      <w:pPr>
        <w:pStyle w:val="ListParagraph"/>
        <w:numPr>
          <w:ilvl w:val="0"/>
          <w:numId w:val="2"/>
        </w:numPr>
        <w:spacing w:after="70" w:line="270"/>
      </w:pPr>
      <w:r>
        <w:rPr>
          <w:rFonts w:ascii="Calibri" w:cs="Calibri" w:eastAsia="Calibri" w:hAnsi="Calibri"/>
          <w:color w:val="2B3B40"/>
          <w:sz w:val="21"/>
          <w:szCs w:val="21"/>
        </w:rPr>
        <w:t xml:space="preserve">Ongoing cloud infrastructure, compute, storage and data-egress costs</w:t>
      </w:r>
    </w:p>
    <w:p>
      <w:pPr>
        <w:pStyle w:val="ListParagraph"/>
        <w:numPr>
          <w:ilvl w:val="0"/>
          <w:numId w:val="2"/>
        </w:numPr>
        <w:spacing w:after="70" w:line="270"/>
      </w:pPr>
      <w:r>
        <w:rPr>
          <w:rFonts w:ascii="Calibri" w:cs="Calibri" w:eastAsia="Calibri" w:hAnsi="Calibri"/>
          <w:color w:val="2B3B40"/>
          <w:sz w:val="21"/>
          <w:szCs w:val="21"/>
        </w:rPr>
        <w:t xml:space="preserve">Security certifications, penetration testing and formal compliance audits</w:t>
      </w:r>
    </w:p>
    <w:p>
      <w:pPr>
        <w:pStyle w:val="ListParagraph"/>
        <w:numPr>
          <w:ilvl w:val="0"/>
          <w:numId w:val="2"/>
        </w:numPr>
        <w:spacing w:after="70" w:line="270"/>
      </w:pPr>
      <w:r>
        <w:rPr>
          <w:rFonts w:ascii="Calibri" w:cs="Calibri" w:eastAsia="Calibri" w:hAnsi="Calibri"/>
          <w:color w:val="2B3B40"/>
          <w:sz w:val="21"/>
          <w:szCs w:val="21"/>
        </w:rPr>
        <w:t xml:space="preserve">Ongoing support, maintenance and service-level agreements (SLAs)</w:t>
      </w:r>
    </w:p>
    <w:p>
      <w:pPr>
        <w:spacing w:before="100"/>
      </w:pPr>
      <w:r>
        <w:rPr>
          <w:rFonts w:ascii="Calibri" w:cs="Calibri" w:eastAsia="Calibri" w:hAnsi="Calibri"/>
          <w:i/>
          <w:iCs/>
          <w:color w:val="0F2A33"/>
          <w:sz w:val="20"/>
          <w:szCs w:val="20"/>
        </w:rPr>
        <w:t xml:space="preserve">This is precisely why Phase 1 exists — to turn each of these from an open-ended unknown into a defined, costed line item.</w:t>
      </w:r>
    </w:p>
    <w:p>
      <w:pPr>
        <w:pStyle w:val="Heading1"/>
        <w:pBdr>
          <w:bottom w:val="single" w:color="CFE0E2" w:sz="8" w:space="6"/>
        </w:pBdr>
        <w:spacing w:after="120" w:before="280"/>
      </w:pPr>
      <w:r>
        <w:rPr>
          <w:rFonts w:ascii="Calibri" w:cs="Calibri" w:eastAsia="Calibri" w:hAnsi="Calibri"/>
          <w:b/>
          <w:bCs/>
          <w:color w:val="0F2A33"/>
        </w:rPr>
        <w:t xml:space="preserve">8.  Indicative Timeline</w:t>
      </w:r>
    </w:p>
    <w:p>
      <w:pPr>
        <w:spacing w:after="140" w:line="276"/>
        <w:jc w:val="both"/>
      </w:pPr>
      <w:r>
        <w:rPr>
          <w:rFonts w:ascii="Calibri" w:cs="Calibri" w:eastAsia="Calibri" w:hAnsi="Calibri"/>
          <w:color w:val="2B3B40"/>
          <w:sz w:val="21"/>
          <w:szCs w:val="21"/>
        </w:rPr>
        <w:t xml:space="preserve">Phase 1 is expected to run over approximately 8–10 weeks. Workstreams overlap; the stages below are indicative and confirmed at kick-off.</w:t>
      </w:r>
    </w:p>
    <w:tbl>
      <w:tblPr>
        <w:tblW w:type="dxa" w:w="9360"/>
        <w:tblBorders>
          <w:top w:val="single" w:color="CFE0E2" w:sz="4"/>
          <w:left w:val="single" w:color="CFE0E2" w:sz="4"/>
          <w:bottom w:val="single" w:color="CFE0E2" w:sz="4"/>
          <w:right w:val="single" w:color="CFE0E2" w:sz="4"/>
          <w:insideH w:val="single" w:color="CFE0E2" w:sz="4"/>
          <w:insideV w:val="single" w:color="CFE0E2" w:sz="4"/>
        </w:tblBorders>
      </w:tblPr>
      <w:tblGrid>
        <w:gridCol w:w="6560"/>
        <w:gridCol w:w="2800"/>
      </w:tblGrid>
      <w:tr>
        <w:trPr>
          <w:tblHeader/>
        </w:trPr>
        <w:tc>
          <w:tcPr>
            <w:tcW w:type="dxa" w:w="6560"/>
            <w:shd w:fill="0A7E8C"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Phase 1 Stage</w:t>
            </w:r>
          </w:p>
        </w:tc>
        <w:tc>
          <w:tcPr>
            <w:tcW w:type="dxa" w:w="2800"/>
            <w:shd w:fill="0A7E8C"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Indicative Duration</w:t>
            </w:r>
          </w:p>
        </w:tc>
      </w:tr>
      <w:tr>
        <w:trPr>
          <w:tblHeader w:val="false"/>
        </w:trPr>
        <w:tc>
          <w:tcPr>
            <w:tcW w:type="dxa" w:w="6560"/>
            <w:tcMar>
              <w:top w:type="dxa" w:w="90"/>
              <w:left w:type="dxa" w:w="130"/>
              <w:bottom w:type="dxa" w:w="90"/>
              <w:right w:type="dxa" w:w="130"/>
            </w:tcMar>
            <w:vAlign w:val="center"/>
          </w:tcPr>
          <w:p>
            <w:pPr>
              <w:jc w:val="left"/>
            </w:pPr>
            <w:r>
              <w:rPr>
                <w:rFonts w:ascii="Calibri" w:cs="Calibri" w:eastAsia="Calibri" w:hAnsi="Calibri"/>
                <w:b w:val="false"/>
                <w:bCs w:val="false"/>
                <w:color w:val="2B3B40"/>
                <w:sz w:val="20"/>
                <w:szCs w:val="20"/>
              </w:rPr>
              <w:t xml:space="preserve">Kick-off, discovery &amp; data-source research (R1–R6)</w:t>
            </w:r>
          </w:p>
        </w:tc>
        <w:tc>
          <w:tcPr>
            <w:tcW w:type="dxa" w:w="2800"/>
            <w:tcMar>
              <w:top w:type="dxa" w:w="90"/>
              <w:left w:type="dxa" w:w="130"/>
              <w:bottom w:type="dxa" w:w="90"/>
              <w:right w:type="dxa" w:w="130"/>
            </w:tcMar>
            <w:vAlign w:val="center"/>
          </w:tcPr>
          <w:p>
            <w:pPr>
              <w:jc w:val="right"/>
            </w:pPr>
            <w:r>
              <w:rPr>
                <w:rFonts w:ascii="Calibri" w:cs="Calibri" w:eastAsia="Calibri" w:hAnsi="Calibri"/>
                <w:b w:val="false"/>
                <w:bCs w:val="false"/>
                <w:color w:val="0F2A33"/>
                <w:sz w:val="20"/>
                <w:szCs w:val="20"/>
              </w:rPr>
              <w:t xml:space="preserve">Weeks 1–4</w:t>
            </w:r>
          </w:p>
        </w:tc>
      </w:tr>
      <w:tr>
        <w:trPr>
          <w:tblHeader w:val="false"/>
        </w:trPr>
        <w:tc>
          <w:tcPr>
            <w:tcW w:type="dxa" w:w="6560"/>
            <w:tcMar>
              <w:top w:type="dxa" w:w="90"/>
              <w:left w:type="dxa" w:w="130"/>
              <w:bottom w:type="dxa" w:w="90"/>
              <w:right w:type="dxa" w:w="130"/>
            </w:tcMar>
            <w:vAlign w:val="center"/>
          </w:tcPr>
          <w:p>
            <w:pPr>
              <w:jc w:val="left"/>
            </w:pPr>
            <w:r>
              <w:rPr>
                <w:rFonts w:ascii="Calibri" w:cs="Calibri" w:eastAsia="Calibri" w:hAnsi="Calibri"/>
                <w:b w:val="false"/>
                <w:bCs w:val="false"/>
                <w:color w:val="2B3B40"/>
                <w:sz w:val="20"/>
                <w:szCs w:val="20"/>
              </w:rPr>
              <w:t xml:space="preserve">Architecture, feasibility synthesis &amp; scope definition (R7–R9)</w:t>
            </w:r>
          </w:p>
        </w:tc>
        <w:tc>
          <w:tcPr>
            <w:tcW w:type="dxa" w:w="2800"/>
            <w:tcMar>
              <w:top w:type="dxa" w:w="90"/>
              <w:left w:type="dxa" w:w="130"/>
              <w:bottom w:type="dxa" w:w="90"/>
              <w:right w:type="dxa" w:w="130"/>
            </w:tcMar>
            <w:vAlign w:val="center"/>
          </w:tcPr>
          <w:p>
            <w:pPr>
              <w:jc w:val="right"/>
            </w:pPr>
            <w:r>
              <w:rPr>
                <w:rFonts w:ascii="Calibri" w:cs="Calibri" w:eastAsia="Calibri" w:hAnsi="Calibri"/>
                <w:b w:val="false"/>
                <w:bCs w:val="false"/>
                <w:color w:val="0F2A33"/>
                <w:sz w:val="20"/>
                <w:szCs w:val="20"/>
              </w:rPr>
              <w:t xml:space="preserve">Weeks 4–7</w:t>
            </w:r>
          </w:p>
        </w:tc>
      </w:tr>
      <w:tr>
        <w:trPr>
          <w:tblHeader w:val="false"/>
        </w:trPr>
        <w:tc>
          <w:tcPr>
            <w:tcW w:type="dxa" w:w="6560"/>
            <w:tcMar>
              <w:top w:type="dxa" w:w="90"/>
              <w:left w:type="dxa" w:w="130"/>
              <w:bottom w:type="dxa" w:w="90"/>
              <w:right w:type="dxa" w:w="130"/>
            </w:tcMar>
            <w:vAlign w:val="center"/>
          </w:tcPr>
          <w:p>
            <w:pPr>
              <w:jc w:val="left"/>
            </w:pPr>
            <w:r>
              <w:rPr>
                <w:rFonts w:ascii="Calibri" w:cs="Calibri" w:eastAsia="Calibri" w:hAnsi="Calibri"/>
                <w:b w:val="false"/>
                <w:bCs w:val="false"/>
                <w:color w:val="2B3B40"/>
                <w:sz w:val="20"/>
                <w:szCs w:val="20"/>
              </w:rPr>
              <w:t xml:space="preserve">Core application foundation &amp; prototype</w:t>
            </w:r>
          </w:p>
        </w:tc>
        <w:tc>
          <w:tcPr>
            <w:tcW w:type="dxa" w:w="2800"/>
            <w:tcMar>
              <w:top w:type="dxa" w:w="90"/>
              <w:left w:type="dxa" w:w="130"/>
              <w:bottom w:type="dxa" w:w="90"/>
              <w:right w:type="dxa" w:w="130"/>
            </w:tcMar>
            <w:vAlign w:val="center"/>
          </w:tcPr>
          <w:p>
            <w:pPr>
              <w:jc w:val="right"/>
            </w:pPr>
            <w:r>
              <w:rPr>
                <w:rFonts w:ascii="Calibri" w:cs="Calibri" w:eastAsia="Calibri" w:hAnsi="Calibri"/>
                <w:b w:val="false"/>
                <w:bCs w:val="false"/>
                <w:color w:val="0F2A33"/>
                <w:sz w:val="20"/>
                <w:szCs w:val="20"/>
              </w:rPr>
              <w:t xml:space="preserve">Weeks 5–9</w:t>
            </w:r>
          </w:p>
        </w:tc>
      </w:tr>
      <w:tr>
        <w:trPr>
          <w:tblHeader w:val="false"/>
        </w:trPr>
        <w:tc>
          <w:tcPr>
            <w:tcW w:type="dxa" w:w="6560"/>
            <w:tcMar>
              <w:top w:type="dxa" w:w="90"/>
              <w:left w:type="dxa" w:w="130"/>
              <w:bottom w:type="dxa" w:w="90"/>
              <w:right w:type="dxa" w:w="130"/>
            </w:tcMar>
            <w:vAlign w:val="center"/>
          </w:tcPr>
          <w:p>
            <w:pPr>
              <w:jc w:val="left"/>
            </w:pPr>
            <w:r>
              <w:rPr>
                <w:rFonts w:ascii="Calibri" w:cs="Calibri" w:eastAsia="Calibri" w:hAnsi="Calibri"/>
                <w:b w:val="false"/>
                <w:bCs w:val="false"/>
                <w:color w:val="2B3B40"/>
                <w:sz w:val="20"/>
                <w:szCs w:val="20"/>
              </w:rPr>
              <w:t xml:space="preserve">Consolidation, roadmap &amp; Phase 2 costing</w:t>
            </w:r>
          </w:p>
        </w:tc>
        <w:tc>
          <w:tcPr>
            <w:tcW w:type="dxa" w:w="2800"/>
            <w:tcMar>
              <w:top w:type="dxa" w:w="90"/>
              <w:left w:type="dxa" w:w="130"/>
              <w:bottom w:type="dxa" w:w="90"/>
              <w:right w:type="dxa" w:w="130"/>
            </w:tcMar>
            <w:vAlign w:val="center"/>
          </w:tcPr>
          <w:p>
            <w:pPr>
              <w:jc w:val="right"/>
            </w:pPr>
            <w:r>
              <w:rPr>
                <w:rFonts w:ascii="Calibri" w:cs="Calibri" w:eastAsia="Calibri" w:hAnsi="Calibri"/>
                <w:b w:val="false"/>
                <w:bCs w:val="false"/>
                <w:color w:val="0F2A33"/>
                <w:sz w:val="20"/>
                <w:szCs w:val="20"/>
              </w:rPr>
              <w:t xml:space="preserve">Weeks 9–10</w:t>
            </w:r>
          </w:p>
        </w:tc>
      </w:tr>
    </w:tbl>
    <w:p>
      <w:pPr>
        <w:pStyle w:val="Heading1"/>
        <w:pBdr>
          <w:bottom w:val="single" w:color="CFE0E2" w:sz="8" w:space="6"/>
        </w:pBdr>
        <w:spacing w:after="120" w:before="280"/>
      </w:pPr>
      <w:r>
        <w:rPr>
          <w:rFonts w:ascii="Calibri" w:cs="Calibri" w:eastAsia="Calibri" w:hAnsi="Calibri"/>
          <w:b/>
          <w:bCs/>
          <w:color w:val="0F2A33"/>
        </w:rPr>
        <w:t xml:space="preserve">9.  Commercial Terms</w:t>
      </w:r>
    </w:p>
    <w:p>
      <w:pPr>
        <w:pStyle w:val="ListParagraph"/>
        <w:numPr>
          <w:ilvl w:val="0"/>
          <w:numId w:val="2"/>
        </w:numPr>
        <w:spacing w:after="70" w:line="270"/>
      </w:pPr>
      <w:r>
        <w:rPr>
          <w:rFonts w:ascii="Calibri" w:cs="Calibri" w:eastAsia="Calibri" w:hAnsi="Calibri"/>
          <w:b/>
          <w:bCs/>
          <w:color w:val="0F2A33"/>
          <w:sz w:val="21"/>
          <w:szCs w:val="21"/>
        </w:rPr>
        <w:t xml:space="preserve">Fee:  </w:t>
      </w:r>
      <w:r>
        <w:rPr>
          <w:rFonts w:ascii="Calibri" w:cs="Calibri" w:eastAsia="Calibri" w:hAnsi="Calibri"/>
          <w:color w:val="2B3B40"/>
          <w:sz w:val="21"/>
          <w:szCs w:val="21"/>
        </w:rPr>
        <w:t xml:space="preserve">Fixed Phase 1 fee of £45,000, excluding VAT.</w:t>
      </w:r>
    </w:p>
    <w:p>
      <w:pPr>
        <w:pStyle w:val="ListParagraph"/>
        <w:numPr>
          <w:ilvl w:val="0"/>
          <w:numId w:val="2"/>
        </w:numPr>
        <w:spacing w:after="70" w:line="270"/>
      </w:pPr>
      <w:r>
        <w:rPr>
          <w:rFonts w:ascii="Calibri" w:cs="Calibri" w:eastAsia="Calibri" w:hAnsi="Calibri"/>
          <w:b/>
          <w:bCs/>
          <w:color w:val="0F2A33"/>
          <w:sz w:val="21"/>
          <w:szCs w:val="21"/>
        </w:rPr>
        <w:t xml:space="preserve">Payment schedule:  </w:t>
      </w:r>
      <w:r>
        <w:rPr>
          <w:rFonts w:ascii="Calibri" w:cs="Calibri" w:eastAsia="Calibri" w:hAnsi="Calibri"/>
          <w:color w:val="2B3B40"/>
          <w:sz w:val="21"/>
          <w:szCs w:val="21"/>
        </w:rPr>
        <w:t xml:space="preserve">[e.g. 40% on commencement, 30% at midpoint milestone, 30% on delivery of Phase 1 outputs].</w:t>
      </w:r>
    </w:p>
    <w:p>
      <w:pPr>
        <w:pStyle w:val="ListParagraph"/>
        <w:numPr>
          <w:ilvl w:val="0"/>
          <w:numId w:val="2"/>
        </w:numPr>
        <w:spacing w:after="70" w:line="270"/>
      </w:pPr>
      <w:r>
        <w:rPr>
          <w:rFonts w:ascii="Calibri" w:cs="Calibri" w:eastAsia="Calibri" w:hAnsi="Calibri"/>
          <w:b/>
          <w:bCs/>
          <w:color w:val="0F2A33"/>
          <w:sz w:val="21"/>
          <w:szCs w:val="21"/>
        </w:rPr>
        <w:t xml:space="preserve">Third-party costs:  </w:t>
      </w:r>
      <w:r>
        <w:rPr>
          <w:rFonts w:ascii="Calibri" w:cs="Calibri" w:eastAsia="Calibri" w:hAnsi="Calibri"/>
          <w:color w:val="2B3B40"/>
          <w:sz w:val="21"/>
          <w:szCs w:val="21"/>
        </w:rPr>
        <w:t xml:space="preserve">Any data, imagery, licensing or infrastructure costs required during Phase 1 are charged at cost and only with prior written approval.</w:t>
      </w:r>
    </w:p>
    <w:p>
      <w:pPr>
        <w:pStyle w:val="ListParagraph"/>
        <w:numPr>
          <w:ilvl w:val="0"/>
          <w:numId w:val="2"/>
        </w:numPr>
        <w:spacing w:after="70" w:line="270"/>
      </w:pPr>
      <w:r>
        <w:rPr>
          <w:rFonts w:ascii="Calibri" w:cs="Calibri" w:eastAsia="Calibri" w:hAnsi="Calibri"/>
          <w:b/>
          <w:bCs/>
          <w:color w:val="0F2A33"/>
          <w:sz w:val="21"/>
          <w:szCs w:val="21"/>
        </w:rPr>
        <w:t xml:space="preserve">Validity:  </w:t>
      </w:r>
      <w:r>
        <w:rPr>
          <w:rFonts w:ascii="Calibri" w:cs="Calibri" w:eastAsia="Calibri" w:hAnsi="Calibri"/>
          <w:color w:val="2B3B40"/>
          <w:sz w:val="21"/>
          <w:szCs w:val="21"/>
        </w:rPr>
        <w:t xml:space="preserve">This proposal is valid for 30 days from the date above.</w:t>
      </w:r>
    </w:p>
    <w:p>
      <w:pPr>
        <w:pStyle w:val="ListParagraph"/>
        <w:numPr>
          <w:ilvl w:val="0"/>
          <w:numId w:val="2"/>
        </w:numPr>
        <w:spacing w:after="70" w:line="270"/>
      </w:pPr>
      <w:r>
        <w:rPr>
          <w:rFonts w:ascii="Calibri" w:cs="Calibri" w:eastAsia="Calibri" w:hAnsi="Calibri"/>
          <w:b/>
          <w:bCs/>
          <w:color w:val="0F2A33"/>
          <w:sz w:val="21"/>
          <w:szCs w:val="21"/>
        </w:rPr>
        <w:t xml:space="preserve">Confidentiality:  </w:t>
      </w:r>
      <w:r>
        <w:rPr>
          <w:rFonts w:ascii="Calibri" w:cs="Calibri" w:eastAsia="Calibri" w:hAnsi="Calibri"/>
          <w:color w:val="2B3B40"/>
          <w:sz w:val="21"/>
          <w:szCs w:val="21"/>
        </w:rPr>
        <w:t xml:space="preserve">This document and its contents are commercial in confidence.</w:t>
      </w:r>
    </w:p>
    <w:p>
      <w:pPr>
        <w:pStyle w:val="Heading1"/>
        <w:pBdr>
          <w:bottom w:val="single" w:color="CFE0E2" w:sz="8" w:space="6"/>
        </w:pBdr>
        <w:spacing w:after="120" w:before="280"/>
      </w:pPr>
      <w:r>
        <w:rPr>
          <w:rFonts w:ascii="Calibri" w:cs="Calibri" w:eastAsia="Calibri" w:hAnsi="Calibri"/>
          <w:b/>
          <w:bCs/>
          <w:color w:val="0F2A33"/>
        </w:rPr>
        <w:t xml:space="preserve">10.  Next Steps</w:t>
      </w:r>
    </w:p>
    <w:p>
      <w:pPr>
        <w:pStyle w:val="ListParagraph"/>
        <w:numPr>
          <w:ilvl w:val="0"/>
          <w:numId w:val="3"/>
        </w:numPr>
        <w:spacing w:after="70" w:line="270"/>
      </w:pPr>
      <w:r>
        <w:rPr>
          <w:rFonts w:ascii="Calibri" w:cs="Calibri" w:eastAsia="Calibri" w:hAnsi="Calibri"/>
          <w:b/>
          <w:bCs/>
          <w:color w:val="0A7E8C"/>
          <w:sz w:val="21"/>
          <w:szCs w:val="21"/>
        </w:rPr>
        <w:t xml:space="preserve">1.  </w:t>
      </w:r>
      <w:r>
        <w:rPr>
          <w:rFonts w:ascii="Calibri" w:cs="Calibri" w:eastAsia="Calibri" w:hAnsi="Calibri"/>
          <w:color w:val="2B3B40"/>
          <w:sz w:val="21"/>
          <w:szCs w:val="21"/>
        </w:rPr>
        <w:t xml:space="preserve">Confirm agreement to proceed with Phase 1 and the commercial terms above.</w:t>
      </w:r>
    </w:p>
    <w:p>
      <w:pPr>
        <w:pStyle w:val="ListParagraph"/>
        <w:numPr>
          <w:ilvl w:val="0"/>
          <w:numId w:val="3"/>
        </w:numPr>
        <w:spacing w:after="70" w:line="270"/>
      </w:pPr>
      <w:r>
        <w:rPr>
          <w:rFonts w:ascii="Calibri" w:cs="Calibri" w:eastAsia="Calibri" w:hAnsi="Calibri"/>
          <w:b/>
          <w:bCs/>
          <w:color w:val="0A7E8C"/>
          <w:sz w:val="21"/>
          <w:szCs w:val="21"/>
        </w:rPr>
        <w:t xml:space="preserve">2.  </w:t>
      </w:r>
      <w:r>
        <w:rPr>
          <w:rFonts w:ascii="Calibri" w:cs="Calibri" w:eastAsia="Calibri" w:hAnsi="Calibri"/>
          <w:color w:val="2B3B40"/>
          <w:sz w:val="21"/>
          <w:szCs w:val="21"/>
        </w:rPr>
        <w:t xml:space="preserve">Hold a kick-off session to align on priorities, access and points of contact.</w:t>
      </w:r>
    </w:p>
    <w:p>
      <w:pPr>
        <w:pStyle w:val="ListParagraph"/>
        <w:numPr>
          <w:ilvl w:val="0"/>
          <w:numId w:val="3"/>
        </w:numPr>
        <w:spacing w:after="70" w:line="270"/>
      </w:pPr>
      <w:r>
        <w:rPr>
          <w:rFonts w:ascii="Calibri" w:cs="Calibri" w:eastAsia="Calibri" w:hAnsi="Calibri"/>
          <w:b/>
          <w:bCs/>
          <w:color w:val="0A7E8C"/>
          <w:sz w:val="21"/>
          <w:szCs w:val="21"/>
        </w:rPr>
        <w:t xml:space="preserve">3.  </w:t>
      </w:r>
      <w:r>
        <w:rPr>
          <w:rFonts w:ascii="Calibri" w:cs="Calibri" w:eastAsia="Calibri" w:hAnsi="Calibri"/>
          <w:color w:val="2B3B40"/>
          <w:sz w:val="21"/>
          <w:szCs w:val="21"/>
        </w:rPr>
        <w:t xml:space="preserve">Begin the research and scope-definition workstreams; deliver Phase 1 outputs and a costed roadmap for the full build.</w:t>
      </w:r>
    </w:p>
    <w:p>
      <w:pPr>
        <w:pBdr>
          <w:top w:val="single" w:color="CFE0E2" w:sz="8" w:space="8"/>
        </w:pBdr>
        <w:spacing w:before="300"/>
      </w:pPr>
      <w:r>
        <w:rPr>
          <w:rFonts w:ascii="Calibri" w:cs="Calibri" w:eastAsia="Calibri" w:hAnsi="Calibri"/>
          <w:i/>
          <w:iCs/>
          <w:color w:val="5A6B70"/>
          <w:sz w:val="18"/>
          <w:szCs w:val="18"/>
        </w:rPr>
        <w:t xml:space="preserve">Prepared by [Your Company Name] for Ascendancy Analytics.  Commercial in Confidence.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0E2" w:sz="6" w:space="4"/>
      </w:pBdr>
      <w:tabs>
        <w:tab w:val="right" w:pos="9360"/>
      </w:tabs>
    </w:pPr>
    <w:r>
      <w:rPr>
        <w:rFonts w:ascii="Calibri" w:cs="Calibri" w:eastAsia="Calibri" w:hAnsi="Calibri"/>
        <w:i/>
        <w:iCs/>
        <w:color w:val="5A6B70"/>
        <w:sz w:val="15"/>
        <w:szCs w:val="15"/>
      </w:rPr>
      <w:t xml:space="preserve">Commercial in Confidence</w:t>
    </w:r>
    <w:r>
      <w:rPr>
        <w:rFonts w:ascii="Calibri" w:cs="Calibri" w:eastAsia="Calibri" w:hAnsi="Calibri"/>
        <w:color w:val="5A6B70"/>
        <w:sz w:val="15"/>
        <w:szCs w:val="15"/>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0E2" w:sz="6" w:space="4"/>
      </w:pBdr>
      <w:tabs>
        <w:tab w:val="right" w:pos="9360"/>
      </w:tabs>
    </w:pPr>
    <w:r>
      <w:rPr>
        <w:rFonts w:ascii="Calibri" w:cs="Calibri" w:eastAsia="Calibri" w:hAnsi="Calibri"/>
        <w:b/>
        <w:bCs/>
        <w:color w:val="0A7E8C"/>
        <w:spacing w:val="20"/>
        <w:sz w:val="15"/>
        <w:szCs w:val="15"/>
      </w:rPr>
      <w:t xml:space="preserve">ASCENDANCY ANALYTICS</w:t>
    </w:r>
    <w:r>
      <w:rPr>
        <w:rFonts w:ascii="Calibri" w:cs="Calibri" w:eastAsia="Calibri" w:hAnsi="Calibri"/>
        <w:color w:val="5A6B70"/>
        <w:sz w:val="15"/>
        <w:szCs w:val="15"/>
      </w:rPr>
      <w:t xml:space="preserve">	Phase 1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A7E8C"/>
      </w:rPr>
    </w:lvl>
  </w:abstractNum>
  <w:abstractNum w:abstractNumId="3" w15:restartNumberingAfterBreak="0">
    <w:multiLevelType w:val="hybridMultilevel"/>
    <w:lvl w:ilvl="0" w15:tentative="1">
      <w:start w:val="1"/>
      <w:numFmt w:val="bullet"/>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B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2A33"/>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Ascendancy Analytics — Phase 1 Proposal</dc:title>
  <dc:creator>[Your Company Name]</dc:creator>
  <dc:description>R&amp;D, Scope Definition &amp; Core Platform Foundation</dc:description>
  <cp:lastModifiedBy>Un-named</cp:lastModifiedBy>
  <cp:revision>1</cp:revision>
  <dcterms:created xsi:type="dcterms:W3CDTF">2026-09-02T09:18:07.188Z</dcterms:created>
  <dcterms:modified xsi:type="dcterms:W3CDTF">2026-09-02T09:18:07.189Z</dcterms:modified>
</cp:coreProperties>
</file>

<file path=docProps/custom.xml><?xml version="1.0" encoding="utf-8"?>
<Properties xmlns="http://schemas.openxmlformats.org/officeDocument/2006/custom-properties" xmlns:vt="http://schemas.openxmlformats.org/officeDocument/2006/docPropsVTypes"/>
</file>