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38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8953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2643C"/>
                <w:spacing w:val="70"/>
                <w:sz w:val="15"/>
                <w:szCs w:val="15"/>
              </w:rPr>
              <w:t xml:space="preserve">OPTIONS SUMMARY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C6A74"/>
                <w:sz w:val="16"/>
                <w:szCs w:val="16"/>
              </w:rPr>
              <w:t xml:space="preserve">Prepared for Jamie Doxey  ·  21 September 2026  ·  Valid 30 days</w:t>
            </w:r>
          </w:p>
        </w:tc>
      </w:tr>
    </w:tbl>
    <w:p>
      <w:pPr>
        <w:spacing w:after="30" w:before="200"/>
      </w:pPr>
      <w:r>
        <w:rPr>
          <w:rFonts w:ascii="Calibri" w:cs="Calibri" w:eastAsia="Calibri" w:hAnsi="Calibri"/>
          <w:b/>
          <w:bCs/>
          <w:color w:val="0A2740"/>
          <w:sz w:val="34"/>
          <w:szCs w:val="34"/>
        </w:rPr>
        <w:t xml:space="preserve">Three businesses, two builds, one price</w:t>
      </w:r>
    </w:p>
    <w:p>
      <w:pPr>
        <w:spacing w:after="60" w:before="0"/>
      </w:pPr>
      <w:r>
        <w:rPr>
          <w:rFonts w:ascii="Calibri" w:cs="Calibri" w:eastAsia="Calibri" w:hAnsi="Calibri"/>
          <w:color w:val="5C6A74"/>
          <w:sz w:val="18"/>
          <w:szCs w:val="18"/>
        </w:rPr>
        <w:t xml:space="preserve">Everything shown in the click-through mockups on </w:t>
      </w:r>
      <w:r>
        <w:rPr>
          <w:rFonts w:ascii="Calibri" w:cs="Calibri" w:eastAsia="Calibri" w:hAnsi="Calibri"/>
          <w:b/>
          <w:bCs/>
          <w:color w:val="5C6A74"/>
          <w:sz w:val="18"/>
          <w:szCs w:val="18"/>
        </w:rPr>
        <w:t xml:space="preserve">Monday’s call</w:t>
      </w:r>
      <w:r>
        <w:rPr>
          <w:rFonts w:ascii="Calibri" w:cs="Calibri" w:eastAsia="Calibri" w:hAnsi="Calibri"/>
          <w:color w:val="5C6A74"/>
          <w:sz w:val="18"/>
          <w:szCs w:val="18"/>
        </w:rPr>
        <w:t xml:space="preserve">, priced as two fixed-price builds. Each includes the public website, the back office, hosting set-up on your own domains, and handover. You own all of it outright.</w:t>
      </w:r>
    </w:p>
    <w:p>
      <w:pPr>
        <w:pBdr>
          <w:bottom w:val="single" w:color="E2643C" w:sz="6"/>
        </w:pBdr>
        <w:spacing w:after="120" w:before="40"/>
      </w:pPr>
      <w:r>
        <w:rPr>
          <w:rFonts w:ascii="Calibri" w:cs="Calibri" w:eastAsia="Calibri" w:hAnsi="Calibri"/>
          <w:color w:val="122129"/>
          <w:sz w:val="19"/>
          <w:szCs w:val="19"/>
        </w:rPr>
        <w:t xml:space="preserve"/>
      </w:r>
    </w:p>
    <w:tbl>
      <w:tblPr>
        <w:tblW w:type="dxa" w:w="9638"/>
        <w:tblBorders>
          <w:top w:val="single" w:color="DDE3E6" w:sz="4"/>
          <w:left w:val="single" w:color="DDE3E6" w:sz="4"/>
          <w:bottom w:val="single" w:color="DDE3E6" w:sz="4"/>
          <w:right w:val="single" w:color="DDE3E6" w:sz="4"/>
          <w:insideH w:val="single" w:color="DDE3E6" w:sz="4"/>
          <w:insideV w:val="single" w:color="DDE3E6" w:sz="4"/>
        </w:tblBorders>
      </w:tblPr>
      <w:tblGrid>
        <w:gridCol w:w="6838"/>
        <w:gridCol w:w="2800"/>
      </w:tblGrid>
      <w:tr>
        <w:tc>
          <w:tcPr>
            <w:tcW w:type="dxa" w:w="68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E2643C"/>
                <w:spacing w:val="60"/>
                <w:sz w:val="15"/>
                <w:szCs w:val="15"/>
              </w:rPr>
              <w:t xml:space="preserve">OPTION 1  ·  PHASE 1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A2740"/>
                <w:sz w:val="24"/>
                <w:szCs w:val="24"/>
              </w:rPr>
              <w:t xml:space="preserve">Militree Operators + Royal Home &amp; Garden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5C6A74"/>
                <w:sz w:val="17"/>
                <w:szCs w:val="17"/>
              </w:rPr>
              <w:t xml:space="preserve">Two branded storefronts, one shared back office. Everything in both demos.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9"/>
                <w:szCs w:val="19"/>
              </w:rPr>
              <w:t xml:space="preserve">Militree · </w:t>
            </w: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services, credentials and our-work pages, site-survey request with map and photos, itemised online quotes accepted with a card deposit, and the ticketed crew register that replaces the recruiter.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9"/>
                <w:szCs w:val="19"/>
              </w:rPr>
              <w:t xml:space="preserve">Royal Home &amp; Garden · </w:t>
            </w: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fixed price list, slot booking like a barber, photo-quote flow, over-65 rate and fortnightly care plans, customer job tracker.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9"/>
                <w:szCs w:val="19"/>
              </w:rPr>
              <w:t xml:space="preserve">Shared back office · </w:t>
            </w: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enquiry pipeline, quote builder, jobs and crew calendar, Today run with on-my-way texts, customers, care plans, invoices and payments, reviews, with a switcher between the two brands.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9"/>
                <w:szCs w:val="19"/>
              </w:rPr>
              <w:t xml:space="preserve">Included · </w:t>
            </w: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WhatsApp and email notifications, card payments and deposits, Google Calendar sync, accounting export, both domains live.</w:t>
            </w:r>
          </w:p>
        </w:tc>
        <w:tc>
          <w:tcPr>
            <w:tcW w:type="dxa" w:w="2800"/>
            <w:shd w:fill="EEF7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C6A74"/>
                <w:spacing w:val="60"/>
                <w:sz w:val="14"/>
                <w:szCs w:val="14"/>
              </w:rPr>
              <w:t xml:space="preserve">FIXED PRICE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2643C"/>
                <w:sz w:val="40"/>
                <w:szCs w:val="40"/>
              </w:rPr>
              <w:t xml:space="preserve">£5,000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6A74"/>
                <w:sz w:val="16"/>
                <w:szCs w:val="16"/>
              </w:rPr>
              <w:t xml:space="preserve">Both businesses · shared platform · 8–10 weeks</w:t>
            </w:r>
          </w:p>
        </w:tc>
      </w:tr>
    </w:tbl>
    <w:p>
      <w:pPr>
        <w:spacing w:after="70" w:before="0"/>
      </w:pPr>
      <w:r>
        <w:rPr>
          <w:rFonts w:ascii="Calibri" w:cs="Calibri" w:eastAsia="Calibri" w:hAnsi="Calibri"/>
          <w:color w:val="122129"/>
          <w:sz w:val="19"/>
          <w:szCs w:val="19"/>
        </w:rPr>
        <w:t xml:space="preserve"/>
      </w:r>
    </w:p>
    <w:tbl>
      <w:tblPr>
        <w:tblW w:type="dxa" w:w="9638"/>
        <w:tblBorders>
          <w:top w:val="single" w:color="DDE3E6" w:sz="4"/>
          <w:left w:val="single" w:color="DDE3E6" w:sz="4"/>
          <w:bottom w:val="single" w:color="DDE3E6" w:sz="4"/>
          <w:right w:val="single" w:color="DDE3E6" w:sz="4"/>
          <w:insideH w:val="single" w:color="DDE3E6" w:sz="4"/>
          <w:insideV w:val="single" w:color="DDE3E6" w:sz="4"/>
        </w:tblBorders>
      </w:tblPr>
      <w:tblGrid>
        <w:gridCol w:w="6838"/>
        <w:gridCol w:w="2800"/>
      </w:tblGrid>
      <w:tr>
        <w:tc>
          <w:tcPr>
            <w:tcW w:type="dxa" w:w="68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E2643C"/>
                <w:spacing w:val="60"/>
                <w:sz w:val="15"/>
                <w:szCs w:val="15"/>
              </w:rPr>
              <w:t xml:space="preserve">OPTION 2  ·  PHASE 2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A2740"/>
                <w:sz w:val="24"/>
                <w:szCs w:val="24"/>
              </w:rPr>
              <w:t xml:space="preserve">Operation Poseidon · Sea to Summit Club platform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5C6A74"/>
                <w:sz w:val="17"/>
                <w:szCs w:val="17"/>
              </w:rPr>
              <w:t xml:space="preserve">The full booking, learning, community and shop platform, built to add Thor and Pegasus later.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9"/>
                <w:szCs w:val="19"/>
              </w:rPr>
              <w:t xml:space="preserve">Book · </w:t>
            </w: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retreats, residentials, dip days and single sessions; paid places, deposits and waitlists; free-place applications that Jamie approves in two taps.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9"/>
                <w:szCs w:val="19"/>
              </w:rPr>
              <w:t xml:space="preserve">Learn · </w:t>
            </w: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video course library with free and members-only tiers, lesson progress and certificates, live monthly sessions with replays.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9"/>
                <w:szCs w:val="19"/>
              </w:rPr>
              <w:t xml:space="preserve">Belong · </w:t>
            </w: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community boards, retreat cohorts, Dip of the Day and tide info, safeguarding keyword holds; Crew membership at monthly and annual plans.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9"/>
                <w:szCs w:val="19"/>
              </w:rPr>
              <w:t xml:space="preserve">Shop &amp; fund · </w:t>
            </w: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merch and equipment store, sponsor-a-place, and a funding dashboard that shows where every pound goes.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9"/>
                <w:szCs w:val="19"/>
              </w:rPr>
              <w:t xml:space="preserve">Admin · </w:t>
            </w: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bookings and calendar, applications, courses, community moderation, members, orders, stock, payouts; Sea to Summit Club coming-soon page with corporate enquiry and waitlist.</w:t>
            </w:r>
          </w:p>
        </w:tc>
        <w:tc>
          <w:tcPr>
            <w:tcW w:type="dxa" w:w="2800"/>
            <w:shd w:fill="EEF7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C6A74"/>
                <w:spacing w:val="60"/>
                <w:sz w:val="14"/>
                <w:szCs w:val="14"/>
              </w:rPr>
              <w:t xml:space="preserve">FIXED PRICE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2643C"/>
                <w:sz w:val="40"/>
                <w:szCs w:val="40"/>
              </w:rPr>
              <w:t xml:space="preserve">£6,000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6A74"/>
                <w:sz w:val="16"/>
                <w:szCs w:val="16"/>
              </w:rPr>
              <w:t xml:space="preserve">Full platform · Poseidon live, Thor and Pegasus ready · 10–12 weeks</w:t>
            </w:r>
          </w:p>
        </w:tc>
      </w:tr>
    </w:tbl>
    <w:p>
      <w:pPr>
        <w:spacing w:after="70" w:before="0"/>
      </w:pPr>
      <w:r>
        <w:rPr>
          <w:rFonts w:ascii="Calibri" w:cs="Calibri" w:eastAsia="Calibri" w:hAnsi="Calibri"/>
          <w:color w:val="122129"/>
          <w:sz w:val="19"/>
          <w:szCs w:val="19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0A2740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tbl>
            <w:tblPr>
              <w:tblW w:type="dxa" w:w="9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200"/>
              <w:gridCol w:w="4200"/>
            </w:tblGrid>
            <w:tr>
              <w:tc>
                <w:tcPr>
                  <w:tcW w:type="dxa" w:w="5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</w:tcPr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60"/>
                      <w:sz w:val="15"/>
                      <w:szCs w:val="15"/>
                    </w:rPr>
                    <w:t xml:space="preserve">ALL THREE, IN PARALLEL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4"/>
                      <w:szCs w:val="24"/>
                    </w:rPr>
                    <w:t xml:space="preserve">Options 1 + 2 together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color w:val="DCE8EE"/>
                      <w:sz w:val="17"/>
                      <w:szCs w:val="17"/>
                    </w:rPr>
                    <w:t xml:space="preserve">One team, one timeline, one shared design system. Both builds run side by side and go live together in 12 weeks. Saves £1,000 against the two options priced separately.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Calibri" w:cs="Calibri" w:eastAsia="Calibri" w:hAnsi="Calibri"/>
                      <w:strike/>
                      <w:color w:val="9AB4C4"/>
                      <w:sz w:val="20"/>
                      <w:szCs w:val="20"/>
                    </w:rPr>
                    <w:t xml:space="preserve">£11,000</w:t>
                  </w:r>
                  <w:r>
                    <w:rPr>
                      <w:rFonts w:ascii="Calibri" w:cs="Calibri" w:eastAsia="Calibri" w:hAnsi="Calibri"/>
                      <w:color w:val="122129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44"/>
                      <w:szCs w:val="44"/>
                    </w:rPr>
                    <w:t xml:space="preserve">£10,000</w:t>
                  </w:r>
                </w:p>
                <w:p>
                  <w:pPr>
                    <w:spacing w:after="0"/>
                    <w:jc w:val="right"/>
                  </w:pPr>
                  <w:r>
                    <w:rPr>
                      <w:rFonts w:ascii="Calibri" w:cs="Calibri" w:eastAsia="Calibri" w:hAnsi="Calibri"/>
                      <w:color w:val="DCE8EE"/>
                      <w:sz w:val="16"/>
                      <w:szCs w:val="16"/>
                    </w:rPr>
                    <w:t xml:space="preserve">fixed price · all three businesses</w:t>
                  </w:r>
                </w:p>
              </w:tc>
            </w:tr>
          </w:tbl>
          <w:p/>
        </w:tc>
      </w:tr>
    </w:tbl>
    <w:p>
      <w:pPr>
        <w:spacing w:after="50" w:before="220"/>
      </w:pPr>
      <w:r>
        <w:rPr>
          <w:rFonts w:ascii="Calibri" w:cs="Calibri" w:eastAsia="Calibri" w:hAnsi="Calibri"/>
          <w:b/>
          <w:bCs/>
          <w:color w:val="E2643C"/>
          <w:spacing w:val="60"/>
          <w:sz w:val="15"/>
          <w:szCs w:val="15"/>
        </w:rPr>
        <w:t xml:space="preserve">PAYMENT TERMS  ·  SAME SCHEDULE FOR EVERY OPTION</w:t>
      </w:r>
    </w:p>
    <w:tbl>
      <w:tblPr>
        <w:tblW w:type="dxa" w:w="9638"/>
        <w:tblBorders>
          <w:top w:val="single" w:color="DDE3E6" w:sz="4"/>
          <w:left w:val="single" w:color="DDE3E6" w:sz="4"/>
          <w:bottom w:val="single" w:color="DDE3E6" w:sz="4"/>
          <w:right w:val="single" w:color="DDE3E6" w:sz="4"/>
          <w:insideH w:val="single" w:color="DDE3E6" w:sz="4"/>
          <w:insideV w:val="single" w:color="DDE3E6" w:sz="4"/>
        </w:tblBorders>
      </w:tblPr>
      <w:tblGrid>
        <w:gridCol w:w="3000"/>
        <w:gridCol w:w="4238"/>
        <w:gridCol w:w="800"/>
        <w:gridCol w:w="800"/>
        <w:gridCol w:w="800"/>
      </w:tblGrid>
      <w:tr>
        <w:trPr>
          <w:tblHeader/>
        </w:trPr>
        <w:tc>
          <w:tcPr>
            <w:tcW w:type="dxa" w:w="3000"/>
            <w:shd w:fill="0A27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Milestone</w:t>
            </w:r>
          </w:p>
        </w:tc>
        <w:tc>
          <w:tcPr>
            <w:tcW w:type="dxa" w:w="4238"/>
            <w:shd w:fill="0A27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Due when</w:t>
            </w:r>
          </w:p>
        </w:tc>
        <w:tc>
          <w:tcPr>
            <w:tcW w:type="dxa" w:w="800"/>
            <w:shd w:fill="0A27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Share</w:t>
            </w:r>
          </w:p>
        </w:tc>
        <w:tc>
          <w:tcPr>
            <w:tcW w:type="dxa" w:w="800"/>
            <w:shd w:fill="0A27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Opt. 1</w:t>
            </w:r>
          </w:p>
        </w:tc>
        <w:tc>
          <w:tcPr>
            <w:tcW w:type="dxa" w:w="800"/>
            <w:shd w:fill="0A27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Opt. 2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7"/>
                <w:szCs w:val="17"/>
              </w:rPr>
              <w:t xml:space="preserve">Deposit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6A74"/>
                <w:sz w:val="16"/>
                <w:szCs w:val="16"/>
              </w:rPr>
              <w:t xml:space="preserve">On signing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30%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£1,500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£1,800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7"/>
                <w:szCs w:val="17"/>
              </w:rPr>
              <w:t xml:space="preserve">Functional design completion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6A74"/>
                <w:sz w:val="16"/>
                <w:szCs w:val="16"/>
              </w:rPr>
              <w:t xml:space="preserve">On approval of the functional design and final screens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30%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£1,500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£1,800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7"/>
                <w:szCs w:val="17"/>
              </w:rPr>
              <w:t xml:space="preserve">Project completion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6A74"/>
                <w:sz w:val="16"/>
                <w:szCs w:val="16"/>
              </w:rPr>
              <w:t xml:space="preserve">On demonstration of the finished platform for acceptance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30%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£1,500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£1,800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7"/>
                <w:szCs w:val="17"/>
              </w:rPr>
              <w:t xml:space="preserve">Go live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6A74"/>
                <w:sz w:val="16"/>
                <w:szCs w:val="16"/>
              </w:rPr>
              <w:t xml:space="preserve">On launch to the client’s domains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10%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£500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22129"/>
                <w:sz w:val="17"/>
                <w:szCs w:val="17"/>
              </w:rPr>
              <w:t xml:space="preserve">£600</w:t>
            </w:r>
          </w:p>
        </w:tc>
      </w:tr>
      <w:tr>
        <w:tc>
          <w:tcPr>
            <w:tcW w:type="dxa" w:w="3000"/>
            <w:shd w:fill="FC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7"/>
                <w:szCs w:val="17"/>
              </w:rPr>
              <w:t xml:space="preserve">All three in parallel</w:t>
            </w:r>
          </w:p>
        </w:tc>
        <w:tc>
          <w:tcPr>
            <w:tcW w:type="dxa" w:w="4238"/>
            <w:shd w:fill="FC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C6A74"/>
                <w:sz w:val="16"/>
                <w:szCs w:val="16"/>
              </w:rPr>
              <w:t xml:space="preserve">30% · 30% · 30% · 10% of £10,000</w:t>
            </w:r>
          </w:p>
        </w:tc>
        <w:tc>
          <w:tcPr>
            <w:tcW w:type="dxa" w:w="800"/>
            <w:shd w:fill="FC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22129"/>
                <w:sz w:val="17"/>
                <w:szCs w:val="17"/>
              </w:rPr>
              <w:t xml:space="preserve">100%</w:t>
            </w:r>
          </w:p>
        </w:tc>
        <w:tc>
          <w:tcPr>
            <w:tcW w:type="dxa" w:w="1600"/>
            <w:gridSpan w:val="2"/>
            <w:shd w:fill="FCED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2643C"/>
                <w:sz w:val="15"/>
                <w:szCs w:val="15"/>
              </w:rPr>
              <w:t xml:space="preserve">£3,000 / £3,000 / £3,000 / £1,000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2740"/>
          <w:sz w:val="16"/>
          <w:szCs w:val="16"/>
        </w:rPr>
        <w:t xml:space="preserve">What every price includes  </w:t>
      </w:r>
      <w:r>
        <w:rPr>
          <w:rFonts w:ascii="Calibri" w:cs="Calibri" w:eastAsia="Calibri" w:hAnsi="Calibri"/>
          <w:color w:val="5C6A74"/>
          <w:sz w:val="16"/>
          <w:szCs w:val="16"/>
        </w:rPr>
        <w:t xml:space="preserve">Design, build, testing, deployment on your domains, 60 days of post-launch support, and full ownership of code and content.  </w:t>
      </w:r>
      <w:r>
        <w:rPr>
          <w:rFonts w:ascii="Calibri" w:cs="Calibri" w:eastAsia="Calibri" w:hAnsi="Calibri"/>
          <w:b/>
          <w:bCs/>
          <w:color w:val="0A2740"/>
          <w:sz w:val="16"/>
          <w:szCs w:val="16"/>
        </w:rPr>
        <w:t xml:space="preserve">Not included  </w:t>
      </w:r>
      <w:r>
        <w:rPr>
          <w:rFonts w:ascii="Calibri" w:cs="Calibri" w:eastAsia="Calibri" w:hAnsi="Calibri"/>
          <w:color w:val="5C6A74"/>
          <w:sz w:val="16"/>
          <w:szCs w:val="16"/>
        </w:rPr>
        <w:t xml:space="preserve">Third-party fees such as payment processing, hosting after year one, video production, and content writing beyond what is in the mockups.</w:t>
      </w:r>
    </w:p>
    <w:p>
      <w:pPr>
        <w:spacing w:after="0" w:before="0"/>
      </w:pPr>
      <w:r>
        <w:rPr>
          <w:rFonts w:ascii="Calibri" w:cs="Calibri" w:eastAsia="Calibri" w:hAnsi="Calibri"/>
          <w:color w:val="5C6A74"/>
          <w:sz w:val="15"/>
          <w:szCs w:val="15"/>
        </w:rPr>
        <w:t xml:space="preserve">Nile Technologies  ·  New Delhi  ·  aadityakapoor.nile@gmail.com  ·  Prices in GBP, exclusive of VAT where applicable.</w:t>
      </w:r>
    </w:p>
    <w:sectPr>
      <w:pgSz w:w="11906" w:h="16838" w:orient="portrait"/>
      <w:pgMar w:top="680" w:right="1134" w:bottom="6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E264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129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1cece172101b88789a5c7691548aee58088dd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2026-09-21T10:28:20.938Z</dcterms:created>
  <dcterms:modified xsi:type="dcterms:W3CDTF">2026-09-21T10:28:20.939Z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