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drawing>
          <wp:inline distT="0" distB="0" distL="0" distR="0">
            <wp:extent cx="22479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47900" cy="714375"/>
                    </a:xfrm>
                    <a:prstGeom prst="rect">
                      <a:avLst/>
                    </a:prstGeom>
                  </pic:spPr>
                </pic:pic>
              </a:graphicData>
            </a:graphic>
          </wp:inline>
        </w:drawing>
      </w:r>
    </w:p>
    <w:p>
      <w:pPr>
        <w:spacing w:after="0"/>
      </w:pPr>
      <w:r>
        <w:rPr>
          <w:rFonts w:ascii="Calibri" w:cs="Calibri" w:eastAsia="Calibri" w:hAnsi="Calibri"/>
          <w:b/>
          <w:bCs/>
          <w:color w:val="B8892E"/>
          <w:spacing w:val="70"/>
          <w:sz w:val="20"/>
          <w:szCs w:val="20"/>
        </w:rPr>
        <w:t xml:space="preserve">PROPOSAL &amp; SCOPE OF WORK</w:t>
      </w:r>
    </w:p>
    <w:p>
      <w:pPr>
        <w:spacing w:after="60" w:before="220"/>
      </w:pPr>
      <w:r>
        <w:rPr>
          <w:rFonts w:ascii="Calibri" w:cs="Calibri" w:eastAsia="Calibri" w:hAnsi="Calibri"/>
          <w:b/>
          <w:bCs/>
          <w:color w:val="2F6B4F"/>
          <w:sz w:val="62"/>
          <w:szCs w:val="62"/>
        </w:rPr>
        <w:t xml:space="preserve">MyBrainAI</w:t>
      </w:r>
    </w:p>
    <w:p>
      <w:pPr>
        <w:spacing w:after="80"/>
      </w:pPr>
      <w:r>
        <w:rPr>
          <w:rFonts w:ascii="Calibri" w:cs="Calibri" w:eastAsia="Calibri" w:hAnsi="Calibri"/>
          <w:color w:val="1B241F"/>
          <w:sz w:val="27"/>
          <w:szCs w:val="27"/>
        </w:rPr>
        <w:t xml:space="preserve">A personal AI coach that learns from your own life</w:t>
      </w:r>
    </w:p>
    <w:p>
      <w:pPr>
        <w:spacing w:after="380"/>
      </w:pPr>
      <w:r>
        <w:rPr>
          <w:rFonts w:ascii="Calibri" w:cs="Calibri" w:eastAsia="Calibri" w:hAnsi="Calibri"/>
          <w:color w:val="5C665F"/>
          <w:sz w:val="21"/>
          <w:szCs w:val="21"/>
        </w:rPr>
        <w:t xml:space="preserve">Phase 1: Mood Journal, Fuel, Communication Hub and Sage, on iOS and Android</w:t>
      </w:r>
    </w:p>
    <w:p>
      <w:pPr>
        <w:pBdr>
          <w:bottom w:val="single" w:color="B8892E" w:sz="6"/>
        </w:pBdr>
        <w:spacing w:after="170" w:before="60"/>
      </w:pPr>
      <w:r>
        <w:rPr>
          <w:rFonts w:ascii="Calibri" w:cs="Calibri" w:eastAsia="Calibri" w:hAnsi="Calibri"/>
          <w:color w:val="1B241F"/>
          <w:sz w:val="21"/>
          <w:szCs w:val="21"/>
        </w:rPr>
        <w:t xml:space="preserve"/>
      </w:r>
    </w:p>
    <w:tbl>
      <w:tblPr>
        <w:tblW w:type="dxa" w:w="9026"/>
        <w:tblBorders>
          <w:top w:val="single" w:color="DCE3DD" w:sz="4"/>
          <w:left w:val="single" w:color="DCE3DD" w:sz="4"/>
          <w:bottom w:val="single" w:color="DCE3DD" w:sz="4"/>
          <w:right w:val="single" w:color="DCE3DD" w:sz="4"/>
          <w:insideH w:val="single" w:color="DCE3DD" w:sz="4"/>
          <w:insideV w:val="single" w:color="DCE3DD" w:sz="4"/>
        </w:tblBorders>
      </w:tblPr>
      <w:tblGrid>
        <w:gridCol w:w="2500"/>
        <w:gridCol w:w="6526"/>
      </w:tblGrid>
      <w:tr>
        <w:tc>
          <w:tcPr>
            <w:tcW w:type="dxa" w:w="2500"/>
            <w:tcMar>
              <w:top w:type="dxa" w:w="95"/>
              <w:left w:type="dxa" w:w="130"/>
              <w:bottom w:type="dxa" w:w="95"/>
              <w:right w:type="dxa" w:w="130"/>
            </w:tcMar>
          </w:tcPr>
          <w:p>
            <w:pPr>
              <w:spacing w:after="0"/>
            </w:pPr>
            <w:r>
              <w:rPr>
                <w:rFonts w:ascii="Calibri" w:cs="Calibri" w:eastAsia="Calibri" w:hAnsi="Calibri"/>
                <w:b/>
                <w:bCs/>
                <w:color w:val="5C665F"/>
                <w:sz w:val="20"/>
                <w:szCs w:val="20"/>
              </w:rPr>
              <w:t xml:space="preserve">Prepared for</w:t>
            </w:r>
          </w:p>
        </w:tc>
        <w:tc>
          <w:tcPr>
            <w:tcW w:type="dxa" w:w="6526"/>
            <w:tcMar>
              <w:top w:type="dxa" w:w="95"/>
              <w:left w:type="dxa" w:w="130"/>
              <w:bottom w:type="dxa" w:w="95"/>
              <w:right w:type="dxa" w:w="130"/>
            </w:tcMar>
          </w:tcPr>
          <w:p>
            <w:pPr>
              <w:spacing w:after="0"/>
            </w:pPr>
            <w:r>
              <w:rPr>
                <w:rFonts w:ascii="Calibri" w:cs="Calibri" w:eastAsia="Calibri" w:hAnsi="Calibri"/>
                <w:color w:val="1B241F"/>
                <w:sz w:val="20"/>
                <w:szCs w:val="20"/>
              </w:rPr>
              <w:t xml:space="preserve">Mr Kevin Wilson</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65F"/>
                <w:sz w:val="20"/>
                <w:szCs w:val="20"/>
              </w:rPr>
              <w:t xml:space="preserve">Project</w:t>
            </w:r>
          </w:p>
        </w:tc>
        <w:tc>
          <w:tcPr>
            <w:tcW w:type="dxa" w:w="6526"/>
            <w:tcMar>
              <w:top w:type="dxa" w:w="95"/>
              <w:left w:type="dxa" w:w="130"/>
              <w:bottom w:type="dxa" w:w="95"/>
              <w:right w:type="dxa" w:w="130"/>
            </w:tcMar>
          </w:tcPr>
          <w:p>
            <w:pPr>
              <w:spacing w:after="0"/>
            </w:pPr>
            <w:r>
              <w:rPr>
                <w:rFonts w:ascii="Calibri" w:cs="Calibri" w:eastAsia="Calibri" w:hAnsi="Calibri"/>
                <w:color w:val="1B241F"/>
                <w:sz w:val="20"/>
                <w:szCs w:val="20"/>
              </w:rPr>
              <w:t xml:space="preserve">MyBrainAI, Phase 1</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65F"/>
                <w:sz w:val="20"/>
                <w:szCs w:val="20"/>
              </w:rPr>
              <w:t xml:space="preserve">Launch market</w:t>
            </w:r>
          </w:p>
        </w:tc>
        <w:tc>
          <w:tcPr>
            <w:tcW w:type="dxa" w:w="6526"/>
            <w:tcMar>
              <w:top w:type="dxa" w:w="95"/>
              <w:left w:type="dxa" w:w="130"/>
              <w:bottom w:type="dxa" w:w="95"/>
              <w:right w:type="dxa" w:w="130"/>
            </w:tcMar>
          </w:tcPr>
          <w:p>
            <w:pPr>
              <w:spacing w:after="0"/>
            </w:pPr>
            <w:r>
              <w:rPr>
                <w:rFonts w:ascii="Calibri" w:cs="Calibri" w:eastAsia="Calibri" w:hAnsi="Calibri"/>
                <w:color w:val="1B241F"/>
                <w:sz w:val="20"/>
                <w:szCs w:val="20"/>
              </w:rPr>
              <w:t xml:space="preserve">United States, English, Apple App Store and Google Play</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65F"/>
                <w:sz w:val="20"/>
                <w:szCs w:val="20"/>
              </w:rPr>
              <w:t xml:space="preserve">Prepared by</w:t>
            </w:r>
          </w:p>
        </w:tc>
        <w:tc>
          <w:tcPr>
            <w:tcW w:type="dxa" w:w="6526"/>
            <w:tcMar>
              <w:top w:type="dxa" w:w="95"/>
              <w:left w:type="dxa" w:w="130"/>
              <w:bottom w:type="dxa" w:w="95"/>
              <w:right w:type="dxa" w:w="130"/>
            </w:tcMar>
          </w:tcPr>
          <w:p>
            <w:pPr>
              <w:spacing w:after="0"/>
            </w:pPr>
            <w:r>
              <w:rPr>
                <w:rFonts w:ascii="Calibri" w:cs="Calibri" w:eastAsia="Calibri" w:hAnsi="Calibri"/>
                <w:color w:val="1B241F"/>
                <w:sz w:val="20"/>
                <w:szCs w:val="20"/>
              </w:rPr>
              <w:t xml:space="preserve">Nile Technologies</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65F"/>
                <w:sz w:val="20"/>
                <w:szCs w:val="20"/>
              </w:rPr>
              <w:t xml:space="preserve">Date</w:t>
            </w:r>
          </w:p>
        </w:tc>
        <w:tc>
          <w:tcPr>
            <w:tcW w:type="dxa" w:w="6526"/>
            <w:tcMar>
              <w:top w:type="dxa" w:w="95"/>
              <w:left w:type="dxa" w:w="130"/>
              <w:bottom w:type="dxa" w:w="95"/>
              <w:right w:type="dxa" w:w="130"/>
            </w:tcMar>
          </w:tcPr>
          <w:p>
            <w:pPr>
              <w:spacing w:after="0"/>
            </w:pPr>
            <w:r>
              <w:rPr>
                <w:rFonts w:ascii="Calibri" w:cs="Calibri" w:eastAsia="Calibri" w:hAnsi="Calibri"/>
                <w:color w:val="1B241F"/>
                <w:sz w:val="20"/>
                <w:szCs w:val="20"/>
              </w:rPr>
              <w:t xml:space="preserve">3 September 2026</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65F"/>
                <w:sz w:val="20"/>
                <w:szCs w:val="20"/>
              </w:rPr>
              <w:t xml:space="preserve">Proposal reference</w:t>
            </w:r>
          </w:p>
        </w:tc>
        <w:tc>
          <w:tcPr>
            <w:tcW w:type="dxa" w:w="6526"/>
            <w:tcMar>
              <w:top w:type="dxa" w:w="95"/>
              <w:left w:type="dxa" w:w="130"/>
              <w:bottom w:type="dxa" w:w="95"/>
              <w:right w:type="dxa" w:w="130"/>
            </w:tcMar>
          </w:tcPr>
          <w:p>
            <w:pPr>
              <w:spacing w:after="0"/>
            </w:pPr>
            <w:r>
              <w:rPr>
                <w:rFonts w:ascii="Calibri" w:cs="Calibri" w:eastAsia="Calibri" w:hAnsi="Calibri"/>
                <w:color w:val="1B241F"/>
                <w:sz w:val="20"/>
                <w:szCs w:val="20"/>
              </w:rPr>
              <w:t xml:space="preserve">MBA-2026-01</w:t>
            </w:r>
          </w:p>
        </w:tc>
      </w:tr>
      <w:tr>
        <w:tc>
          <w:tcPr>
            <w:tcW w:type="dxa" w:w="2500"/>
            <w:tcMar>
              <w:top w:type="dxa" w:w="95"/>
              <w:left w:type="dxa" w:w="130"/>
              <w:bottom w:type="dxa" w:w="95"/>
              <w:right w:type="dxa" w:w="130"/>
            </w:tcMar>
          </w:tcPr>
          <w:p>
            <w:pPr>
              <w:spacing w:after="0"/>
            </w:pPr>
            <w:r>
              <w:rPr>
                <w:rFonts w:ascii="Calibri" w:cs="Calibri" w:eastAsia="Calibri" w:hAnsi="Calibri"/>
                <w:b/>
                <w:bCs/>
                <w:color w:val="5C665F"/>
                <w:sz w:val="20"/>
                <w:szCs w:val="20"/>
              </w:rPr>
              <w:t xml:space="preserve">Valid until</w:t>
            </w:r>
          </w:p>
        </w:tc>
        <w:tc>
          <w:tcPr>
            <w:tcW w:type="dxa" w:w="6526"/>
            <w:tcMar>
              <w:top w:type="dxa" w:w="95"/>
              <w:left w:type="dxa" w:w="130"/>
              <w:bottom w:type="dxa" w:w="95"/>
              <w:right w:type="dxa" w:w="130"/>
            </w:tcMar>
          </w:tcPr>
          <w:p>
            <w:pPr>
              <w:spacing w:after="0"/>
            </w:pPr>
            <w:r>
              <w:rPr>
                <w:rFonts w:ascii="Calibri" w:cs="Calibri" w:eastAsia="Calibri" w:hAnsi="Calibri"/>
                <w:color w:val="1B241F"/>
                <w:sz w:val="20"/>
                <w:szCs w:val="20"/>
              </w:rPr>
              <w:t xml:space="preserve">3 October 2026</w:t>
            </w:r>
          </w:p>
        </w:tc>
      </w:tr>
      <w:tr>
        <w:tc>
          <w:tcPr>
            <w:tcW w:type="dxa" w:w="2500"/>
            <w:shd w:fill="FBF3E1" w:color="auto" w:val="clear"/>
            <w:tcMar>
              <w:top w:type="dxa" w:w="95"/>
              <w:left w:type="dxa" w:w="130"/>
              <w:bottom w:type="dxa" w:w="95"/>
              <w:right w:type="dxa" w:w="130"/>
            </w:tcMar>
          </w:tcPr>
          <w:p>
            <w:pPr>
              <w:spacing w:after="0"/>
            </w:pPr>
            <w:r>
              <w:rPr>
                <w:rFonts w:ascii="Calibri" w:cs="Calibri" w:eastAsia="Calibri" w:hAnsi="Calibri"/>
                <w:b/>
                <w:bCs/>
                <w:color w:val="5C665F"/>
                <w:sz w:val="20"/>
                <w:szCs w:val="20"/>
              </w:rPr>
              <w:t xml:space="preserve">Phase 1 investment</w:t>
            </w:r>
          </w:p>
        </w:tc>
        <w:tc>
          <w:tcPr>
            <w:tcW w:type="dxa" w:w="6526"/>
            <w:shd w:fill="FBF3E1" w:color="auto" w:val="clear"/>
            <w:tcMar>
              <w:top w:type="dxa" w:w="95"/>
              <w:left w:type="dxa" w:w="130"/>
              <w:bottom w:type="dxa" w:w="95"/>
              <w:right w:type="dxa" w:w="130"/>
            </w:tcMar>
          </w:tcPr>
          <w:p>
            <w:pPr>
              <w:spacing w:after="0"/>
            </w:pPr>
            <w:r>
              <w:rPr>
                <w:rFonts w:ascii="Calibri" w:cs="Calibri" w:eastAsia="Calibri" w:hAnsi="Calibri"/>
                <w:b/>
                <w:bCs/>
                <w:color w:val="B8892E"/>
                <w:sz w:val="26"/>
                <w:szCs w:val="26"/>
              </w:rPr>
              <w:t xml:space="preserve">$26,000  fixed</w:t>
            </w:r>
          </w:p>
        </w:tc>
      </w:tr>
    </w:tbl>
    <w:p>
      <w:pPr>
        <w:spacing w:before="420"/>
      </w:pPr>
      <w:r>
        <w:rPr>
          <w:rFonts w:ascii="Calibri" w:cs="Calibri" w:eastAsia="Calibri" w:hAnsi="Calibri"/>
          <w:i/>
          <w:iCs/>
          <w:color w:val="5C665F"/>
          <w:sz w:val="18"/>
          <w:szCs w:val="18"/>
        </w:rPr>
        <w:t xml:space="preserve">Commercial in confidence. This document and the accompanying working design sample are provided solely for the evaluation of the MyBrainAI project, under the non-disclosure agreement already in place between the parties.</w:t>
      </w:r>
    </w:p>
    <w:p>
      <w:pPr>
        <w:pStyle w:val="Heading1"/>
        <w:pageBreakBefore/>
        <w:spacing w:after="150"/>
      </w:pPr>
      <w:r>
        <w:rPr>
          <w:rFonts w:ascii="Calibri" w:cs="Calibri" w:eastAsia="Calibri" w:hAnsi="Calibri"/>
          <w:b/>
          <w:bCs/>
          <w:color w:val="2F6B4F"/>
          <w:sz w:val="29"/>
          <w:szCs w:val="29"/>
        </w:rPr>
        <w:t xml:space="preserve">1.  Concept note</w:t>
      </w:r>
    </w:p>
    <w:p>
      <w:pPr>
        <w:spacing w:after="130" w:before="0"/>
      </w:pPr>
      <w:r>
        <w:rPr>
          <w:rFonts w:ascii="Calibri" w:cs="Calibri" w:eastAsia="Calibri" w:hAnsi="Calibri"/>
          <w:color w:val="1B241F"/>
          <w:sz w:val="21"/>
          <w:szCs w:val="21"/>
        </w:rPr>
        <w:t xml:space="preserve">Everybody carries a phone full of apps that each know one thing about them. A nutrition app knows what they ate. A journal knows how they felt. A social platform knows what people are saying to them. None of them talk to each other, and so none of them can answer the question that actually matters on a bad day: why do I feel like this?</w:t>
      </w:r>
    </w:p>
    <w:p>
      <w:pPr>
        <w:spacing w:after="130" w:before="0"/>
      </w:pPr>
      <w:r>
        <w:rPr>
          <w:rFonts w:ascii="Calibri" w:cs="Calibri" w:eastAsia="Calibri" w:hAnsi="Calibri"/>
          <w:color w:val="1B241F"/>
          <w:sz w:val="21"/>
          <w:szCs w:val="21"/>
        </w:rPr>
        <w:t xml:space="preserve">Ask a general chatbot and it will offer a walk and a glass of water, because it has no data about you. It is guessing. MyBrainAI is built on the opposite principle. It only answers from what you have logged, it says so when it does not know, and it gets more precise the longer you use it. Accuracy over speed. Facts over platitudes.</w:t>
      </w:r>
    </w:p>
    <w:tbl>
      <w:tblPr>
        <w:tblW w:type="dxa" w:w="9026"/>
        <w:tblBorders>
          <w:top w:val="single" w:color="B8892E" w:sz="4"/>
          <w:left w:val="single" w:color="B8892E" w:sz="18"/>
          <w:bottom w:val="single" w:color="B8892E" w:sz="4"/>
          <w:right w:val="single" w:color="B8892E" w:sz="4"/>
          <w:insideH w:val="none" w:color="FFFFFF" w:sz="0"/>
          <w:insideV w:val="none" w:color="FFFFFF" w:sz="0"/>
        </w:tblBorders>
      </w:tblPr>
      <w:tblGrid>
        <w:gridCol w:w="9026"/>
      </w:tblGrid>
      <w:tr>
        <w:tc>
          <w:tcPr>
            <w:tcW w:type="dxa" w:w="9026"/>
            <w:shd w:fill="FBF3E1" w:color="auto" w:val="clear"/>
            <w:tcMar>
              <w:top w:type="dxa" w:w="150"/>
              <w:left w:type="dxa" w:w="180"/>
              <w:bottom w:type="dxa" w:w="150"/>
              <w:right w:type="dxa" w:w="180"/>
            </w:tcMar>
          </w:tcPr>
          <w:p>
            <w:pPr>
              <w:spacing w:after="70"/>
            </w:pPr>
            <w:r>
              <w:rPr>
                <w:rFonts w:ascii="Calibri" w:cs="Calibri" w:eastAsia="Calibri" w:hAnsi="Calibri"/>
                <w:b/>
                <w:bCs/>
                <w:color w:val="B8892E"/>
                <w:sz w:val="21"/>
                <w:szCs w:val="21"/>
              </w:rPr>
              <w:t xml:space="preserve">What MyBrainAI is, in one line</w:t>
            </w:r>
          </w:p>
          <w:p>
            <w:pPr>
              <w:spacing w:after="0"/>
            </w:pPr>
            <w:r>
              <w:rPr>
                <w:rFonts w:ascii="Calibri" w:cs="Calibri" w:eastAsia="Calibri" w:hAnsi="Calibri"/>
                <w:color w:val="1B241F"/>
                <w:sz w:val="21"/>
                <w:szCs w:val="21"/>
              </w:rPr>
              <w:t xml:space="preserve">One private brain per person that learns how you feel, what you eat and how you talk, and gives you answers backed by your own data.</w:t>
            </w:r>
          </w:p>
        </w:tc>
      </w:tr>
    </w:tbl>
    <w:p>
      <w:pPr>
        <w:pStyle w:val="Heading2"/>
        <w:spacing w:after="90" w:before="240"/>
      </w:pPr>
      <w:r>
        <w:rPr>
          <w:rFonts w:ascii="Calibri" w:cs="Calibri" w:eastAsia="Calibri" w:hAnsi="Calibri"/>
          <w:b/>
          <w:bCs/>
          <w:color w:val="1B241F"/>
          <w:sz w:val="23"/>
          <w:szCs w:val="23"/>
        </w:rPr>
        <w:t xml:space="preserve">The personal brain</w:t>
      </w:r>
    </w:p>
    <w:p>
      <w:pPr>
        <w:spacing w:after="130" w:before="0"/>
      </w:pPr>
      <w:r>
        <w:rPr>
          <w:rFonts w:ascii="Calibri" w:cs="Calibri" w:eastAsia="Calibri" w:hAnsi="Calibri"/>
          <w:color w:val="1B241F"/>
          <w:sz w:val="21"/>
          <w:szCs w:val="21"/>
        </w:rPr>
        <w:t xml:space="preserve">When a user installs the app, a brain is created for them and stored under their own account, encrypted, never pooled with anyone else and exportable or deletable at any time. Everything the user does in the app feeds that brain, in three ways.</w:t>
      </w:r>
    </w:p>
    <w:p>
      <w:pPr>
        <w:pStyle w:val="ListParagraph"/>
        <w:numPr>
          <w:ilvl w:val="0"/>
          <w:numId w:val="2"/>
        </w:numPr>
        <w:spacing w:after="55"/>
      </w:pPr>
      <w:r>
        <w:rPr>
          <w:rFonts w:ascii="Calibri" w:cs="Calibri" w:eastAsia="Calibri" w:hAnsi="Calibri"/>
          <w:b/>
          <w:bCs/>
          <w:color w:val="1B241F"/>
          <w:sz w:val="21"/>
          <w:szCs w:val="21"/>
        </w:rPr>
        <w:t xml:space="preserve">What they tell it at the start.  </w:t>
      </w:r>
      <w:r>
        <w:rPr>
          <w:rFonts w:ascii="Calibri" w:cs="Calibri" w:eastAsia="Calibri" w:hAnsi="Calibri"/>
          <w:color w:val="1B241F"/>
          <w:sz w:val="21"/>
          <w:szCs w:val="21"/>
        </w:rPr>
        <w:t xml:space="preserve">A name, the areas of life they want to take control of, how they talk (three tone sliders and a sample reply), phrases they never use, and the foods they love and avoid.</w:t>
      </w:r>
    </w:p>
    <w:p>
      <w:pPr>
        <w:pStyle w:val="ListParagraph"/>
        <w:numPr>
          <w:ilvl w:val="0"/>
          <w:numId w:val="2"/>
        </w:numPr>
        <w:spacing w:after="55"/>
      </w:pPr>
      <w:r>
        <w:rPr>
          <w:rFonts w:ascii="Calibri" w:cs="Calibri" w:eastAsia="Calibri" w:hAnsi="Calibri"/>
          <w:b/>
          <w:bCs/>
          <w:color w:val="1B241F"/>
          <w:sz w:val="21"/>
          <w:szCs w:val="21"/>
        </w:rPr>
        <w:t xml:space="preserve">What they log.  </w:t>
      </w:r>
      <w:r>
        <w:rPr>
          <w:rFonts w:ascii="Calibri" w:cs="Calibri" w:eastAsia="Calibri" w:hAnsi="Calibri"/>
          <w:color w:val="1B241F"/>
          <w:sz w:val="21"/>
          <w:szCs w:val="21"/>
        </w:rPr>
        <w:t xml:space="preserve">Every mood check-in and every meal photograph becomes a data point the coach can reason over.</w:t>
      </w:r>
    </w:p>
    <w:p>
      <w:pPr>
        <w:pStyle w:val="ListParagraph"/>
        <w:numPr>
          <w:ilvl w:val="0"/>
          <w:numId w:val="2"/>
        </w:numPr>
        <w:spacing w:after="55"/>
      </w:pPr>
      <w:r>
        <w:rPr>
          <w:rFonts w:ascii="Calibri" w:cs="Calibri" w:eastAsia="Calibri" w:hAnsi="Calibri"/>
          <w:b/>
          <w:bCs/>
          <w:color w:val="1B241F"/>
          <w:sz w:val="21"/>
          <w:szCs w:val="21"/>
        </w:rPr>
        <w:t xml:space="preserve">What they approve or edit.  </w:t>
      </w:r>
      <w:r>
        <w:rPr>
          <w:rFonts w:ascii="Calibri" w:cs="Calibri" w:eastAsia="Calibri" w:hAnsi="Calibri"/>
          <w:color w:val="1B241F"/>
          <w:sz w:val="21"/>
          <w:szCs w:val="21"/>
        </w:rPr>
        <w:t xml:space="preserve">Every reply the brain drafts is either posted unchanged, which confirms the voice, or edited, which corrects it. Both are saved. The brain distils those edits into plain-English rules the user can read and remove.</w:t>
      </w:r>
    </w:p>
    <w:p>
      <w:pPr>
        <w:spacing w:after="130" w:before="120"/>
      </w:pPr>
      <w:r>
        <w:rPr>
          <w:rFonts w:ascii="Calibri" w:cs="Calibri" w:eastAsia="Calibri" w:hAnsi="Calibri"/>
          <w:color w:val="1B241F"/>
          <w:sz w:val="21"/>
          <w:szCs w:val="21"/>
        </w:rPr>
        <w:t xml:space="preserve">This is the same feedback loop you built by hand with a spreadsheet, made invisible and made available to anybody who downloads the app.</w:t>
      </w:r>
    </w:p>
    <w:p>
      <w:pPr>
        <w:pStyle w:val="Heading2"/>
        <w:spacing w:after="90" w:before="240"/>
      </w:pPr>
      <w:r>
        <w:rPr>
          <w:rFonts w:ascii="Calibri" w:cs="Calibri" w:eastAsia="Calibri" w:hAnsi="Calibri"/>
          <w:b/>
          <w:bCs/>
          <w:color w:val="1B241F"/>
          <w:sz w:val="23"/>
          <w:szCs w:val="23"/>
        </w:rPr>
        <w:t xml:space="preserve">The three modules, and the coach on top</w:t>
      </w:r>
    </w:p>
    <w:p>
      <w:pPr>
        <w:spacing w:after="130" w:before="0"/>
      </w:pPr>
      <w:r>
        <w:rPr>
          <w:rFonts w:ascii="Calibri" w:cs="Calibri" w:eastAsia="Calibri" w:hAnsi="Calibri"/>
          <w:b/>
          <w:bCs/>
          <w:color w:val="1B241F"/>
          <w:sz w:val="21"/>
          <w:szCs w:val="21"/>
        </w:rPr>
        <w:t xml:space="preserve">Mood Journal.  </w:t>
      </w:r>
      <w:r>
        <w:rPr>
          <w:rFonts w:ascii="Calibri" w:cs="Calibri" w:eastAsia="Calibri" w:hAnsi="Calibri"/>
          <w:color w:val="1B241F"/>
          <w:sz w:val="21"/>
          <w:szCs w:val="21"/>
        </w:rPr>
        <w:t xml:space="preserve">The simplest feature in the app, deliberately. Six drawn faces on the home screen. Tap one, optionally say or type why, tag the trigger, done. A calendar shows the month at a glance, and tapping any day shows what was logged. Over thirty days it becomes something almost nobody has: a record of what actually happened, and when.</w:t>
      </w:r>
    </w:p>
    <w:p>
      <w:pPr>
        <w:spacing w:after="130" w:before="0"/>
      </w:pPr>
      <w:r>
        <w:rPr>
          <w:rFonts w:ascii="Calibri" w:cs="Calibri" w:eastAsia="Calibri" w:hAnsi="Calibri"/>
          <w:b/>
          <w:bCs/>
          <w:color w:val="1B241F"/>
          <w:sz w:val="21"/>
          <w:szCs w:val="21"/>
        </w:rPr>
        <w:t xml:space="preserve">Fuel.  </w:t>
      </w:r>
      <w:r>
        <w:rPr>
          <w:rFonts w:ascii="Calibri" w:cs="Calibri" w:eastAsia="Calibri" w:hAnsi="Calibri"/>
          <w:color w:val="1B241F"/>
          <w:sz w:val="21"/>
          <w:szCs w:val="21"/>
        </w:rPr>
        <w:t xml:space="preserve">Photograph a meal. The app identifies what is on the plate, returns calories and macronutrients, checks it against the foods the user avoids, and logs it. Daily targets and a coffee count sit at the top.</w:t>
      </w:r>
    </w:p>
    <w:p>
      <w:pPr>
        <w:spacing w:after="130" w:before="0"/>
      </w:pPr>
      <w:r>
        <w:rPr>
          <w:rFonts w:ascii="Calibri" w:cs="Calibri" w:eastAsia="Calibri" w:hAnsi="Calibri"/>
          <w:b/>
          <w:bCs/>
          <w:color w:val="1B241F"/>
          <w:sz w:val="21"/>
          <w:szCs w:val="21"/>
        </w:rPr>
        <w:t xml:space="preserve">Communication Hub.  </w:t>
      </w:r>
      <w:r>
        <w:rPr>
          <w:rFonts w:ascii="Calibri" w:cs="Calibri" w:eastAsia="Calibri" w:hAnsi="Calibri"/>
          <w:color w:val="1B241F"/>
          <w:sz w:val="21"/>
          <w:szCs w:val="21"/>
        </w:rPr>
        <w:t xml:space="preserve">YouTube connects with one tap and every comment across every video arrives in an inbox, drafted in the user’s voice. Every other platform works by paste: copy comments, direct messages or an email thread from anywhere, paste it in, and get replies in your voice to copy back. A nudge box lets the user tell the brain what to change. An accuracy meter shows how often the brain gets it right, and the automation gates you specified are built in: everything needs a tap at first, simple replies go out on their own at ninety percent, and sensitive messages always come back to the user.</w:t>
      </w:r>
    </w:p>
    <w:p>
      <w:pPr>
        <w:spacing w:after="130" w:before="0"/>
      </w:pPr>
      <w:r>
        <w:rPr>
          <w:rFonts w:ascii="Calibri" w:cs="Calibri" w:eastAsia="Calibri" w:hAnsi="Calibri"/>
          <w:b/>
          <w:bCs/>
          <w:color w:val="1B241F"/>
          <w:sz w:val="21"/>
          <w:szCs w:val="21"/>
        </w:rPr>
        <w:t xml:space="preserve">Sage, the coach.  </w:t>
      </w:r>
      <w:r>
        <w:rPr>
          <w:rFonts w:ascii="Calibri" w:cs="Calibri" w:eastAsia="Calibri" w:hAnsi="Calibri"/>
          <w:color w:val="1B241F"/>
          <w:sz w:val="21"/>
          <w:szCs w:val="21"/>
        </w:rPr>
        <w:t xml:space="preserve">One assistant sits on top of all three modules and reads them together. Ask why you feel off in the mornings and Sage answers with evidence cards drawn from your own journal and meals: five anxious mornings this month, four of them coffee-first with no breakfast, none on the days you ate oats. It notices patterns unprompted and surfaces them on the home screen.</w:t>
      </w:r>
    </w:p>
    <w:p>
      <w:pPr>
        <w:pStyle w:val="Heading2"/>
        <w:spacing w:after="90" w:before="240"/>
      </w:pPr>
      <w:r>
        <w:rPr>
          <w:rFonts w:ascii="Calibri" w:cs="Calibri" w:eastAsia="Calibri" w:hAnsi="Calibri"/>
          <w:b/>
          <w:bCs/>
          <w:color w:val="1B241F"/>
          <w:sz w:val="23"/>
          <w:szCs w:val="23"/>
        </w:rPr>
        <w:t xml:space="preserve">The Phase 1 boundary</w:t>
      </w:r>
    </w:p>
    <w:p>
      <w:pPr>
        <w:spacing w:after="130" w:before="0"/>
      </w:pPr>
      <w:r>
        <w:rPr>
          <w:rFonts w:ascii="Calibri" w:cs="Calibri" w:eastAsia="Calibri" w:hAnsi="Calibri"/>
          <w:color w:val="1B241F"/>
          <w:sz w:val="21"/>
          <w:szCs w:val="21"/>
        </w:rPr>
        <w:t xml:space="preserve">Phase 1 tracks three things: how you feel, what you eat and what you say. Physical fitness tracking, financial account connections, email and text aggregation, and the location-based Pulsating Symbols concept are all outside this phase and are listed in Section 7. The app is self-contained and interconnected, so it is priced as a single build rather than as a bundle of parts.</w:t>
      </w:r>
    </w:p>
    <w:p>
      <w:pPr>
        <w:pStyle w:val="Heading1"/>
        <w:spacing w:after="150" w:before="340"/>
      </w:pPr>
      <w:r>
        <w:rPr>
          <w:rFonts w:ascii="Calibri" w:cs="Calibri" w:eastAsia="Calibri" w:hAnsi="Calibri"/>
          <w:b/>
          <w:bCs/>
          <w:color w:val="2F6B4F"/>
          <w:sz w:val="29"/>
          <w:szCs w:val="29"/>
        </w:rPr>
        <w:t xml:space="preserve">2.  What we have already built</w:t>
      </w:r>
    </w:p>
    <w:p>
      <w:pPr>
        <w:spacing w:after="130" w:before="0"/>
      </w:pPr>
      <w:r>
        <w:rPr>
          <w:rFonts w:ascii="Calibri" w:cs="Calibri" w:eastAsia="Calibri" w:hAnsi="Calibri"/>
          <w:color w:val="1B241F"/>
          <w:sz w:val="21"/>
          <w:szCs w:val="21"/>
        </w:rPr>
        <w:t xml:space="preserve">Rather than describe the app, we have designed it. A complete, clickable design sample accompanies this proposal, with realistic data throughout: a thirty-one day mood journal, logged meals, a live YouTube inbox and scripted conversations with Sage. It covers the welcome and six-step onboarding, Home, Mood Journal, Fuel with the camera scan, the Communication Hub with the reply composer and paste-in flows, Sage, and the My Brain screen, in three palettes built around your three logo options, each with light and dark mode. This proposal describes the build of that sample into a live product.</w:t>
      </w:r>
    </w:p>
    <w:p>
      <w:pPr>
        <w:pStyle w:val="Heading1"/>
        <w:pageBreakBefore/>
        <w:spacing w:after="150"/>
      </w:pPr>
      <w:r>
        <w:rPr>
          <w:rFonts w:ascii="Calibri" w:cs="Calibri" w:eastAsia="Calibri" w:hAnsi="Calibri"/>
          <w:b/>
          <w:bCs/>
          <w:color w:val="2F6B4F"/>
          <w:sz w:val="29"/>
          <w:szCs w:val="29"/>
        </w:rPr>
        <w:t xml:space="preserve">3.  Scope of work</w:t>
      </w:r>
    </w:p>
    <w:p>
      <w:pPr>
        <w:spacing w:after="130" w:before="0"/>
      </w:pPr>
      <w:r>
        <w:rPr>
          <w:rFonts w:ascii="Calibri" w:cs="Calibri" w:eastAsia="Calibri" w:hAnsi="Calibri"/>
          <w:color w:val="1B241F"/>
          <w:sz w:val="21"/>
          <w:szCs w:val="21"/>
        </w:rPr>
        <w:t xml:space="preserve">Everything below is included in the Phase 1 price. The applications are built once and published to both the Apple App Store and Google Play.</w:t>
      </w:r>
    </w:p>
    <w:p>
      <w:pPr>
        <w:spacing w:after="60" w:before="200"/>
      </w:pPr>
      <w:r>
        <w:rPr>
          <w:rFonts w:ascii="Calibri" w:cs="Calibri" w:eastAsia="Calibri" w:hAnsi="Calibri"/>
          <w:b/>
          <w:bCs/>
          <w:color w:val="B8892E"/>
          <w:spacing w:val="60"/>
          <w:sz w:val="17"/>
          <w:szCs w:val="17"/>
        </w:rPr>
        <w:t xml:space="preserve">ACCOUNTS, ONBOARDING AND THE PERSONAL BRAIN</w:t>
      </w:r>
    </w:p>
    <w:p>
      <w:pPr>
        <w:pStyle w:val="ListParagraph"/>
        <w:numPr>
          <w:ilvl w:val="0"/>
          <w:numId w:val="2"/>
        </w:numPr>
        <w:spacing w:after="55"/>
      </w:pPr>
      <w:r>
        <w:rPr>
          <w:rFonts w:ascii="Calibri" w:cs="Calibri" w:eastAsia="Calibri" w:hAnsi="Calibri"/>
          <w:color w:val="1B241F"/>
          <w:sz w:val="21"/>
          <w:szCs w:val="21"/>
        </w:rPr>
        <w:t xml:space="preserve">Account creation, sign-in with Google and Apple, password recovery.</w:t>
      </w:r>
    </w:p>
    <w:p>
      <w:pPr>
        <w:pStyle w:val="ListParagraph"/>
        <w:numPr>
          <w:ilvl w:val="0"/>
          <w:numId w:val="2"/>
        </w:numPr>
        <w:spacing w:after="55"/>
      </w:pPr>
      <w:r>
        <w:rPr>
          <w:rFonts w:ascii="Calibri" w:cs="Calibri" w:eastAsia="Calibri" w:hAnsi="Calibri"/>
          <w:color w:val="1B241F"/>
          <w:sz w:val="21"/>
          <w:szCs w:val="21"/>
        </w:rPr>
        <w:t xml:space="preserve">Six-step onboarding: name, focus areas, voice training with tone sliders and a sample reply, food preferences, platform connection, palette choice.</w:t>
      </w:r>
    </w:p>
    <w:p>
      <w:pPr>
        <w:pStyle w:val="ListParagraph"/>
        <w:numPr>
          <w:ilvl w:val="0"/>
          <w:numId w:val="2"/>
        </w:numPr>
        <w:spacing w:after="55"/>
      </w:pPr>
      <w:r>
        <w:rPr>
          <w:rFonts w:ascii="Calibri" w:cs="Calibri" w:eastAsia="Calibri" w:hAnsi="Calibri"/>
          <w:color w:val="1B241F"/>
          <w:sz w:val="21"/>
          <w:szCs w:val="21"/>
        </w:rPr>
        <w:t xml:space="preserve">A private brain per user: voice profile, example memory of approved and edited replies, learned rules, and the mood and meal history, all stored under the user’s own account and encrypted at rest.</w:t>
      </w:r>
    </w:p>
    <w:p>
      <w:pPr>
        <w:pStyle w:val="ListParagraph"/>
        <w:numPr>
          <w:ilvl w:val="0"/>
          <w:numId w:val="2"/>
        </w:numPr>
        <w:spacing w:after="55"/>
      </w:pPr>
      <w:r>
        <w:rPr>
          <w:rFonts w:ascii="Calibri" w:cs="Calibri" w:eastAsia="Calibri" w:hAnsi="Calibri"/>
          <w:color w:val="1B241F"/>
          <w:sz w:val="21"/>
          <w:szCs w:val="21"/>
        </w:rPr>
        <w:t xml:space="preserve">Three colour palettes matched to the three logo options, with light mode, dark mode and automatic switching by time of day.</w:t>
      </w:r>
    </w:p>
    <w:p>
      <w:pPr>
        <w:pStyle w:val="ListParagraph"/>
        <w:numPr>
          <w:ilvl w:val="0"/>
          <w:numId w:val="2"/>
        </w:numPr>
        <w:spacing w:after="55"/>
      </w:pPr>
      <w:r>
        <w:rPr>
          <w:rFonts w:ascii="Calibri" w:cs="Calibri" w:eastAsia="Calibri" w:hAnsi="Calibri"/>
          <w:color w:val="1B241F"/>
          <w:sz w:val="21"/>
          <w:szCs w:val="21"/>
        </w:rPr>
        <w:t xml:space="preserve">Export my brain, and delete my brain, from within the app.</w:t>
      </w:r>
    </w:p>
    <w:p>
      <w:pPr>
        <w:spacing w:after="60" w:before="200"/>
      </w:pPr>
      <w:r>
        <w:rPr>
          <w:rFonts w:ascii="Calibri" w:cs="Calibri" w:eastAsia="Calibri" w:hAnsi="Calibri"/>
          <w:b/>
          <w:bCs/>
          <w:color w:val="B8892E"/>
          <w:spacing w:val="60"/>
          <w:sz w:val="17"/>
          <w:szCs w:val="17"/>
        </w:rPr>
        <w:t xml:space="preserve">MOOD JOURNAL</w:t>
      </w:r>
    </w:p>
    <w:p>
      <w:pPr>
        <w:pStyle w:val="ListParagraph"/>
        <w:numPr>
          <w:ilvl w:val="0"/>
          <w:numId w:val="2"/>
        </w:numPr>
        <w:spacing w:after="55"/>
      </w:pPr>
      <w:r>
        <w:rPr>
          <w:rFonts w:ascii="Calibri" w:cs="Calibri" w:eastAsia="Calibri" w:hAnsi="Calibri"/>
          <w:color w:val="1B241F"/>
          <w:sz w:val="21"/>
          <w:szCs w:val="21"/>
        </w:rPr>
        <w:t xml:space="preserve">Home-screen check-in: six drawn mood faces, an optional note by voice or keyboard, and trigger tags.</w:t>
      </w:r>
    </w:p>
    <w:p>
      <w:pPr>
        <w:pStyle w:val="ListParagraph"/>
        <w:numPr>
          <w:ilvl w:val="0"/>
          <w:numId w:val="2"/>
        </w:numPr>
        <w:spacing w:after="55"/>
      </w:pPr>
      <w:r>
        <w:rPr>
          <w:rFonts w:ascii="Calibri" w:cs="Calibri" w:eastAsia="Calibri" w:hAnsi="Calibri"/>
          <w:color w:val="1B241F"/>
          <w:sz w:val="21"/>
          <w:szCs w:val="21"/>
        </w:rPr>
        <w:t xml:space="preserve">Speech-to-text for notes, using the device’s native dictation.</w:t>
      </w:r>
    </w:p>
    <w:p>
      <w:pPr>
        <w:pStyle w:val="ListParagraph"/>
        <w:numPr>
          <w:ilvl w:val="0"/>
          <w:numId w:val="2"/>
        </w:numPr>
        <w:spacing w:after="55"/>
      </w:pPr>
      <w:r>
        <w:rPr>
          <w:rFonts w:ascii="Calibri" w:cs="Calibri" w:eastAsia="Calibri" w:hAnsi="Calibri"/>
          <w:color w:val="1B241F"/>
          <w:sz w:val="21"/>
          <w:szCs w:val="21"/>
        </w:rPr>
        <w:t xml:space="preserve">Month calendar with a colour dot per check-in; tap any day to see its entries.</w:t>
      </w:r>
    </w:p>
    <w:p>
      <w:pPr>
        <w:pStyle w:val="ListParagraph"/>
        <w:numPr>
          <w:ilvl w:val="0"/>
          <w:numId w:val="2"/>
        </w:numPr>
        <w:spacing w:after="55"/>
      </w:pPr>
      <w:r>
        <w:rPr>
          <w:rFonts w:ascii="Calibri" w:cs="Calibri" w:eastAsia="Calibri" w:hAnsi="Calibri"/>
          <w:color w:val="1B241F"/>
          <w:sz w:val="21"/>
          <w:szCs w:val="21"/>
        </w:rPr>
        <w:t xml:space="preserve">Weekly mood averages and a breakdown of what sits behind the low days.</w:t>
      </w:r>
    </w:p>
    <w:p>
      <w:pPr>
        <w:pStyle w:val="ListParagraph"/>
        <w:numPr>
          <w:ilvl w:val="0"/>
          <w:numId w:val="2"/>
        </w:numPr>
        <w:spacing w:after="55"/>
      </w:pPr>
      <w:r>
        <w:rPr>
          <w:rFonts w:ascii="Calibri" w:cs="Calibri" w:eastAsia="Calibri" w:hAnsi="Calibri"/>
          <w:color w:val="1B241F"/>
          <w:sz w:val="21"/>
          <w:szCs w:val="21"/>
        </w:rPr>
        <w:t xml:space="preserve">Evening reminder and check-in streak.</w:t>
      </w:r>
    </w:p>
    <w:p>
      <w:pPr>
        <w:spacing w:after="60" w:before="200"/>
      </w:pPr>
      <w:r>
        <w:rPr>
          <w:rFonts w:ascii="Calibri" w:cs="Calibri" w:eastAsia="Calibri" w:hAnsi="Calibri"/>
          <w:b/>
          <w:bCs/>
          <w:color w:val="B8892E"/>
          <w:spacing w:val="60"/>
          <w:sz w:val="17"/>
          <w:szCs w:val="17"/>
        </w:rPr>
        <w:t xml:space="preserve">FUEL</w:t>
      </w:r>
    </w:p>
    <w:p>
      <w:pPr>
        <w:pStyle w:val="ListParagraph"/>
        <w:numPr>
          <w:ilvl w:val="0"/>
          <w:numId w:val="2"/>
        </w:numPr>
        <w:spacing w:after="55"/>
      </w:pPr>
      <w:r>
        <w:rPr>
          <w:rFonts w:ascii="Calibri" w:cs="Calibri" w:eastAsia="Calibri" w:hAnsi="Calibri"/>
          <w:color w:val="1B241F"/>
          <w:sz w:val="21"/>
          <w:szCs w:val="21"/>
        </w:rPr>
        <w:t xml:space="preserve">Meal capture by camera or from the photo library.</w:t>
      </w:r>
    </w:p>
    <w:p>
      <w:pPr>
        <w:pStyle w:val="ListParagraph"/>
        <w:numPr>
          <w:ilvl w:val="0"/>
          <w:numId w:val="2"/>
        </w:numPr>
        <w:spacing w:after="55"/>
      </w:pPr>
      <w:r>
        <w:rPr>
          <w:rFonts w:ascii="Calibri" w:cs="Calibri" w:eastAsia="Calibri" w:hAnsi="Calibri"/>
          <w:color w:val="1B241F"/>
          <w:sz w:val="21"/>
          <w:szCs w:val="21"/>
        </w:rPr>
        <w:t xml:space="preserve">AI identification of the items on the plate, with calories, protein, carbohydrate and fat, and a confidence level. The user can correct items and portions before saving.</w:t>
      </w:r>
    </w:p>
    <w:p>
      <w:pPr>
        <w:pStyle w:val="ListParagraph"/>
        <w:numPr>
          <w:ilvl w:val="0"/>
          <w:numId w:val="2"/>
        </w:numPr>
        <w:spacing w:after="55"/>
      </w:pPr>
      <w:r>
        <w:rPr>
          <w:rFonts w:ascii="Calibri" w:cs="Calibri" w:eastAsia="Calibri" w:hAnsi="Calibri"/>
          <w:color w:val="1B241F"/>
          <w:sz w:val="21"/>
          <w:szCs w:val="21"/>
        </w:rPr>
        <w:t xml:space="preserve">Daily calorie and macronutrient targets, a daily coffee count, and a meal timeline with photographs.</w:t>
      </w:r>
    </w:p>
    <w:p>
      <w:pPr>
        <w:pStyle w:val="ListParagraph"/>
        <w:numPr>
          <w:ilvl w:val="0"/>
          <w:numId w:val="2"/>
        </w:numPr>
        <w:spacing w:after="55"/>
      </w:pPr>
      <w:r>
        <w:rPr>
          <w:rFonts w:ascii="Calibri" w:cs="Calibri" w:eastAsia="Calibri" w:hAnsi="Calibri"/>
          <w:color w:val="1B241F"/>
          <w:sz w:val="21"/>
          <w:szCs w:val="21"/>
        </w:rPr>
        <w:t xml:space="preserve">Food preferences: foods the user loves and foods they avoid, with avoided foods flagged when they appear in a meal.</w:t>
      </w:r>
    </w:p>
    <w:p>
      <w:pPr>
        <w:spacing w:after="60" w:before="200"/>
      </w:pPr>
      <w:r>
        <w:rPr>
          <w:rFonts w:ascii="Calibri" w:cs="Calibri" w:eastAsia="Calibri" w:hAnsi="Calibri"/>
          <w:b/>
          <w:bCs/>
          <w:color w:val="B8892E"/>
          <w:spacing w:val="60"/>
          <w:sz w:val="17"/>
          <w:szCs w:val="17"/>
        </w:rPr>
        <w:t xml:space="preserve">COMMUNICATION HUB</w:t>
      </w:r>
    </w:p>
    <w:p>
      <w:pPr>
        <w:pStyle w:val="ListParagraph"/>
        <w:numPr>
          <w:ilvl w:val="0"/>
          <w:numId w:val="2"/>
        </w:numPr>
        <w:spacing w:after="55"/>
      </w:pPr>
      <w:r>
        <w:rPr>
          <w:rFonts w:ascii="Calibri" w:cs="Calibri" w:eastAsia="Calibri" w:hAnsi="Calibri"/>
          <w:color w:val="1B241F"/>
          <w:sz w:val="21"/>
          <w:szCs w:val="21"/>
        </w:rPr>
        <w:t xml:space="preserve">YouTube: one-tap connection through Google sign-in. Comments from every video on the channel are fetched automatically, and approved replies are posted back to YouTube from inside the app.</w:t>
      </w:r>
    </w:p>
    <w:p>
      <w:pPr>
        <w:pStyle w:val="ListParagraph"/>
        <w:numPr>
          <w:ilvl w:val="0"/>
          <w:numId w:val="2"/>
        </w:numPr>
        <w:spacing w:after="55"/>
      </w:pPr>
      <w:r>
        <w:rPr>
          <w:rFonts w:ascii="Calibri" w:cs="Calibri" w:eastAsia="Calibri" w:hAnsi="Calibri"/>
          <w:color w:val="1B241F"/>
          <w:sz w:val="21"/>
          <w:szCs w:val="21"/>
        </w:rPr>
        <w:t xml:space="preserve">Import of the user’s own past YouTube replies at connection, so the brain starts with their voice already learned.</w:t>
      </w:r>
    </w:p>
    <w:p>
      <w:pPr>
        <w:pStyle w:val="ListParagraph"/>
        <w:numPr>
          <w:ilvl w:val="0"/>
          <w:numId w:val="2"/>
        </w:numPr>
        <w:spacing w:after="55"/>
      </w:pPr>
      <w:r>
        <w:rPr>
          <w:rFonts w:ascii="Calibri" w:cs="Calibri" w:eastAsia="Calibri" w:hAnsi="Calibri"/>
          <w:color w:val="1B241F"/>
          <w:sz w:val="21"/>
          <w:szCs w:val="21"/>
        </w:rPr>
        <w:t xml:space="preserve">Inbox in three views: needs you, auto-drafted, and posted. One-tap posting of all auto-drafted replies.</w:t>
      </w:r>
    </w:p>
    <w:p>
      <w:pPr>
        <w:pStyle w:val="ListParagraph"/>
        <w:numPr>
          <w:ilvl w:val="0"/>
          <w:numId w:val="2"/>
        </w:numPr>
        <w:spacing w:after="55"/>
      </w:pPr>
      <w:r>
        <w:rPr>
          <w:rFonts w:ascii="Calibri" w:cs="Calibri" w:eastAsia="Calibri" w:hAnsi="Calibri"/>
          <w:color w:val="1B241F"/>
          <w:sz w:val="21"/>
          <w:szCs w:val="21"/>
        </w:rPr>
        <w:t xml:space="preserve">Reply composer: the original comment, the drafted reply, a one-line explanation of why it was written that way, tone chips, a nudge box for instructions in plain English, copy, and approve-and-post.</w:t>
      </w:r>
    </w:p>
    <w:p>
      <w:pPr>
        <w:pStyle w:val="ListParagraph"/>
        <w:numPr>
          <w:ilvl w:val="0"/>
          <w:numId w:val="2"/>
        </w:numPr>
        <w:spacing w:after="55"/>
      </w:pPr>
      <w:r>
        <w:rPr>
          <w:rFonts w:ascii="Calibri" w:cs="Calibri" w:eastAsia="Calibri" w:hAnsi="Calibri"/>
          <w:color w:val="1B241F"/>
          <w:sz w:val="21"/>
          <w:szCs w:val="21"/>
        </w:rPr>
        <w:t xml:space="preserve">Paste-in tiles for Facebook, Instagram, TikTok, X, WhatsApp, email, text messages and LinkedIn: paste one message or many, receive replies in your voice, copy one or copy all.</w:t>
      </w:r>
    </w:p>
    <w:p>
      <w:pPr>
        <w:pStyle w:val="ListParagraph"/>
        <w:numPr>
          <w:ilvl w:val="0"/>
          <w:numId w:val="2"/>
        </w:numPr>
        <w:spacing w:after="55"/>
      </w:pPr>
      <w:r>
        <w:rPr>
          <w:rFonts w:ascii="Calibri" w:cs="Calibri" w:eastAsia="Calibri" w:hAnsi="Calibri"/>
          <w:color w:val="1B241F"/>
          <w:sz w:val="21"/>
          <w:szCs w:val="21"/>
        </w:rPr>
        <w:t xml:space="preserve">Accuracy meter and automation gates: assisted mode from the start, auto-posting of simple replies once accuracy reaches ninety percent, and a permanent rule that sensitive topics always come back to the user.</w:t>
      </w:r>
    </w:p>
    <w:p>
      <w:pPr>
        <w:pStyle w:val="ListParagraph"/>
        <w:numPr>
          <w:ilvl w:val="0"/>
          <w:numId w:val="2"/>
        </w:numPr>
        <w:spacing w:after="55"/>
      </w:pPr>
      <w:r>
        <w:rPr>
          <w:rFonts w:ascii="Calibri" w:cs="Calibri" w:eastAsia="Calibri" w:hAnsi="Calibri"/>
          <w:color w:val="1B241F"/>
          <w:sz w:val="21"/>
          <w:szCs w:val="21"/>
        </w:rPr>
        <w:t xml:space="preserve">The learning loop: every approval and edit saved to the brain, nightly distillation into readable style rules, and a rules screen the user can edit.</w:t>
      </w:r>
    </w:p>
    <w:p>
      <w:pPr>
        <w:spacing w:after="60" w:before="200"/>
      </w:pPr>
      <w:r>
        <w:rPr>
          <w:rFonts w:ascii="Calibri" w:cs="Calibri" w:eastAsia="Calibri" w:hAnsi="Calibri"/>
          <w:b/>
          <w:bCs/>
          <w:color w:val="B8892E"/>
          <w:spacing w:val="60"/>
          <w:sz w:val="17"/>
          <w:szCs w:val="17"/>
        </w:rPr>
        <w:t xml:space="preserve">SAGE, THE AI COACH</w:t>
      </w:r>
    </w:p>
    <w:p>
      <w:pPr>
        <w:pStyle w:val="ListParagraph"/>
        <w:numPr>
          <w:ilvl w:val="0"/>
          <w:numId w:val="2"/>
        </w:numPr>
        <w:spacing w:after="55"/>
      </w:pPr>
      <w:r>
        <w:rPr>
          <w:rFonts w:ascii="Calibri" w:cs="Calibri" w:eastAsia="Calibri" w:hAnsi="Calibri"/>
          <w:color w:val="1B241F"/>
          <w:sz w:val="21"/>
          <w:szCs w:val="21"/>
        </w:rPr>
        <w:t xml:space="preserve">Conversational coach that answers only from the user’s own mood, meal and reply data, and says so when it does not have enough.</w:t>
      </w:r>
    </w:p>
    <w:p>
      <w:pPr>
        <w:pStyle w:val="ListParagraph"/>
        <w:numPr>
          <w:ilvl w:val="0"/>
          <w:numId w:val="2"/>
        </w:numPr>
        <w:spacing w:after="55"/>
      </w:pPr>
      <w:r>
        <w:rPr>
          <w:rFonts w:ascii="Calibri" w:cs="Calibri" w:eastAsia="Calibri" w:hAnsi="Calibri"/>
          <w:color w:val="1B241F"/>
          <w:sz w:val="21"/>
          <w:szCs w:val="21"/>
        </w:rPr>
        <w:t xml:space="preserve">Evidence cards beneath each answer showing the counts and patterns the answer rests on.</w:t>
      </w:r>
    </w:p>
    <w:p>
      <w:pPr>
        <w:pStyle w:val="ListParagraph"/>
        <w:numPr>
          <w:ilvl w:val="0"/>
          <w:numId w:val="2"/>
        </w:numPr>
        <w:spacing w:after="55"/>
      </w:pPr>
      <w:r>
        <w:rPr>
          <w:rFonts w:ascii="Calibri" w:cs="Calibri" w:eastAsia="Calibri" w:hAnsi="Calibri"/>
          <w:color w:val="1B241F"/>
          <w:sz w:val="21"/>
          <w:szCs w:val="21"/>
        </w:rPr>
        <w:t xml:space="preserve">Unprompted insights on the home screen and by notification when a pattern appears across modules.</w:t>
      </w:r>
    </w:p>
    <w:p>
      <w:pPr>
        <w:pStyle w:val="ListParagraph"/>
        <w:numPr>
          <w:ilvl w:val="0"/>
          <w:numId w:val="2"/>
        </w:numPr>
        <w:spacing w:after="55"/>
      </w:pPr>
      <w:r>
        <w:rPr>
          <w:rFonts w:ascii="Calibri" w:cs="Calibri" w:eastAsia="Calibri" w:hAnsi="Calibri"/>
          <w:color w:val="1B241F"/>
          <w:sz w:val="21"/>
          <w:szCs w:val="21"/>
        </w:rPr>
        <w:t xml:space="preserve">Suggested questions, and quick actions such as setting a reminder or drafting a reply.</w:t>
      </w:r>
    </w:p>
    <w:p>
      <w:pPr>
        <w:spacing w:after="60" w:before="200"/>
      </w:pPr>
      <w:r>
        <w:rPr>
          <w:rFonts w:ascii="Calibri" w:cs="Calibri" w:eastAsia="Calibri" w:hAnsi="Calibri"/>
          <w:b/>
          <w:bCs/>
          <w:color w:val="B8892E"/>
          <w:spacing w:val="60"/>
          <w:sz w:val="17"/>
          <w:szCs w:val="17"/>
        </w:rPr>
        <w:t xml:space="preserve">PLATFORM AND PUBLICATION</w:t>
      </w:r>
    </w:p>
    <w:p>
      <w:pPr>
        <w:pStyle w:val="ListParagraph"/>
        <w:numPr>
          <w:ilvl w:val="0"/>
          <w:numId w:val="2"/>
        </w:numPr>
        <w:spacing w:after="55"/>
      </w:pPr>
      <w:r>
        <w:rPr>
          <w:rFonts w:ascii="Calibri" w:cs="Calibri" w:eastAsia="Calibri" w:hAnsi="Calibri"/>
          <w:color w:val="1B241F"/>
          <w:sz w:val="21"/>
          <w:szCs w:val="21"/>
        </w:rPr>
        <w:t xml:space="preserve">Subscription billing through Apple and Google in-app purchase, monthly and annual, with a free trial period of your choosing.</w:t>
      </w:r>
    </w:p>
    <w:p>
      <w:pPr>
        <w:pStyle w:val="ListParagraph"/>
        <w:numPr>
          <w:ilvl w:val="0"/>
          <w:numId w:val="2"/>
        </w:numPr>
        <w:spacing w:after="55"/>
      </w:pPr>
      <w:r>
        <w:rPr>
          <w:rFonts w:ascii="Calibri" w:cs="Calibri" w:eastAsia="Calibri" w:hAnsi="Calibri"/>
          <w:color w:val="1B241F"/>
          <w:sz w:val="21"/>
          <w:szCs w:val="21"/>
        </w:rPr>
        <w:t xml:space="preserve">Push notifications, in-app notification centre, and settings.</w:t>
      </w:r>
    </w:p>
    <w:p>
      <w:pPr>
        <w:pStyle w:val="ListParagraph"/>
        <w:numPr>
          <w:ilvl w:val="0"/>
          <w:numId w:val="2"/>
        </w:numPr>
        <w:spacing w:after="55"/>
      </w:pPr>
      <w:r>
        <w:rPr>
          <w:rFonts w:ascii="Calibri" w:cs="Calibri" w:eastAsia="Calibri" w:hAnsi="Calibri"/>
          <w:color w:val="1B241F"/>
          <w:sz w:val="21"/>
          <w:szCs w:val="21"/>
        </w:rPr>
        <w:t xml:space="preserve">Secure backend, database and media storage, OpenAI integration for language, vision and embeddings, and a deployment pipeline.</w:t>
      </w:r>
    </w:p>
    <w:p>
      <w:pPr>
        <w:pStyle w:val="ListParagraph"/>
        <w:numPr>
          <w:ilvl w:val="0"/>
          <w:numId w:val="2"/>
        </w:numPr>
        <w:spacing w:after="55"/>
      </w:pPr>
      <w:r>
        <w:rPr>
          <w:rFonts w:ascii="Calibri" w:cs="Calibri" w:eastAsia="Calibri" w:hAnsi="Calibri"/>
          <w:color w:val="1B241F"/>
          <w:sz w:val="21"/>
          <w:szCs w:val="21"/>
        </w:rPr>
        <w:t xml:space="preserve">Google OAuth verification and the YouTube API compliance submission, both required before public launch, prepared and filed by us.</w:t>
      </w:r>
    </w:p>
    <w:p>
      <w:pPr>
        <w:pStyle w:val="ListParagraph"/>
        <w:numPr>
          <w:ilvl w:val="0"/>
          <w:numId w:val="2"/>
        </w:numPr>
        <w:spacing w:after="55"/>
      </w:pPr>
      <w:r>
        <w:rPr>
          <w:rFonts w:ascii="Calibri" w:cs="Calibri" w:eastAsia="Calibri" w:hAnsi="Calibri"/>
          <w:color w:val="1B241F"/>
          <w:sz w:val="21"/>
          <w:szCs w:val="21"/>
        </w:rPr>
        <w:t xml:space="preserve">Submission to the Apple App Store and Google Play, and handling of any rejection arising from our build.</w:t>
      </w:r>
    </w:p>
    <w:p>
      <w:pPr>
        <w:pStyle w:val="Heading2"/>
        <w:spacing w:after="90" w:before="240"/>
      </w:pPr>
      <w:r>
        <w:rPr>
          <w:rFonts w:ascii="Calibri" w:cs="Calibri" w:eastAsia="Calibri" w:hAnsi="Calibri"/>
          <w:b/>
          <w:bCs/>
          <w:color w:val="1B241F"/>
          <w:sz w:val="23"/>
          <w:szCs w:val="23"/>
        </w:rPr>
        <w:t xml:space="preserve">A note on integrations</w:t>
      </w:r>
    </w:p>
    <w:p>
      <w:pPr>
        <w:spacing w:after="130" w:before="0"/>
      </w:pPr>
      <w:r>
        <w:rPr>
          <w:rFonts w:ascii="Calibri" w:cs="Calibri" w:eastAsia="Calibri" w:hAnsi="Calibri"/>
          <w:color w:val="1B241F"/>
          <w:sz w:val="21"/>
          <w:szCs w:val="21"/>
        </w:rPr>
        <w:t xml:space="preserve">YouTube is the only platform that lets an app read comments and post replies on a user’s behalf with a single sign-in, which is why it is fully connected in Phase 1. Facebook Pages and Instagram professional accounts have similar interfaces but require a separate Meta application review and do not cover personal profiles; they are listed as a later addition in Section 7. WhatsApp, iPhone text messages and TikTok replies have no usable interface for third-party apps, and the paste-in design is the honest answer. It also keeps the user in control: nothing is connected to those accounts, and only the text they choose to paste reaches their brain.</w:t>
      </w:r>
    </w:p>
    <w:p>
      <w:pPr>
        <w:pStyle w:val="Heading1"/>
        <w:pageBreakBefore/>
        <w:spacing w:after="150"/>
      </w:pPr>
      <w:r>
        <w:rPr>
          <w:rFonts w:ascii="Calibri" w:cs="Calibri" w:eastAsia="Calibri" w:hAnsi="Calibri"/>
          <w:b/>
          <w:bCs/>
          <w:color w:val="2F6B4F"/>
          <w:sz w:val="29"/>
          <w:szCs w:val="29"/>
        </w:rPr>
        <w:t xml:space="preserve">4.  Investment</w:t>
      </w:r>
    </w:p>
    <w:p>
      <w:pPr>
        <w:spacing w:after="130" w:before="0"/>
      </w:pPr>
      <w:r>
        <w:rPr>
          <w:rFonts w:ascii="Calibri" w:cs="Calibri" w:eastAsia="Calibri" w:hAnsi="Calibri"/>
          <w:color w:val="1B241F"/>
          <w:sz w:val="21"/>
          <w:szCs w:val="21"/>
        </w:rPr>
        <w:t xml:space="preserve">MyBrainAI is one product, not a set of modules. The coach depends on the journal and the meals; the hub depends on the brain; the brain depends on all of them. It is therefore priced as a single fixed sum for the complete Phase 1 scope described in Section 3. All figures are in US dollars.</w:t>
      </w:r>
    </w:p>
    <w:tbl>
      <w:tblPr>
        <w:tblW w:type="dxa" w:w="9026"/>
        <w:tblBorders>
          <w:top w:val="single" w:color="DCE3DD" w:sz="4"/>
          <w:left w:val="single" w:color="DCE3DD" w:sz="4"/>
          <w:bottom w:val="single" w:color="DCE3DD" w:sz="4"/>
          <w:right w:val="single" w:color="DCE3DD" w:sz="4"/>
          <w:insideH w:val="single" w:color="DCE3DD" w:sz="4"/>
          <w:insideV w:val="single" w:color="DCE3DD" w:sz="4"/>
        </w:tblBorders>
      </w:tblPr>
      <w:tblGrid>
        <w:gridCol w:w="6626"/>
        <w:gridCol w:w="2400"/>
      </w:tblGrid>
      <w:tr>
        <w:trPr>
          <w:tblHeader/>
        </w:trPr>
        <w:tc>
          <w:tcPr>
            <w:tcW w:type="dxa" w:w="6626"/>
            <w:shd w:fill="2F6B4F"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Workstream</w:t>
            </w:r>
          </w:p>
        </w:tc>
        <w:tc>
          <w:tcPr>
            <w:tcW w:type="dxa" w:w="2400"/>
            <w:shd w:fill="2F6B4F" w:color="auto" w:val="clear"/>
            <w:tcMar>
              <w:top w:type="dxa" w:w="95"/>
              <w:left w:type="dxa" w:w="130"/>
              <w:bottom w:type="dxa" w:w="95"/>
              <w:right w:type="dxa" w:w="130"/>
            </w:tcMar>
          </w:tcPr>
          <w:p>
            <w:pPr>
              <w:spacing w:after="0"/>
              <w:jc w:val="right"/>
            </w:pPr>
            <w:r>
              <w:rPr>
                <w:rFonts w:ascii="Calibri" w:cs="Calibri" w:eastAsia="Calibri" w:hAnsi="Calibri"/>
                <w:b/>
                <w:bCs/>
                <w:color w:val="FFFFFF"/>
                <w:sz w:val="19"/>
                <w:szCs w:val="19"/>
              </w:rPr>
              <w:t xml:space="preserve">Effort</w:t>
            </w:r>
          </w:p>
        </w:tc>
      </w:tr>
      <w:tr>
        <w:tc>
          <w:tcPr>
            <w:tcW w:type="dxa" w:w="6626"/>
            <w:tcMar>
              <w:top w:type="dxa" w:w="95"/>
              <w:left w:type="dxa" w:w="130"/>
              <w:bottom w:type="dxa" w:w="95"/>
              <w:right w:type="dxa" w:w="130"/>
            </w:tcMar>
          </w:tcPr>
          <w:p>
            <w:pPr>
              <w:spacing w:after="0"/>
            </w:pPr>
            <w:r>
              <w:rPr>
                <w:rFonts w:ascii="Calibri" w:cs="Calibri" w:eastAsia="Calibri" w:hAnsi="Calibri"/>
                <w:color w:val="1B241F"/>
                <w:sz w:val="20"/>
                <w:szCs w:val="20"/>
              </w:rPr>
              <w:t xml:space="preserve">Foundation: accounts, onboarding, the personal brain, palettes and dark mode, backend</w:t>
            </w:r>
          </w:p>
        </w:tc>
        <w:tc>
          <w:tcPr>
            <w:tcW w:type="dxa" w:w="2400"/>
            <w:tcMar>
              <w:top w:type="dxa" w:w="95"/>
              <w:left w:type="dxa" w:w="130"/>
              <w:bottom w:type="dxa" w:w="95"/>
              <w:right w:type="dxa" w:w="130"/>
            </w:tcMar>
          </w:tcPr>
          <w:p>
            <w:pPr>
              <w:spacing w:after="0"/>
              <w:jc w:val="right"/>
            </w:pPr>
            <w:r>
              <w:rPr>
                <w:rFonts w:ascii="Calibri" w:cs="Calibri" w:eastAsia="Calibri" w:hAnsi="Calibri"/>
                <w:color w:val="5C665F"/>
                <w:sz w:val="20"/>
                <w:szCs w:val="20"/>
              </w:rPr>
              <w:t xml:space="preserve">3 weeks</w:t>
            </w:r>
          </w:p>
        </w:tc>
      </w:tr>
      <w:tr>
        <w:tc>
          <w:tcPr>
            <w:tcW w:type="dxa" w:w="6626"/>
            <w:tcMar>
              <w:top w:type="dxa" w:w="95"/>
              <w:left w:type="dxa" w:w="130"/>
              <w:bottom w:type="dxa" w:w="95"/>
              <w:right w:type="dxa" w:w="130"/>
            </w:tcMar>
          </w:tcPr>
          <w:p>
            <w:pPr>
              <w:spacing w:after="0"/>
            </w:pPr>
            <w:r>
              <w:rPr>
                <w:rFonts w:ascii="Calibri" w:cs="Calibri" w:eastAsia="Calibri" w:hAnsi="Calibri"/>
                <w:color w:val="1B241F"/>
                <w:sz w:val="20"/>
                <w:szCs w:val="20"/>
              </w:rPr>
              <w:t xml:space="preserve">Mood Journal</w:t>
            </w:r>
          </w:p>
        </w:tc>
        <w:tc>
          <w:tcPr>
            <w:tcW w:type="dxa" w:w="2400"/>
            <w:tcMar>
              <w:top w:type="dxa" w:w="95"/>
              <w:left w:type="dxa" w:w="130"/>
              <w:bottom w:type="dxa" w:w="95"/>
              <w:right w:type="dxa" w:w="130"/>
            </w:tcMar>
          </w:tcPr>
          <w:p>
            <w:pPr>
              <w:spacing w:after="0"/>
              <w:jc w:val="right"/>
            </w:pPr>
            <w:r>
              <w:rPr>
                <w:rFonts w:ascii="Calibri" w:cs="Calibri" w:eastAsia="Calibri" w:hAnsi="Calibri"/>
                <w:color w:val="5C665F"/>
                <w:sz w:val="20"/>
                <w:szCs w:val="20"/>
              </w:rPr>
              <w:t xml:space="preserve">2.5 weeks</w:t>
            </w:r>
          </w:p>
        </w:tc>
      </w:tr>
      <w:tr>
        <w:tc>
          <w:tcPr>
            <w:tcW w:type="dxa" w:w="6626"/>
            <w:tcMar>
              <w:top w:type="dxa" w:w="95"/>
              <w:left w:type="dxa" w:w="130"/>
              <w:bottom w:type="dxa" w:w="95"/>
              <w:right w:type="dxa" w:w="130"/>
            </w:tcMar>
          </w:tcPr>
          <w:p>
            <w:pPr>
              <w:spacing w:after="0"/>
            </w:pPr>
            <w:r>
              <w:rPr>
                <w:rFonts w:ascii="Calibri" w:cs="Calibri" w:eastAsia="Calibri" w:hAnsi="Calibri"/>
                <w:color w:val="1B241F"/>
                <w:sz w:val="20"/>
                <w:szCs w:val="20"/>
              </w:rPr>
              <w:t xml:space="preserve">Fuel</w:t>
            </w:r>
          </w:p>
        </w:tc>
        <w:tc>
          <w:tcPr>
            <w:tcW w:type="dxa" w:w="2400"/>
            <w:tcMar>
              <w:top w:type="dxa" w:w="95"/>
              <w:left w:type="dxa" w:w="130"/>
              <w:bottom w:type="dxa" w:w="95"/>
              <w:right w:type="dxa" w:w="130"/>
            </w:tcMar>
          </w:tcPr>
          <w:p>
            <w:pPr>
              <w:spacing w:after="0"/>
              <w:jc w:val="right"/>
            </w:pPr>
            <w:r>
              <w:rPr>
                <w:rFonts w:ascii="Calibri" w:cs="Calibri" w:eastAsia="Calibri" w:hAnsi="Calibri"/>
                <w:color w:val="5C665F"/>
                <w:sz w:val="20"/>
                <w:szCs w:val="20"/>
              </w:rPr>
              <w:t xml:space="preserve">2.5 weeks</w:t>
            </w:r>
          </w:p>
        </w:tc>
      </w:tr>
      <w:tr>
        <w:tc>
          <w:tcPr>
            <w:tcW w:type="dxa" w:w="6626"/>
            <w:tcMar>
              <w:top w:type="dxa" w:w="95"/>
              <w:left w:type="dxa" w:w="130"/>
              <w:bottom w:type="dxa" w:w="95"/>
              <w:right w:type="dxa" w:w="130"/>
            </w:tcMar>
          </w:tcPr>
          <w:p>
            <w:pPr>
              <w:spacing w:after="0"/>
            </w:pPr>
            <w:r>
              <w:rPr>
                <w:rFonts w:ascii="Calibri" w:cs="Calibri" w:eastAsia="Calibri" w:hAnsi="Calibri"/>
                <w:color w:val="1B241F"/>
                <w:sz w:val="20"/>
                <w:szCs w:val="20"/>
              </w:rPr>
              <w:t xml:space="preserve">Communication Hub, including YouTube integration and the learning loop</w:t>
            </w:r>
          </w:p>
        </w:tc>
        <w:tc>
          <w:tcPr>
            <w:tcW w:type="dxa" w:w="2400"/>
            <w:tcMar>
              <w:top w:type="dxa" w:w="95"/>
              <w:left w:type="dxa" w:w="130"/>
              <w:bottom w:type="dxa" w:w="95"/>
              <w:right w:type="dxa" w:w="130"/>
            </w:tcMar>
          </w:tcPr>
          <w:p>
            <w:pPr>
              <w:spacing w:after="0"/>
              <w:jc w:val="right"/>
            </w:pPr>
            <w:r>
              <w:rPr>
                <w:rFonts w:ascii="Calibri" w:cs="Calibri" w:eastAsia="Calibri" w:hAnsi="Calibri"/>
                <w:color w:val="5C665F"/>
                <w:sz w:val="20"/>
                <w:szCs w:val="20"/>
              </w:rPr>
              <w:t xml:space="preserve">5 weeks</w:t>
            </w:r>
          </w:p>
        </w:tc>
      </w:tr>
      <w:tr>
        <w:tc>
          <w:tcPr>
            <w:tcW w:type="dxa" w:w="6626"/>
            <w:tcMar>
              <w:top w:type="dxa" w:w="95"/>
              <w:left w:type="dxa" w:w="130"/>
              <w:bottom w:type="dxa" w:w="95"/>
              <w:right w:type="dxa" w:w="130"/>
            </w:tcMar>
          </w:tcPr>
          <w:p>
            <w:pPr>
              <w:spacing w:after="0"/>
            </w:pPr>
            <w:r>
              <w:rPr>
                <w:rFonts w:ascii="Calibri" w:cs="Calibri" w:eastAsia="Calibri" w:hAnsi="Calibri"/>
                <w:color w:val="1B241F"/>
                <w:sz w:val="20"/>
                <w:szCs w:val="20"/>
              </w:rPr>
              <w:t xml:space="preserve">Sage, the AI coach</w:t>
            </w:r>
          </w:p>
        </w:tc>
        <w:tc>
          <w:tcPr>
            <w:tcW w:type="dxa" w:w="2400"/>
            <w:tcMar>
              <w:top w:type="dxa" w:w="95"/>
              <w:left w:type="dxa" w:w="130"/>
              <w:bottom w:type="dxa" w:w="95"/>
              <w:right w:type="dxa" w:w="130"/>
            </w:tcMar>
          </w:tcPr>
          <w:p>
            <w:pPr>
              <w:spacing w:after="0"/>
              <w:jc w:val="right"/>
            </w:pPr>
            <w:r>
              <w:rPr>
                <w:rFonts w:ascii="Calibri" w:cs="Calibri" w:eastAsia="Calibri" w:hAnsi="Calibri"/>
                <w:color w:val="5C665F"/>
                <w:sz w:val="20"/>
                <w:szCs w:val="20"/>
              </w:rPr>
              <w:t xml:space="preserve">3 weeks</w:t>
            </w:r>
          </w:p>
        </w:tc>
      </w:tr>
      <w:tr>
        <w:tc>
          <w:tcPr>
            <w:tcW w:type="dxa" w:w="6626"/>
            <w:tcMar>
              <w:top w:type="dxa" w:w="95"/>
              <w:left w:type="dxa" w:w="130"/>
              <w:bottom w:type="dxa" w:w="95"/>
              <w:right w:type="dxa" w:w="130"/>
            </w:tcMar>
          </w:tcPr>
          <w:p>
            <w:pPr>
              <w:spacing w:after="0"/>
            </w:pPr>
            <w:r>
              <w:rPr>
                <w:rFonts w:ascii="Calibri" w:cs="Calibri" w:eastAsia="Calibri" w:hAnsi="Calibri"/>
                <w:color w:val="1B241F"/>
                <w:sz w:val="20"/>
                <w:szCs w:val="20"/>
              </w:rPr>
              <w:t xml:space="preserve">Subscriptions, notifications, settings, export and delete</w:t>
            </w:r>
          </w:p>
        </w:tc>
        <w:tc>
          <w:tcPr>
            <w:tcW w:type="dxa" w:w="2400"/>
            <w:tcMar>
              <w:top w:type="dxa" w:w="95"/>
              <w:left w:type="dxa" w:w="130"/>
              <w:bottom w:type="dxa" w:w="95"/>
              <w:right w:type="dxa" w:w="130"/>
            </w:tcMar>
          </w:tcPr>
          <w:p>
            <w:pPr>
              <w:spacing w:after="0"/>
              <w:jc w:val="right"/>
            </w:pPr>
            <w:r>
              <w:rPr>
                <w:rFonts w:ascii="Calibri" w:cs="Calibri" w:eastAsia="Calibri" w:hAnsi="Calibri"/>
                <w:color w:val="5C665F"/>
                <w:sz w:val="20"/>
                <w:szCs w:val="20"/>
              </w:rPr>
              <w:t xml:space="preserve">1.5 weeks</w:t>
            </w:r>
          </w:p>
        </w:tc>
      </w:tr>
      <w:tr>
        <w:tc>
          <w:tcPr>
            <w:tcW w:type="dxa" w:w="6626"/>
            <w:tcMar>
              <w:top w:type="dxa" w:w="95"/>
              <w:left w:type="dxa" w:w="130"/>
              <w:bottom w:type="dxa" w:w="95"/>
              <w:right w:type="dxa" w:w="130"/>
            </w:tcMar>
          </w:tcPr>
          <w:p>
            <w:pPr>
              <w:spacing w:after="0"/>
            </w:pPr>
            <w:r>
              <w:rPr>
                <w:rFonts w:ascii="Calibri" w:cs="Calibri" w:eastAsia="Calibri" w:hAnsi="Calibri"/>
                <w:color w:val="1B241F"/>
                <w:sz w:val="20"/>
                <w:szCs w:val="20"/>
              </w:rPr>
              <w:t xml:space="preserve">Quality assurance, store submission, Google verification and YouTube compliance</w:t>
            </w:r>
          </w:p>
        </w:tc>
        <w:tc>
          <w:tcPr>
            <w:tcW w:type="dxa" w:w="2400"/>
            <w:tcMar>
              <w:top w:type="dxa" w:w="95"/>
              <w:left w:type="dxa" w:w="130"/>
              <w:bottom w:type="dxa" w:w="95"/>
              <w:right w:type="dxa" w:w="130"/>
            </w:tcMar>
          </w:tcPr>
          <w:p>
            <w:pPr>
              <w:spacing w:after="0"/>
              <w:jc w:val="right"/>
            </w:pPr>
            <w:r>
              <w:rPr>
                <w:rFonts w:ascii="Calibri" w:cs="Calibri" w:eastAsia="Calibri" w:hAnsi="Calibri"/>
                <w:color w:val="5C665F"/>
                <w:sz w:val="20"/>
                <w:szCs w:val="20"/>
              </w:rPr>
              <w:t xml:space="preserve">2 weeks</w:t>
            </w:r>
          </w:p>
        </w:tc>
      </w:tr>
      <w:tr>
        <w:tc>
          <w:tcPr>
            <w:tcW w:type="dxa" w:w="6626"/>
            <w:shd w:fill="2F6B4F" w:color="auto" w:val="clear"/>
            <w:tcMar>
              <w:top w:type="dxa" w:w="95"/>
              <w:left w:type="dxa" w:w="130"/>
              <w:bottom w:type="dxa" w:w="95"/>
              <w:right w:type="dxa" w:w="130"/>
            </w:tcMar>
          </w:tcPr>
          <w:p>
            <w:pPr>
              <w:spacing w:after="0"/>
            </w:pPr>
            <w:r>
              <w:rPr>
                <w:rFonts w:ascii="Calibri" w:cs="Calibri" w:eastAsia="Calibri" w:hAnsi="Calibri"/>
                <w:b/>
                <w:bCs/>
                <w:color w:val="FFFFFF"/>
                <w:sz w:val="20"/>
                <w:szCs w:val="20"/>
              </w:rPr>
              <w:t xml:space="preserve">Phase 1, complete</w:t>
            </w:r>
          </w:p>
        </w:tc>
        <w:tc>
          <w:tcPr>
            <w:tcW w:type="dxa" w:w="2400"/>
            <w:shd w:fill="2F6B4F" w:color="auto" w:val="clear"/>
            <w:tcMar>
              <w:top w:type="dxa" w:w="95"/>
              <w:left w:type="dxa" w:w="130"/>
              <w:bottom w:type="dxa" w:w="95"/>
              <w:right w:type="dxa" w:w="130"/>
            </w:tcMar>
          </w:tcPr>
          <w:p>
            <w:pPr>
              <w:spacing w:after="0"/>
              <w:jc w:val="right"/>
            </w:pPr>
            <w:r>
              <w:rPr>
                <w:rFonts w:ascii="Calibri" w:cs="Calibri" w:eastAsia="Calibri" w:hAnsi="Calibri"/>
                <w:b/>
                <w:bCs/>
                <w:color w:val="FFFFFF"/>
                <w:sz w:val="24"/>
                <w:szCs w:val="24"/>
              </w:rPr>
              <w:t xml:space="preserve">$26,000</w:t>
            </w:r>
          </w:p>
        </w:tc>
      </w:tr>
    </w:tbl>
    <w:p>
      <w:pPr>
        <w:spacing w:after="130" w:before="160"/>
      </w:pPr>
      <w:r>
        <w:rPr>
          <w:rFonts w:ascii="Calibri" w:cs="Calibri" w:eastAsia="Calibri" w:hAnsi="Calibri"/>
          <w:b/>
          <w:bCs/>
          <w:color w:val="1B241F"/>
          <w:sz w:val="21"/>
          <w:szCs w:val="21"/>
        </w:rPr>
        <w:t xml:space="preserve">What the fee covers. </w:t>
      </w:r>
      <w:r>
        <w:rPr>
          <w:rFonts w:ascii="Calibri" w:cs="Calibri" w:eastAsia="Calibri" w:hAnsi="Calibri"/>
          <w:color w:val="1B241F"/>
          <w:sz w:val="21"/>
          <w:szCs w:val="21"/>
        </w:rPr>
        <w:t xml:space="preserve">User experience and interface design, backend and mobile engineering, the AI integration and learning pipeline, quality assurance on both platforms, project management, infrastructure set-up, the Google and YouTube approval filings, and store submission. It is one blended fee for the whole team, not an engineering rate with everything else charged separately.</w:t>
      </w:r>
    </w:p>
    <w:p>
      <w:pPr>
        <w:spacing w:after="130" w:before="0"/>
      </w:pPr>
      <w:r>
        <w:rPr>
          <w:rFonts w:ascii="Calibri" w:cs="Calibri" w:eastAsia="Calibri" w:hAnsi="Calibri"/>
          <w:b/>
          <w:bCs/>
          <w:color w:val="1B241F"/>
          <w:sz w:val="21"/>
          <w:szCs w:val="21"/>
        </w:rPr>
        <w:t xml:space="preserve">Effort. </w:t>
      </w:r>
      <w:r>
        <w:rPr>
          <w:rFonts w:ascii="Calibri" w:cs="Calibri" w:eastAsia="Calibri" w:hAnsi="Calibri"/>
          <w:color w:val="1B241F"/>
          <w:sz w:val="21"/>
          <w:szCs w:val="21"/>
        </w:rPr>
        <w:t xml:space="preserve">The workstreams above total 19.5 developer-weeks. Delivered by a project manager, a designer, two engineers and a tester working in parallel, that is fourteen to sixteen calendar weeks.</w:t>
      </w:r>
    </w:p>
    <w:p>
      <w:pPr>
        <w:pStyle w:val="Heading1"/>
        <w:spacing w:after="150" w:before="340"/>
      </w:pPr>
      <w:r>
        <w:rPr>
          <w:rFonts w:ascii="Calibri" w:cs="Calibri" w:eastAsia="Calibri" w:hAnsi="Calibri"/>
          <w:b/>
          <w:bCs/>
          <w:color w:val="2F6B4F"/>
          <w:sz w:val="29"/>
          <w:szCs w:val="29"/>
        </w:rPr>
        <w:t xml:space="preserve">5.  Indicative timeline</w:t>
      </w:r>
    </w:p>
    <w:tbl>
      <w:tblPr>
        <w:tblW w:type="dxa" w:w="9026"/>
        <w:tblBorders>
          <w:top w:val="single" w:color="DCE3DD" w:sz="4"/>
          <w:left w:val="single" w:color="DCE3DD" w:sz="4"/>
          <w:bottom w:val="single" w:color="DCE3DD" w:sz="4"/>
          <w:right w:val="single" w:color="DCE3DD" w:sz="4"/>
          <w:insideH w:val="single" w:color="DCE3DD" w:sz="4"/>
          <w:insideV w:val="single" w:color="DCE3DD" w:sz="4"/>
        </w:tblBorders>
      </w:tblPr>
      <w:tblGrid>
        <w:gridCol w:w="1200"/>
        <w:gridCol w:w="4500"/>
        <w:gridCol w:w="1663"/>
        <w:gridCol w:w="1663"/>
      </w:tblGrid>
      <w:tr>
        <w:trPr>
          <w:tblHeader/>
        </w:trPr>
        <w:tc>
          <w:tcPr>
            <w:tcW w:type="dxa" w:w="1200"/>
            <w:shd w:fill="2F6B4F"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Stage</w:t>
            </w:r>
          </w:p>
        </w:tc>
        <w:tc>
          <w:tcPr>
            <w:tcW w:type="dxa" w:w="4500"/>
            <w:shd w:fill="2F6B4F"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Work</w:t>
            </w:r>
          </w:p>
        </w:tc>
        <w:tc>
          <w:tcPr>
            <w:tcW w:type="dxa" w:w="1663"/>
            <w:shd w:fill="2F6B4F"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Duration</w:t>
            </w:r>
          </w:p>
        </w:tc>
        <w:tc>
          <w:tcPr>
            <w:tcW w:type="dxa" w:w="1663"/>
            <w:shd w:fill="2F6B4F"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Cumulative</w:t>
            </w:r>
          </w:p>
        </w:tc>
      </w:tr>
      <w:tr>
        <w:tc>
          <w:tcPr>
            <w:tcW w:type="dxa" w:w="1200"/>
            <w:tcMar>
              <w:top w:type="dxa" w:w="95"/>
              <w:left w:type="dxa" w:w="130"/>
              <w:bottom w:type="dxa" w:w="95"/>
              <w:right w:type="dxa" w:w="130"/>
            </w:tcMar>
          </w:tcPr>
          <w:p>
            <w:pPr>
              <w:spacing w:after="0"/>
            </w:pPr>
            <w:r>
              <w:rPr>
                <w:rFonts w:ascii="Calibri" w:cs="Calibri" w:eastAsia="Calibri" w:hAnsi="Calibri"/>
                <w:b/>
                <w:bCs/>
                <w:color w:val="1B241F"/>
                <w:sz w:val="20"/>
                <w:szCs w:val="20"/>
              </w:rPr>
              <w:t xml:space="preserve">1</w:t>
            </w:r>
          </w:p>
        </w:tc>
        <w:tc>
          <w:tcPr>
            <w:tcW w:type="dxa" w:w="4500"/>
            <w:tcMar>
              <w:top w:type="dxa" w:w="95"/>
              <w:left w:type="dxa" w:w="130"/>
              <w:bottom w:type="dxa" w:w="95"/>
              <w:right w:type="dxa" w:w="130"/>
            </w:tcMar>
          </w:tcPr>
          <w:p>
            <w:pPr>
              <w:spacing w:after="0"/>
            </w:pPr>
            <w:r>
              <w:rPr>
                <w:rFonts w:ascii="Calibri" w:cs="Calibri" w:eastAsia="Calibri" w:hAnsi="Calibri"/>
                <w:color w:val="1B241F"/>
                <w:sz w:val="20"/>
                <w:szCs w:val="20"/>
              </w:rPr>
              <w:t xml:space="preserve">Kickoff, refinement of the design sample into final screens, and sign-off</w:t>
            </w:r>
          </w:p>
        </w:tc>
        <w:tc>
          <w:tcPr>
            <w:tcW w:type="dxa" w:w="1663"/>
            <w:tcMar>
              <w:top w:type="dxa" w:w="95"/>
              <w:left w:type="dxa" w:w="130"/>
              <w:bottom w:type="dxa" w:w="95"/>
              <w:right w:type="dxa" w:w="130"/>
            </w:tcMar>
          </w:tcPr>
          <w:p>
            <w:pPr>
              <w:spacing w:after="0"/>
            </w:pPr>
            <w:r>
              <w:rPr>
                <w:rFonts w:ascii="Calibri" w:cs="Calibri" w:eastAsia="Calibri" w:hAnsi="Calibri"/>
                <w:color w:val="1B241F"/>
                <w:sz w:val="20"/>
                <w:szCs w:val="20"/>
              </w:rPr>
              <w:t xml:space="preserve">2 weeks</w:t>
            </w:r>
          </w:p>
        </w:tc>
        <w:tc>
          <w:tcPr>
            <w:tcW w:type="dxa" w:w="1663"/>
            <w:tcMar>
              <w:top w:type="dxa" w:w="95"/>
              <w:left w:type="dxa" w:w="130"/>
              <w:bottom w:type="dxa" w:w="95"/>
              <w:right w:type="dxa" w:w="130"/>
            </w:tcMar>
          </w:tcPr>
          <w:p>
            <w:pPr>
              <w:spacing w:after="0"/>
            </w:pPr>
            <w:r>
              <w:rPr>
                <w:rFonts w:ascii="Calibri" w:cs="Calibri" w:eastAsia="Calibri" w:hAnsi="Calibri"/>
                <w:color w:val="5C665F"/>
                <w:sz w:val="20"/>
                <w:szCs w:val="20"/>
              </w:rPr>
              <w:t xml:space="preserve">Week 2</w:t>
            </w:r>
          </w:p>
        </w:tc>
      </w:tr>
      <w:tr>
        <w:tc>
          <w:tcPr>
            <w:tcW w:type="dxa" w:w="1200"/>
            <w:tcMar>
              <w:top w:type="dxa" w:w="95"/>
              <w:left w:type="dxa" w:w="130"/>
              <w:bottom w:type="dxa" w:w="95"/>
              <w:right w:type="dxa" w:w="130"/>
            </w:tcMar>
          </w:tcPr>
          <w:p>
            <w:pPr>
              <w:spacing w:after="0"/>
            </w:pPr>
            <w:r>
              <w:rPr>
                <w:rFonts w:ascii="Calibri" w:cs="Calibri" w:eastAsia="Calibri" w:hAnsi="Calibri"/>
                <w:b/>
                <w:bCs/>
                <w:color w:val="1B241F"/>
                <w:sz w:val="20"/>
                <w:szCs w:val="20"/>
              </w:rPr>
              <w:t xml:space="preserve">2</w:t>
            </w:r>
          </w:p>
        </w:tc>
        <w:tc>
          <w:tcPr>
            <w:tcW w:type="dxa" w:w="4500"/>
            <w:tcMar>
              <w:top w:type="dxa" w:w="95"/>
              <w:left w:type="dxa" w:w="130"/>
              <w:bottom w:type="dxa" w:w="95"/>
              <w:right w:type="dxa" w:w="130"/>
            </w:tcMar>
          </w:tcPr>
          <w:p>
            <w:pPr>
              <w:spacing w:after="0"/>
            </w:pPr>
            <w:r>
              <w:rPr>
                <w:rFonts w:ascii="Calibri" w:cs="Calibri" w:eastAsia="Calibri" w:hAnsi="Calibri"/>
                <w:color w:val="1B241F"/>
                <w:sz w:val="20"/>
                <w:szCs w:val="20"/>
              </w:rPr>
              <w:t xml:space="preserve">Foundation: accounts, the personal brain, backend, AI integration</w:t>
            </w:r>
          </w:p>
        </w:tc>
        <w:tc>
          <w:tcPr>
            <w:tcW w:type="dxa" w:w="1663"/>
            <w:tcMar>
              <w:top w:type="dxa" w:w="95"/>
              <w:left w:type="dxa" w:w="130"/>
              <w:bottom w:type="dxa" w:w="95"/>
              <w:right w:type="dxa" w:w="130"/>
            </w:tcMar>
          </w:tcPr>
          <w:p>
            <w:pPr>
              <w:spacing w:after="0"/>
            </w:pPr>
            <w:r>
              <w:rPr>
                <w:rFonts w:ascii="Calibri" w:cs="Calibri" w:eastAsia="Calibri" w:hAnsi="Calibri"/>
                <w:color w:val="1B241F"/>
                <w:sz w:val="20"/>
                <w:szCs w:val="20"/>
              </w:rPr>
              <w:t xml:space="preserve">3 weeks</w:t>
            </w:r>
          </w:p>
        </w:tc>
        <w:tc>
          <w:tcPr>
            <w:tcW w:type="dxa" w:w="1663"/>
            <w:tcMar>
              <w:top w:type="dxa" w:w="95"/>
              <w:left w:type="dxa" w:w="130"/>
              <w:bottom w:type="dxa" w:w="95"/>
              <w:right w:type="dxa" w:w="130"/>
            </w:tcMar>
          </w:tcPr>
          <w:p>
            <w:pPr>
              <w:spacing w:after="0"/>
            </w:pPr>
            <w:r>
              <w:rPr>
                <w:rFonts w:ascii="Calibri" w:cs="Calibri" w:eastAsia="Calibri" w:hAnsi="Calibri"/>
                <w:color w:val="5C665F"/>
                <w:sz w:val="20"/>
                <w:szCs w:val="20"/>
              </w:rPr>
              <w:t xml:space="preserve">Week 5</w:t>
            </w:r>
          </w:p>
        </w:tc>
      </w:tr>
      <w:tr>
        <w:tc>
          <w:tcPr>
            <w:tcW w:type="dxa" w:w="1200"/>
            <w:tcMar>
              <w:top w:type="dxa" w:w="95"/>
              <w:left w:type="dxa" w:w="130"/>
              <w:bottom w:type="dxa" w:w="95"/>
              <w:right w:type="dxa" w:w="130"/>
            </w:tcMar>
          </w:tcPr>
          <w:p>
            <w:pPr>
              <w:spacing w:after="0"/>
            </w:pPr>
            <w:r>
              <w:rPr>
                <w:rFonts w:ascii="Calibri" w:cs="Calibri" w:eastAsia="Calibri" w:hAnsi="Calibri"/>
                <w:b/>
                <w:bCs/>
                <w:color w:val="1B241F"/>
                <w:sz w:val="20"/>
                <w:szCs w:val="20"/>
              </w:rPr>
              <w:t xml:space="preserve">3</w:t>
            </w:r>
          </w:p>
        </w:tc>
        <w:tc>
          <w:tcPr>
            <w:tcW w:type="dxa" w:w="4500"/>
            <w:tcMar>
              <w:top w:type="dxa" w:w="95"/>
              <w:left w:type="dxa" w:w="130"/>
              <w:bottom w:type="dxa" w:w="95"/>
              <w:right w:type="dxa" w:w="130"/>
            </w:tcMar>
          </w:tcPr>
          <w:p>
            <w:pPr>
              <w:spacing w:after="0"/>
            </w:pPr>
            <w:r>
              <w:rPr>
                <w:rFonts w:ascii="Calibri" w:cs="Calibri" w:eastAsia="Calibri" w:hAnsi="Calibri"/>
                <w:color w:val="1B241F"/>
                <w:sz w:val="20"/>
                <w:szCs w:val="20"/>
              </w:rPr>
              <w:t xml:space="preserve">Mood Journal, Fuel and the Communication Hub</w:t>
            </w:r>
          </w:p>
        </w:tc>
        <w:tc>
          <w:tcPr>
            <w:tcW w:type="dxa" w:w="1663"/>
            <w:tcMar>
              <w:top w:type="dxa" w:w="95"/>
              <w:left w:type="dxa" w:w="130"/>
              <w:bottom w:type="dxa" w:w="95"/>
              <w:right w:type="dxa" w:w="130"/>
            </w:tcMar>
          </w:tcPr>
          <w:p>
            <w:pPr>
              <w:spacing w:after="0"/>
            </w:pPr>
            <w:r>
              <w:rPr>
                <w:rFonts w:ascii="Calibri" w:cs="Calibri" w:eastAsia="Calibri" w:hAnsi="Calibri"/>
                <w:color w:val="1B241F"/>
                <w:sz w:val="20"/>
                <w:szCs w:val="20"/>
              </w:rPr>
              <w:t xml:space="preserve">6 weeks</w:t>
            </w:r>
          </w:p>
        </w:tc>
        <w:tc>
          <w:tcPr>
            <w:tcW w:type="dxa" w:w="1663"/>
            <w:tcMar>
              <w:top w:type="dxa" w:w="95"/>
              <w:left w:type="dxa" w:w="130"/>
              <w:bottom w:type="dxa" w:w="95"/>
              <w:right w:type="dxa" w:w="130"/>
            </w:tcMar>
          </w:tcPr>
          <w:p>
            <w:pPr>
              <w:spacing w:after="0"/>
            </w:pPr>
            <w:r>
              <w:rPr>
                <w:rFonts w:ascii="Calibri" w:cs="Calibri" w:eastAsia="Calibri" w:hAnsi="Calibri"/>
                <w:color w:val="5C665F"/>
                <w:sz w:val="20"/>
                <w:szCs w:val="20"/>
              </w:rPr>
              <w:t xml:space="preserve">Week 11</w:t>
            </w:r>
          </w:p>
        </w:tc>
      </w:tr>
      <w:tr>
        <w:tc>
          <w:tcPr>
            <w:tcW w:type="dxa" w:w="1200"/>
            <w:tcMar>
              <w:top w:type="dxa" w:w="95"/>
              <w:left w:type="dxa" w:w="130"/>
              <w:bottom w:type="dxa" w:w="95"/>
              <w:right w:type="dxa" w:w="130"/>
            </w:tcMar>
          </w:tcPr>
          <w:p>
            <w:pPr>
              <w:spacing w:after="0"/>
            </w:pPr>
            <w:r>
              <w:rPr>
                <w:rFonts w:ascii="Calibri" w:cs="Calibri" w:eastAsia="Calibri" w:hAnsi="Calibri"/>
                <w:b/>
                <w:bCs/>
                <w:color w:val="1B241F"/>
                <w:sz w:val="20"/>
                <w:szCs w:val="20"/>
              </w:rPr>
              <w:t xml:space="preserve">4</w:t>
            </w:r>
          </w:p>
        </w:tc>
        <w:tc>
          <w:tcPr>
            <w:tcW w:type="dxa" w:w="4500"/>
            <w:tcMar>
              <w:top w:type="dxa" w:w="95"/>
              <w:left w:type="dxa" w:w="130"/>
              <w:bottom w:type="dxa" w:w="95"/>
              <w:right w:type="dxa" w:w="130"/>
            </w:tcMar>
          </w:tcPr>
          <w:p>
            <w:pPr>
              <w:spacing w:after="0"/>
            </w:pPr>
            <w:r>
              <w:rPr>
                <w:rFonts w:ascii="Calibri" w:cs="Calibri" w:eastAsia="Calibri" w:hAnsi="Calibri"/>
                <w:color w:val="1B241F"/>
                <w:sz w:val="20"/>
                <w:szCs w:val="20"/>
              </w:rPr>
              <w:t xml:space="preserve">Sage, subscriptions, notifications, and a beta build to you</w:t>
            </w:r>
          </w:p>
        </w:tc>
        <w:tc>
          <w:tcPr>
            <w:tcW w:type="dxa" w:w="1663"/>
            <w:tcMar>
              <w:top w:type="dxa" w:w="95"/>
              <w:left w:type="dxa" w:w="130"/>
              <w:bottom w:type="dxa" w:w="95"/>
              <w:right w:type="dxa" w:w="130"/>
            </w:tcMar>
          </w:tcPr>
          <w:p>
            <w:pPr>
              <w:spacing w:after="0"/>
            </w:pPr>
            <w:r>
              <w:rPr>
                <w:rFonts w:ascii="Calibri" w:cs="Calibri" w:eastAsia="Calibri" w:hAnsi="Calibri"/>
                <w:color w:val="1B241F"/>
                <w:sz w:val="20"/>
                <w:szCs w:val="20"/>
              </w:rPr>
              <w:t xml:space="preserve">2 weeks</w:t>
            </w:r>
          </w:p>
        </w:tc>
        <w:tc>
          <w:tcPr>
            <w:tcW w:type="dxa" w:w="1663"/>
            <w:tcMar>
              <w:top w:type="dxa" w:w="95"/>
              <w:left w:type="dxa" w:w="130"/>
              <w:bottom w:type="dxa" w:w="95"/>
              <w:right w:type="dxa" w:w="130"/>
            </w:tcMar>
          </w:tcPr>
          <w:p>
            <w:pPr>
              <w:spacing w:after="0"/>
            </w:pPr>
            <w:r>
              <w:rPr>
                <w:rFonts w:ascii="Calibri" w:cs="Calibri" w:eastAsia="Calibri" w:hAnsi="Calibri"/>
                <w:color w:val="5C665F"/>
                <w:sz w:val="20"/>
                <w:szCs w:val="20"/>
              </w:rPr>
              <w:t xml:space="preserve">Week 13</w:t>
            </w:r>
          </w:p>
        </w:tc>
      </w:tr>
      <w:tr>
        <w:tc>
          <w:tcPr>
            <w:tcW w:type="dxa" w:w="1200"/>
            <w:tcMar>
              <w:top w:type="dxa" w:w="95"/>
              <w:left w:type="dxa" w:w="130"/>
              <w:bottom w:type="dxa" w:w="95"/>
              <w:right w:type="dxa" w:w="130"/>
            </w:tcMar>
          </w:tcPr>
          <w:p>
            <w:pPr>
              <w:spacing w:after="0"/>
            </w:pPr>
            <w:r>
              <w:rPr>
                <w:rFonts w:ascii="Calibri" w:cs="Calibri" w:eastAsia="Calibri" w:hAnsi="Calibri"/>
                <w:b/>
                <w:bCs/>
                <w:color w:val="1B241F"/>
                <w:sz w:val="20"/>
                <w:szCs w:val="20"/>
              </w:rPr>
              <w:t xml:space="preserve">5</w:t>
            </w:r>
          </w:p>
        </w:tc>
        <w:tc>
          <w:tcPr>
            <w:tcW w:type="dxa" w:w="4500"/>
            <w:tcMar>
              <w:top w:type="dxa" w:w="95"/>
              <w:left w:type="dxa" w:w="130"/>
              <w:bottom w:type="dxa" w:w="95"/>
              <w:right w:type="dxa" w:w="130"/>
            </w:tcMar>
          </w:tcPr>
          <w:p>
            <w:pPr>
              <w:spacing w:after="0"/>
            </w:pPr>
            <w:r>
              <w:rPr>
                <w:rFonts w:ascii="Calibri" w:cs="Calibri" w:eastAsia="Calibri" w:hAnsi="Calibri"/>
                <w:color w:val="1B241F"/>
                <w:sz w:val="20"/>
                <w:szCs w:val="20"/>
              </w:rPr>
              <w:t xml:space="preserve">Your acceptance testing, corrections, store submission and go-live</w:t>
            </w:r>
          </w:p>
        </w:tc>
        <w:tc>
          <w:tcPr>
            <w:tcW w:type="dxa" w:w="1663"/>
            <w:tcMar>
              <w:top w:type="dxa" w:w="95"/>
              <w:left w:type="dxa" w:w="130"/>
              <w:bottom w:type="dxa" w:w="95"/>
              <w:right w:type="dxa" w:w="130"/>
            </w:tcMar>
          </w:tcPr>
          <w:p>
            <w:pPr>
              <w:spacing w:after="0"/>
            </w:pPr>
            <w:r>
              <w:rPr>
                <w:rFonts w:ascii="Calibri" w:cs="Calibri" w:eastAsia="Calibri" w:hAnsi="Calibri"/>
                <w:color w:val="1B241F"/>
                <w:sz w:val="20"/>
                <w:szCs w:val="20"/>
              </w:rPr>
              <w:t xml:space="preserve">2 to 3 weeks</w:t>
            </w:r>
          </w:p>
        </w:tc>
        <w:tc>
          <w:tcPr>
            <w:tcW w:type="dxa" w:w="1663"/>
            <w:tcMar>
              <w:top w:type="dxa" w:w="95"/>
              <w:left w:type="dxa" w:w="130"/>
              <w:bottom w:type="dxa" w:w="95"/>
              <w:right w:type="dxa" w:w="130"/>
            </w:tcMar>
          </w:tcPr>
          <w:p>
            <w:pPr>
              <w:spacing w:after="0"/>
            </w:pPr>
            <w:r>
              <w:rPr>
                <w:rFonts w:ascii="Calibri" w:cs="Calibri" w:eastAsia="Calibri" w:hAnsi="Calibri"/>
                <w:color w:val="5C665F"/>
                <w:sz w:val="20"/>
                <w:szCs w:val="20"/>
              </w:rPr>
              <w:t xml:space="preserve">Week 15 to 16</w:t>
            </w:r>
          </w:p>
        </w:tc>
      </w:tr>
      <w:tr>
        <w:tc>
          <w:tcPr>
            <w:tcW w:type="dxa" w:w="1200"/>
            <w:shd w:fill="2F6B4F" w:color="auto" w:val="clear"/>
            <w:tcMar>
              <w:top w:type="dxa" w:w="95"/>
              <w:left w:type="dxa" w:w="130"/>
              <w:bottom w:type="dxa" w:w="95"/>
              <w:right w:type="dxa" w:w="130"/>
            </w:tcMar>
          </w:tcPr>
          <w:p>
            <w:pPr>
              <w:spacing w:after="0"/>
            </w:pPr>
            <w:r>
              <w:rPr>
                <w:rFonts w:ascii="Calibri" w:cs="Calibri" w:eastAsia="Calibri" w:hAnsi="Calibri"/>
                <w:color w:val="1B241F"/>
                <w:sz w:val="20"/>
                <w:szCs w:val="20"/>
              </w:rPr>
              <w:t xml:space="preserve"/>
            </w:r>
          </w:p>
        </w:tc>
        <w:tc>
          <w:tcPr>
            <w:tcW w:type="dxa" w:w="4500"/>
            <w:shd w:fill="2F6B4F" w:color="auto" w:val="clear"/>
            <w:tcMar>
              <w:top w:type="dxa" w:w="95"/>
              <w:left w:type="dxa" w:w="130"/>
              <w:bottom w:type="dxa" w:w="95"/>
              <w:right w:type="dxa" w:w="130"/>
            </w:tcMar>
          </w:tcPr>
          <w:p>
            <w:pPr>
              <w:spacing w:after="0"/>
            </w:pPr>
            <w:r>
              <w:rPr>
                <w:rFonts w:ascii="Calibri" w:cs="Calibri" w:eastAsia="Calibri" w:hAnsi="Calibri"/>
                <w:b/>
                <w:bCs/>
                <w:color w:val="FFFFFF"/>
                <w:sz w:val="20"/>
                <w:szCs w:val="20"/>
              </w:rPr>
              <w:t xml:space="preserve">Phase 1, idea to app store</w:t>
            </w:r>
          </w:p>
        </w:tc>
        <w:tc>
          <w:tcPr>
            <w:tcW w:type="dxa" w:w="1663"/>
            <w:shd w:fill="2F6B4F" w:color="auto" w:val="clear"/>
            <w:tcMar>
              <w:top w:type="dxa" w:w="95"/>
              <w:left w:type="dxa" w:w="130"/>
              <w:bottom w:type="dxa" w:w="95"/>
              <w:right w:type="dxa" w:w="130"/>
            </w:tcMar>
          </w:tcPr>
          <w:p>
            <w:pPr>
              <w:spacing w:after="0"/>
            </w:pPr>
            <w:r>
              <w:rPr>
                <w:rFonts w:ascii="Calibri" w:cs="Calibri" w:eastAsia="Calibri" w:hAnsi="Calibri"/>
                <w:b/>
                <w:bCs/>
                <w:color w:val="FFFFFF"/>
                <w:sz w:val="20"/>
                <w:szCs w:val="20"/>
              </w:rPr>
              <w:t xml:space="preserve">14 to 16 weeks</w:t>
            </w:r>
          </w:p>
        </w:tc>
        <w:tc>
          <w:tcPr>
            <w:tcW w:type="dxa" w:w="1663"/>
            <w:shd w:fill="2F6B4F" w:color="auto" w:val="clear"/>
            <w:tcMar>
              <w:top w:type="dxa" w:w="95"/>
              <w:left w:type="dxa" w:w="130"/>
              <w:bottom w:type="dxa" w:w="95"/>
              <w:right w:type="dxa" w:w="130"/>
            </w:tcMar>
          </w:tcPr>
          <w:p>
            <w:pPr>
              <w:spacing w:after="0"/>
            </w:pPr>
            <w:r>
              <w:rPr>
                <w:rFonts w:ascii="Calibri" w:cs="Calibri" w:eastAsia="Calibri" w:hAnsi="Calibri"/>
                <w:color w:val="1B241F"/>
                <w:sz w:val="20"/>
                <w:szCs w:val="20"/>
              </w:rPr>
              <w:t xml:space="preserve"/>
            </w:r>
          </w:p>
        </w:tc>
      </w:tr>
    </w:tbl>
    <w:p>
      <w:pPr>
        <w:spacing w:after="130" w:before="130"/>
      </w:pPr>
      <w:r>
        <w:rPr>
          <w:rFonts w:ascii="Calibri" w:cs="Calibri" w:eastAsia="Calibri" w:hAnsi="Calibri"/>
          <w:color w:val="1B241F"/>
          <w:sz w:val="21"/>
          <w:szCs w:val="21"/>
        </w:rPr>
        <w:t xml:space="preserve">The Google OAuth verification and YouTube compliance filings are made in Stage 2 so that their review runs in parallel with the build rather than after it.</w:t>
      </w:r>
    </w:p>
    <w:p>
      <w:pPr>
        <w:pStyle w:val="Heading1"/>
        <w:pageBreakBefore/>
        <w:spacing w:after="150"/>
      </w:pPr>
      <w:r>
        <w:rPr>
          <w:rFonts w:ascii="Calibri" w:cs="Calibri" w:eastAsia="Calibri" w:hAnsi="Calibri"/>
          <w:b/>
          <w:bCs/>
          <w:color w:val="2F6B4F"/>
          <w:sz w:val="29"/>
          <w:szCs w:val="29"/>
        </w:rPr>
        <w:t xml:space="preserve">6.  Payment terms</w:t>
      </w:r>
    </w:p>
    <w:p>
      <w:pPr>
        <w:spacing w:after="130" w:before="0"/>
      </w:pPr>
      <w:r>
        <w:rPr>
          <w:rFonts w:ascii="Calibri" w:cs="Calibri" w:eastAsia="Calibri" w:hAnsi="Calibri"/>
          <w:color w:val="1B241F"/>
          <w:sz w:val="21"/>
          <w:szCs w:val="21"/>
        </w:rPr>
        <w:t xml:space="preserve">Payments are milestone-based, in the ratio 30 : 30 : 30 : 10.</w:t>
      </w:r>
    </w:p>
    <w:tbl>
      <w:tblPr>
        <w:tblW w:type="dxa" w:w="9026"/>
        <w:tblBorders>
          <w:top w:val="single" w:color="DCE3DD" w:sz="4"/>
          <w:left w:val="single" w:color="DCE3DD" w:sz="4"/>
          <w:bottom w:val="single" w:color="DCE3DD" w:sz="4"/>
          <w:right w:val="single" w:color="DCE3DD" w:sz="4"/>
          <w:insideH w:val="single" w:color="DCE3DD" w:sz="4"/>
          <w:insideV w:val="single" w:color="DCE3DD" w:sz="4"/>
        </w:tblBorders>
      </w:tblPr>
      <w:tblGrid>
        <w:gridCol w:w="5000"/>
        <w:gridCol w:w="1400"/>
        <w:gridCol w:w="2626"/>
      </w:tblGrid>
      <w:tr>
        <w:trPr>
          <w:tblHeader/>
        </w:trPr>
        <w:tc>
          <w:tcPr>
            <w:tcW w:type="dxa" w:w="5000"/>
            <w:shd w:fill="2F6B4F"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Milestone</w:t>
            </w:r>
          </w:p>
        </w:tc>
        <w:tc>
          <w:tcPr>
            <w:tcW w:type="dxa" w:w="1400"/>
            <w:shd w:fill="2F6B4F" w:color="auto" w:val="clear"/>
            <w:tcMar>
              <w:top w:type="dxa" w:w="95"/>
              <w:left w:type="dxa" w:w="130"/>
              <w:bottom w:type="dxa" w:w="95"/>
              <w:right w:type="dxa" w:w="130"/>
            </w:tcMar>
          </w:tcPr>
          <w:p>
            <w:pPr>
              <w:spacing w:after="0"/>
              <w:jc w:val="center"/>
            </w:pPr>
            <w:r>
              <w:rPr>
                <w:rFonts w:ascii="Calibri" w:cs="Calibri" w:eastAsia="Calibri" w:hAnsi="Calibri"/>
                <w:b/>
                <w:bCs/>
                <w:color w:val="FFFFFF"/>
                <w:sz w:val="19"/>
                <w:szCs w:val="19"/>
              </w:rPr>
              <w:t xml:space="preserve">Share</w:t>
            </w:r>
          </w:p>
        </w:tc>
        <w:tc>
          <w:tcPr>
            <w:tcW w:type="dxa" w:w="2626"/>
            <w:shd w:fill="2F6B4F" w:color="auto" w:val="clear"/>
            <w:tcMar>
              <w:top w:type="dxa" w:w="95"/>
              <w:left w:type="dxa" w:w="130"/>
              <w:bottom w:type="dxa" w:w="95"/>
              <w:right w:type="dxa" w:w="130"/>
            </w:tcMar>
          </w:tcPr>
          <w:p>
            <w:pPr>
              <w:spacing w:after="0"/>
              <w:jc w:val="right"/>
            </w:pPr>
            <w:r>
              <w:rPr>
                <w:rFonts w:ascii="Calibri" w:cs="Calibri" w:eastAsia="Calibri" w:hAnsi="Calibri"/>
                <w:b/>
                <w:bCs/>
                <w:color w:val="FFFFFF"/>
                <w:sz w:val="19"/>
                <w:szCs w:val="19"/>
              </w:rPr>
              <w:t xml:space="preserve">Amount</w:t>
            </w:r>
          </w:p>
        </w:tc>
      </w:tr>
      <w:tr>
        <w:tc>
          <w:tcPr>
            <w:tcW w:type="dxa" w:w="5000"/>
            <w:tcMar>
              <w:top w:type="dxa" w:w="95"/>
              <w:left w:type="dxa" w:w="130"/>
              <w:bottom w:type="dxa" w:w="95"/>
              <w:right w:type="dxa" w:w="130"/>
            </w:tcMar>
          </w:tcPr>
          <w:p>
            <w:pPr>
              <w:spacing w:after="0"/>
            </w:pPr>
            <w:r>
              <w:rPr>
                <w:rFonts w:ascii="Calibri" w:cs="Calibri" w:eastAsia="Calibri" w:hAnsi="Calibri"/>
                <w:color w:val="1B241F"/>
                <w:sz w:val="20"/>
                <w:szCs w:val="20"/>
              </w:rPr>
              <w:t xml:space="preserve">On signing, to commence work</w:t>
            </w:r>
          </w:p>
        </w:tc>
        <w:tc>
          <w:tcPr>
            <w:tcW w:type="dxa" w:w="1400"/>
            <w:tcMar>
              <w:top w:type="dxa" w:w="95"/>
              <w:left w:type="dxa" w:w="130"/>
              <w:bottom w:type="dxa" w:w="95"/>
              <w:right w:type="dxa" w:w="130"/>
            </w:tcMar>
          </w:tcPr>
          <w:p>
            <w:pPr>
              <w:spacing w:after="0"/>
              <w:jc w:val="center"/>
            </w:pPr>
            <w:r>
              <w:rPr>
                <w:rFonts w:ascii="Calibri" w:cs="Calibri" w:eastAsia="Calibri" w:hAnsi="Calibri"/>
                <w:color w:val="1B241F"/>
                <w:sz w:val="20"/>
                <w:szCs w:val="20"/>
              </w:rPr>
              <w:t xml:space="preserve">30%</w:t>
            </w:r>
          </w:p>
        </w:tc>
        <w:tc>
          <w:tcPr>
            <w:tcW w:type="dxa" w:w="2626"/>
            <w:shd w:fill="FBF3E1" w:color="auto" w:val="clear"/>
            <w:tcMar>
              <w:top w:type="dxa" w:w="95"/>
              <w:left w:type="dxa" w:w="130"/>
              <w:bottom w:type="dxa" w:w="95"/>
              <w:right w:type="dxa" w:w="130"/>
            </w:tcMar>
          </w:tcPr>
          <w:p>
            <w:pPr>
              <w:spacing w:after="0"/>
              <w:jc w:val="right"/>
            </w:pPr>
            <w:r>
              <w:rPr>
                <w:rFonts w:ascii="Calibri" w:cs="Calibri" w:eastAsia="Calibri" w:hAnsi="Calibri"/>
                <w:b/>
                <w:bCs/>
                <w:color w:val="1B241F"/>
                <w:sz w:val="20"/>
                <w:szCs w:val="20"/>
              </w:rPr>
              <w:t xml:space="preserve">$7,800</w:t>
            </w:r>
          </w:p>
        </w:tc>
      </w:tr>
      <w:tr>
        <w:tc>
          <w:tcPr>
            <w:tcW w:type="dxa" w:w="5000"/>
            <w:tcMar>
              <w:top w:type="dxa" w:w="95"/>
              <w:left w:type="dxa" w:w="130"/>
              <w:bottom w:type="dxa" w:w="95"/>
              <w:right w:type="dxa" w:w="130"/>
            </w:tcMar>
          </w:tcPr>
          <w:p>
            <w:pPr>
              <w:spacing w:after="0"/>
            </w:pPr>
            <w:r>
              <w:rPr>
                <w:rFonts w:ascii="Calibri" w:cs="Calibri" w:eastAsia="Calibri" w:hAnsi="Calibri"/>
                <w:color w:val="1B241F"/>
                <w:sz w:val="20"/>
                <w:szCs w:val="20"/>
              </w:rPr>
              <w:t xml:space="preserve">Design completion and sign-off</w:t>
            </w:r>
          </w:p>
        </w:tc>
        <w:tc>
          <w:tcPr>
            <w:tcW w:type="dxa" w:w="1400"/>
            <w:tcMar>
              <w:top w:type="dxa" w:w="95"/>
              <w:left w:type="dxa" w:w="130"/>
              <w:bottom w:type="dxa" w:w="95"/>
              <w:right w:type="dxa" w:w="130"/>
            </w:tcMar>
          </w:tcPr>
          <w:p>
            <w:pPr>
              <w:spacing w:after="0"/>
              <w:jc w:val="center"/>
            </w:pPr>
            <w:r>
              <w:rPr>
                <w:rFonts w:ascii="Calibri" w:cs="Calibri" w:eastAsia="Calibri" w:hAnsi="Calibri"/>
                <w:color w:val="1B241F"/>
                <w:sz w:val="20"/>
                <w:szCs w:val="20"/>
              </w:rPr>
              <w:t xml:space="preserve">30%</w:t>
            </w:r>
          </w:p>
        </w:tc>
        <w:tc>
          <w:tcPr>
            <w:tcW w:type="dxa" w:w="2626"/>
            <w:shd w:fill="FBF3E1" w:color="auto" w:val="clear"/>
            <w:tcMar>
              <w:top w:type="dxa" w:w="95"/>
              <w:left w:type="dxa" w:w="130"/>
              <w:bottom w:type="dxa" w:w="95"/>
              <w:right w:type="dxa" w:w="130"/>
            </w:tcMar>
          </w:tcPr>
          <w:p>
            <w:pPr>
              <w:spacing w:after="0"/>
              <w:jc w:val="right"/>
            </w:pPr>
            <w:r>
              <w:rPr>
                <w:rFonts w:ascii="Calibri" w:cs="Calibri" w:eastAsia="Calibri" w:hAnsi="Calibri"/>
                <w:b/>
                <w:bCs/>
                <w:color w:val="1B241F"/>
                <w:sz w:val="20"/>
                <w:szCs w:val="20"/>
              </w:rPr>
              <w:t xml:space="preserve">$7,800</w:t>
            </w:r>
          </w:p>
        </w:tc>
      </w:tr>
      <w:tr>
        <w:tc>
          <w:tcPr>
            <w:tcW w:type="dxa" w:w="5000"/>
            <w:tcMar>
              <w:top w:type="dxa" w:w="95"/>
              <w:left w:type="dxa" w:w="130"/>
              <w:bottom w:type="dxa" w:w="95"/>
              <w:right w:type="dxa" w:w="130"/>
            </w:tcMar>
          </w:tcPr>
          <w:p>
            <w:pPr>
              <w:spacing w:after="0"/>
            </w:pPr>
            <w:r>
              <w:rPr>
                <w:rFonts w:ascii="Calibri" w:cs="Calibri" w:eastAsia="Calibri" w:hAnsi="Calibri"/>
                <w:color w:val="1B241F"/>
                <w:sz w:val="20"/>
                <w:szCs w:val="20"/>
              </w:rPr>
              <w:t xml:space="preserve">Development completion and beta build for your acceptance testing</w:t>
            </w:r>
          </w:p>
        </w:tc>
        <w:tc>
          <w:tcPr>
            <w:tcW w:type="dxa" w:w="1400"/>
            <w:tcMar>
              <w:top w:type="dxa" w:w="95"/>
              <w:left w:type="dxa" w:w="130"/>
              <w:bottom w:type="dxa" w:w="95"/>
              <w:right w:type="dxa" w:w="130"/>
            </w:tcMar>
          </w:tcPr>
          <w:p>
            <w:pPr>
              <w:spacing w:after="0"/>
              <w:jc w:val="center"/>
            </w:pPr>
            <w:r>
              <w:rPr>
                <w:rFonts w:ascii="Calibri" w:cs="Calibri" w:eastAsia="Calibri" w:hAnsi="Calibri"/>
                <w:color w:val="1B241F"/>
                <w:sz w:val="20"/>
                <w:szCs w:val="20"/>
              </w:rPr>
              <w:t xml:space="preserve">30%</w:t>
            </w:r>
          </w:p>
        </w:tc>
        <w:tc>
          <w:tcPr>
            <w:tcW w:type="dxa" w:w="2626"/>
            <w:shd w:fill="FBF3E1" w:color="auto" w:val="clear"/>
            <w:tcMar>
              <w:top w:type="dxa" w:w="95"/>
              <w:left w:type="dxa" w:w="130"/>
              <w:bottom w:type="dxa" w:w="95"/>
              <w:right w:type="dxa" w:w="130"/>
            </w:tcMar>
          </w:tcPr>
          <w:p>
            <w:pPr>
              <w:spacing w:after="0"/>
              <w:jc w:val="right"/>
            </w:pPr>
            <w:r>
              <w:rPr>
                <w:rFonts w:ascii="Calibri" w:cs="Calibri" w:eastAsia="Calibri" w:hAnsi="Calibri"/>
                <w:b/>
                <w:bCs/>
                <w:color w:val="1B241F"/>
                <w:sz w:val="20"/>
                <w:szCs w:val="20"/>
              </w:rPr>
              <w:t xml:space="preserve">$7,800</w:t>
            </w:r>
          </w:p>
        </w:tc>
      </w:tr>
      <w:tr>
        <w:tc>
          <w:tcPr>
            <w:tcW w:type="dxa" w:w="5000"/>
            <w:tcMar>
              <w:top w:type="dxa" w:w="95"/>
              <w:left w:type="dxa" w:w="130"/>
              <w:bottom w:type="dxa" w:w="95"/>
              <w:right w:type="dxa" w:w="130"/>
            </w:tcMar>
          </w:tcPr>
          <w:p>
            <w:pPr>
              <w:spacing w:after="0"/>
            </w:pPr>
            <w:r>
              <w:rPr>
                <w:rFonts w:ascii="Calibri" w:cs="Calibri" w:eastAsia="Calibri" w:hAnsi="Calibri"/>
                <w:color w:val="1B241F"/>
                <w:sz w:val="20"/>
                <w:szCs w:val="20"/>
              </w:rPr>
              <w:t xml:space="preserve">Go-live and publication to both app stores</w:t>
            </w:r>
          </w:p>
        </w:tc>
        <w:tc>
          <w:tcPr>
            <w:tcW w:type="dxa" w:w="1400"/>
            <w:tcMar>
              <w:top w:type="dxa" w:w="95"/>
              <w:left w:type="dxa" w:w="130"/>
              <w:bottom w:type="dxa" w:w="95"/>
              <w:right w:type="dxa" w:w="130"/>
            </w:tcMar>
          </w:tcPr>
          <w:p>
            <w:pPr>
              <w:spacing w:after="0"/>
              <w:jc w:val="center"/>
            </w:pPr>
            <w:r>
              <w:rPr>
                <w:rFonts w:ascii="Calibri" w:cs="Calibri" w:eastAsia="Calibri" w:hAnsi="Calibri"/>
                <w:color w:val="1B241F"/>
                <w:sz w:val="20"/>
                <w:szCs w:val="20"/>
              </w:rPr>
              <w:t xml:space="preserve">10%</w:t>
            </w:r>
          </w:p>
        </w:tc>
        <w:tc>
          <w:tcPr>
            <w:tcW w:type="dxa" w:w="2626"/>
            <w:shd w:fill="FBF3E1" w:color="auto" w:val="clear"/>
            <w:tcMar>
              <w:top w:type="dxa" w:w="95"/>
              <w:left w:type="dxa" w:w="130"/>
              <w:bottom w:type="dxa" w:w="95"/>
              <w:right w:type="dxa" w:w="130"/>
            </w:tcMar>
          </w:tcPr>
          <w:p>
            <w:pPr>
              <w:spacing w:after="0"/>
              <w:jc w:val="right"/>
            </w:pPr>
            <w:r>
              <w:rPr>
                <w:rFonts w:ascii="Calibri" w:cs="Calibri" w:eastAsia="Calibri" w:hAnsi="Calibri"/>
                <w:b/>
                <w:bCs/>
                <w:color w:val="1B241F"/>
                <w:sz w:val="20"/>
                <w:szCs w:val="20"/>
              </w:rPr>
              <w:t xml:space="preserve">$2,600</w:t>
            </w:r>
          </w:p>
        </w:tc>
      </w:tr>
      <w:tr>
        <w:tc>
          <w:tcPr>
            <w:tcW w:type="dxa" w:w="5000"/>
            <w:shd w:fill="2F6B4F" w:color="auto" w:val="clear"/>
            <w:tcMar>
              <w:top w:type="dxa" w:w="95"/>
              <w:left w:type="dxa" w:w="130"/>
              <w:bottom w:type="dxa" w:w="95"/>
              <w:right w:type="dxa" w:w="130"/>
            </w:tcMar>
          </w:tcPr>
          <w:p>
            <w:pPr>
              <w:spacing w:after="0"/>
            </w:pPr>
            <w:r>
              <w:rPr>
                <w:rFonts w:ascii="Calibri" w:cs="Calibri" w:eastAsia="Calibri" w:hAnsi="Calibri"/>
                <w:b/>
                <w:bCs/>
                <w:color w:val="FFFFFF"/>
                <w:sz w:val="20"/>
                <w:szCs w:val="20"/>
              </w:rPr>
              <w:t xml:space="preserve">Total</w:t>
            </w:r>
          </w:p>
        </w:tc>
        <w:tc>
          <w:tcPr>
            <w:tcW w:type="dxa" w:w="1400"/>
            <w:shd w:fill="2F6B4F" w:color="auto" w:val="clear"/>
            <w:tcMar>
              <w:top w:type="dxa" w:w="95"/>
              <w:left w:type="dxa" w:w="130"/>
              <w:bottom w:type="dxa" w:w="95"/>
              <w:right w:type="dxa" w:w="130"/>
            </w:tcMar>
          </w:tcPr>
          <w:p>
            <w:pPr>
              <w:spacing w:after="0"/>
              <w:jc w:val="center"/>
            </w:pPr>
            <w:r>
              <w:rPr>
                <w:rFonts w:ascii="Calibri" w:cs="Calibri" w:eastAsia="Calibri" w:hAnsi="Calibri"/>
                <w:b/>
                <w:bCs/>
                <w:color w:val="FFFFFF"/>
                <w:sz w:val="20"/>
                <w:szCs w:val="20"/>
              </w:rPr>
              <w:t xml:space="preserve">100%</w:t>
            </w:r>
          </w:p>
        </w:tc>
        <w:tc>
          <w:tcPr>
            <w:tcW w:type="dxa" w:w="2626"/>
            <w:shd w:fill="2F6B4F" w:color="auto" w:val="clear"/>
            <w:tcMar>
              <w:top w:type="dxa" w:w="95"/>
              <w:left w:type="dxa" w:w="130"/>
              <w:bottom w:type="dxa" w:w="95"/>
              <w:right w:type="dxa" w:w="130"/>
            </w:tcMar>
          </w:tcPr>
          <w:p>
            <w:pPr>
              <w:spacing w:after="0"/>
              <w:jc w:val="right"/>
            </w:pPr>
            <w:r>
              <w:rPr>
                <w:rFonts w:ascii="Calibri" w:cs="Calibri" w:eastAsia="Calibri" w:hAnsi="Calibri"/>
                <w:b/>
                <w:bCs/>
                <w:color w:val="FFFFFF"/>
                <w:sz w:val="23"/>
                <w:szCs w:val="23"/>
              </w:rPr>
              <w:t xml:space="preserve">$26,000</w:t>
            </w:r>
          </w:p>
        </w:tc>
      </w:tr>
    </w:tbl>
    <w:p>
      <w:pPr>
        <w:spacing w:after="130" w:before="120"/>
      </w:pPr>
      <w:r>
        <w:rPr>
          <w:rFonts w:ascii="Calibri" w:cs="Calibri" w:eastAsia="Calibri" w:hAnsi="Calibri"/>
          <w:color w:val="1B241F"/>
          <w:sz w:val="21"/>
          <w:szCs w:val="21"/>
        </w:rPr>
        <w:t xml:space="preserve">Invoices are payable within fifteen days. Applicable taxes and bank charges are additional.</w:t>
      </w:r>
    </w:p>
    <w:p>
      <w:pPr>
        <w:pStyle w:val="Heading2"/>
        <w:spacing w:after="90" w:before="240"/>
      </w:pPr>
      <w:r>
        <w:rPr>
          <w:rFonts w:ascii="Calibri" w:cs="Calibri" w:eastAsia="Calibri" w:hAnsi="Calibri"/>
          <w:b/>
          <w:bCs/>
          <w:color w:val="1B241F"/>
          <w:sz w:val="23"/>
          <w:szCs w:val="23"/>
        </w:rPr>
        <w:t xml:space="preserve">Third-party running costs</w:t>
      </w:r>
    </w:p>
    <w:p>
      <w:pPr>
        <w:spacing w:after="130" w:before="0"/>
      </w:pPr>
      <w:r>
        <w:rPr>
          <w:rFonts w:ascii="Calibri" w:cs="Calibri" w:eastAsia="Calibri" w:hAnsi="Calibri"/>
          <w:color w:val="1B241F"/>
          <w:sz w:val="21"/>
          <w:szCs w:val="21"/>
        </w:rPr>
        <w:t xml:space="preserve">These are paid by you directly to the providers and form no part of our fee. They are listed so that there are no surprises after launch.</w:t>
      </w:r>
    </w:p>
    <w:tbl>
      <w:tblPr>
        <w:tblW w:type="dxa" w:w="9026"/>
        <w:tblBorders>
          <w:top w:val="single" w:color="DCE3DD" w:sz="4"/>
          <w:left w:val="single" w:color="DCE3DD" w:sz="4"/>
          <w:bottom w:val="single" w:color="DCE3DD" w:sz="4"/>
          <w:right w:val="single" w:color="DCE3DD" w:sz="4"/>
          <w:insideH w:val="single" w:color="DCE3DD" w:sz="4"/>
          <w:insideV w:val="single" w:color="DCE3DD" w:sz="4"/>
        </w:tblBorders>
      </w:tblPr>
      <w:tblGrid>
        <w:gridCol w:w="4400"/>
        <w:gridCol w:w="4626"/>
      </w:tblGrid>
      <w:tr>
        <w:trPr>
          <w:tblHeader/>
        </w:trPr>
        <w:tc>
          <w:tcPr>
            <w:tcW w:type="dxa" w:w="4400"/>
            <w:shd w:fill="2F6B4F"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Item</w:t>
            </w:r>
          </w:p>
        </w:tc>
        <w:tc>
          <w:tcPr>
            <w:tcW w:type="dxa" w:w="4626"/>
            <w:shd w:fill="2F6B4F" w:color="auto" w:val="clear"/>
            <w:tcMar>
              <w:top w:type="dxa" w:w="95"/>
              <w:left w:type="dxa" w:w="130"/>
              <w:bottom w:type="dxa" w:w="95"/>
              <w:right w:type="dxa" w:w="130"/>
            </w:tcMar>
          </w:tcPr>
          <w:p>
            <w:pPr>
              <w:spacing w:after="0"/>
            </w:pPr>
            <w:r>
              <w:rPr>
                <w:rFonts w:ascii="Calibri" w:cs="Calibri" w:eastAsia="Calibri" w:hAnsi="Calibri"/>
                <w:b/>
                <w:bCs/>
                <w:color w:val="FFFFFF"/>
                <w:sz w:val="19"/>
                <w:szCs w:val="19"/>
              </w:rPr>
              <w:t xml:space="preserve">Indicative cost</w:t>
            </w:r>
          </w:p>
        </w:tc>
      </w:tr>
      <w:tr>
        <w:tc>
          <w:tcPr>
            <w:tcW w:type="dxa" w:w="4400"/>
            <w:tcMar>
              <w:top w:type="dxa" w:w="95"/>
              <w:left w:type="dxa" w:w="130"/>
              <w:bottom w:type="dxa" w:w="95"/>
              <w:right w:type="dxa" w:w="130"/>
            </w:tcMar>
          </w:tcPr>
          <w:p>
            <w:pPr>
              <w:spacing w:after="0"/>
            </w:pPr>
            <w:r>
              <w:rPr>
                <w:rFonts w:ascii="Calibri" w:cs="Calibri" w:eastAsia="Calibri" w:hAnsi="Calibri"/>
                <w:color w:val="1B241F"/>
                <w:sz w:val="20"/>
                <w:szCs w:val="20"/>
              </w:rPr>
              <w:t xml:space="preserve">OpenAI usage (language, vision and embeddings)</w:t>
            </w:r>
          </w:p>
        </w:tc>
        <w:tc>
          <w:tcPr>
            <w:tcW w:type="dxa" w:w="4626"/>
            <w:tcMar>
              <w:top w:type="dxa" w:w="95"/>
              <w:left w:type="dxa" w:w="130"/>
              <w:bottom w:type="dxa" w:w="95"/>
              <w:right w:type="dxa" w:w="130"/>
            </w:tcMar>
          </w:tcPr>
          <w:p>
            <w:pPr>
              <w:spacing w:after="0"/>
            </w:pPr>
            <w:r>
              <w:rPr>
                <w:rFonts w:ascii="Calibri" w:cs="Calibri" w:eastAsia="Calibri" w:hAnsi="Calibri"/>
                <w:color w:val="1B241F"/>
                <w:sz w:val="20"/>
                <w:szCs w:val="20"/>
              </w:rPr>
              <w:t xml:space="preserve">Roughly $0.50 to $1.50 per active user per month, depending on how many meals and replies they run through it</w:t>
            </w:r>
          </w:p>
        </w:tc>
      </w:tr>
      <w:tr>
        <w:tc>
          <w:tcPr>
            <w:tcW w:type="dxa" w:w="4400"/>
            <w:tcMar>
              <w:top w:type="dxa" w:w="95"/>
              <w:left w:type="dxa" w:w="130"/>
              <w:bottom w:type="dxa" w:w="95"/>
              <w:right w:type="dxa" w:w="130"/>
            </w:tcMar>
          </w:tcPr>
          <w:p>
            <w:pPr>
              <w:spacing w:after="0"/>
            </w:pPr>
            <w:r>
              <w:rPr>
                <w:rFonts w:ascii="Calibri" w:cs="Calibri" w:eastAsia="Calibri" w:hAnsi="Calibri"/>
                <w:color w:val="1B241F"/>
                <w:sz w:val="20"/>
                <w:szCs w:val="20"/>
              </w:rPr>
              <w:t xml:space="preserve">Cloud hosting, database and media storage</w:t>
            </w:r>
          </w:p>
        </w:tc>
        <w:tc>
          <w:tcPr>
            <w:tcW w:type="dxa" w:w="4626"/>
            <w:tcMar>
              <w:top w:type="dxa" w:w="95"/>
              <w:left w:type="dxa" w:w="130"/>
              <w:bottom w:type="dxa" w:w="95"/>
              <w:right w:type="dxa" w:w="130"/>
            </w:tcMar>
          </w:tcPr>
          <w:p>
            <w:pPr>
              <w:spacing w:after="0"/>
            </w:pPr>
            <w:r>
              <w:rPr>
                <w:rFonts w:ascii="Calibri" w:cs="Calibri" w:eastAsia="Calibri" w:hAnsi="Calibri"/>
                <w:color w:val="1B241F"/>
                <w:sz w:val="20"/>
                <w:szCs w:val="20"/>
              </w:rPr>
              <w:t xml:space="preserve">$150 to $300 per month at launch, scaling with users</w:t>
            </w:r>
          </w:p>
        </w:tc>
      </w:tr>
      <w:tr>
        <w:tc>
          <w:tcPr>
            <w:tcW w:type="dxa" w:w="4400"/>
            <w:tcMar>
              <w:top w:type="dxa" w:w="95"/>
              <w:left w:type="dxa" w:w="130"/>
              <w:bottom w:type="dxa" w:w="95"/>
              <w:right w:type="dxa" w:w="130"/>
            </w:tcMar>
          </w:tcPr>
          <w:p>
            <w:pPr>
              <w:spacing w:after="0"/>
            </w:pPr>
            <w:r>
              <w:rPr>
                <w:rFonts w:ascii="Calibri" w:cs="Calibri" w:eastAsia="Calibri" w:hAnsi="Calibri"/>
                <w:color w:val="1B241F"/>
                <w:sz w:val="20"/>
                <w:szCs w:val="20"/>
              </w:rPr>
              <w:t xml:space="preserve">YouTube Data API</w:t>
            </w:r>
          </w:p>
        </w:tc>
        <w:tc>
          <w:tcPr>
            <w:tcW w:type="dxa" w:w="4626"/>
            <w:tcMar>
              <w:top w:type="dxa" w:w="95"/>
              <w:left w:type="dxa" w:w="130"/>
              <w:bottom w:type="dxa" w:w="95"/>
              <w:right w:type="dxa" w:w="130"/>
            </w:tcMar>
          </w:tcPr>
          <w:p>
            <w:pPr>
              <w:spacing w:after="0"/>
            </w:pPr>
            <w:r>
              <w:rPr>
                <w:rFonts w:ascii="Calibri" w:cs="Calibri" w:eastAsia="Calibri" w:hAnsi="Calibri"/>
                <w:color w:val="1B241F"/>
                <w:sz w:val="20"/>
                <w:szCs w:val="20"/>
              </w:rPr>
              <w:t xml:space="preserve">Free. A daily usage allowance applies; we file for the extension as part of Phase 1</w:t>
            </w:r>
          </w:p>
        </w:tc>
      </w:tr>
      <w:tr>
        <w:tc>
          <w:tcPr>
            <w:tcW w:type="dxa" w:w="4400"/>
            <w:tcMar>
              <w:top w:type="dxa" w:w="95"/>
              <w:left w:type="dxa" w:w="130"/>
              <w:bottom w:type="dxa" w:w="95"/>
              <w:right w:type="dxa" w:w="130"/>
            </w:tcMar>
          </w:tcPr>
          <w:p>
            <w:pPr>
              <w:spacing w:after="0"/>
            </w:pPr>
            <w:r>
              <w:rPr>
                <w:rFonts w:ascii="Calibri" w:cs="Calibri" w:eastAsia="Calibri" w:hAnsi="Calibri"/>
                <w:color w:val="1B241F"/>
                <w:sz w:val="20"/>
                <w:szCs w:val="20"/>
              </w:rPr>
              <w:t xml:space="preserve">Apple Developer Program</w:t>
            </w:r>
          </w:p>
        </w:tc>
        <w:tc>
          <w:tcPr>
            <w:tcW w:type="dxa" w:w="4626"/>
            <w:tcMar>
              <w:top w:type="dxa" w:w="95"/>
              <w:left w:type="dxa" w:w="130"/>
              <w:bottom w:type="dxa" w:w="95"/>
              <w:right w:type="dxa" w:w="130"/>
            </w:tcMar>
          </w:tcPr>
          <w:p>
            <w:pPr>
              <w:spacing w:after="0"/>
            </w:pPr>
            <w:r>
              <w:rPr>
                <w:rFonts w:ascii="Calibri" w:cs="Calibri" w:eastAsia="Calibri" w:hAnsi="Calibri"/>
                <w:color w:val="1B241F"/>
                <w:sz w:val="20"/>
                <w:szCs w:val="20"/>
              </w:rPr>
              <w:t xml:space="preserve">$99 per year</w:t>
            </w:r>
          </w:p>
        </w:tc>
      </w:tr>
      <w:tr>
        <w:tc>
          <w:tcPr>
            <w:tcW w:type="dxa" w:w="4400"/>
            <w:tcMar>
              <w:top w:type="dxa" w:w="95"/>
              <w:left w:type="dxa" w:w="130"/>
              <w:bottom w:type="dxa" w:w="95"/>
              <w:right w:type="dxa" w:w="130"/>
            </w:tcMar>
          </w:tcPr>
          <w:p>
            <w:pPr>
              <w:spacing w:after="0"/>
            </w:pPr>
            <w:r>
              <w:rPr>
                <w:rFonts w:ascii="Calibri" w:cs="Calibri" w:eastAsia="Calibri" w:hAnsi="Calibri"/>
                <w:color w:val="1B241F"/>
                <w:sz w:val="20"/>
                <w:szCs w:val="20"/>
              </w:rPr>
              <w:t xml:space="preserve">Google Play Developer account</w:t>
            </w:r>
          </w:p>
        </w:tc>
        <w:tc>
          <w:tcPr>
            <w:tcW w:type="dxa" w:w="4626"/>
            <w:tcMar>
              <w:top w:type="dxa" w:w="95"/>
              <w:left w:type="dxa" w:w="130"/>
              <w:bottom w:type="dxa" w:w="95"/>
              <w:right w:type="dxa" w:w="130"/>
            </w:tcMar>
          </w:tcPr>
          <w:p>
            <w:pPr>
              <w:spacing w:after="0"/>
            </w:pPr>
            <w:r>
              <w:rPr>
                <w:rFonts w:ascii="Calibri" w:cs="Calibri" w:eastAsia="Calibri" w:hAnsi="Calibri"/>
                <w:color w:val="1B241F"/>
                <w:sz w:val="20"/>
                <w:szCs w:val="20"/>
              </w:rPr>
              <w:t xml:space="preserve">$25, one time</w:t>
            </w:r>
          </w:p>
        </w:tc>
      </w:tr>
      <w:tr>
        <w:tc>
          <w:tcPr>
            <w:tcW w:type="dxa" w:w="4400"/>
            <w:tcMar>
              <w:top w:type="dxa" w:w="95"/>
              <w:left w:type="dxa" w:w="130"/>
              <w:bottom w:type="dxa" w:w="95"/>
              <w:right w:type="dxa" w:w="130"/>
            </w:tcMar>
          </w:tcPr>
          <w:p>
            <w:pPr>
              <w:spacing w:after="0"/>
            </w:pPr>
            <w:r>
              <w:rPr>
                <w:rFonts w:ascii="Calibri" w:cs="Calibri" w:eastAsia="Calibri" w:hAnsi="Calibri"/>
                <w:color w:val="1B241F"/>
                <w:sz w:val="20"/>
                <w:szCs w:val="20"/>
              </w:rPr>
              <w:t xml:space="preserve">App store commission on subscriptions</w:t>
            </w:r>
          </w:p>
        </w:tc>
        <w:tc>
          <w:tcPr>
            <w:tcW w:type="dxa" w:w="4626"/>
            <w:tcMar>
              <w:top w:type="dxa" w:w="95"/>
              <w:left w:type="dxa" w:w="130"/>
              <w:bottom w:type="dxa" w:w="95"/>
              <w:right w:type="dxa" w:w="130"/>
            </w:tcMar>
          </w:tcPr>
          <w:p>
            <w:pPr>
              <w:spacing w:after="0"/>
            </w:pPr>
            <w:r>
              <w:rPr>
                <w:rFonts w:ascii="Calibri" w:cs="Calibri" w:eastAsia="Calibri" w:hAnsi="Calibri"/>
                <w:color w:val="1B241F"/>
                <w:sz w:val="20"/>
                <w:szCs w:val="20"/>
              </w:rPr>
              <w:t xml:space="preserve">15% of subscription revenue under Apple’s and Google’s small business programmes</w:t>
            </w:r>
          </w:p>
        </w:tc>
      </w:tr>
    </w:tbl>
    <w:p>
      <w:pPr>
        <w:spacing w:after="130" w:before="140"/>
      </w:pPr>
      <w:r>
        <w:rPr>
          <w:rFonts w:ascii="Calibri" w:cs="Calibri" w:eastAsia="Calibri" w:hAnsi="Calibri"/>
          <w:b/>
          <w:bCs/>
          <w:color w:val="1B241F"/>
          <w:sz w:val="21"/>
          <w:szCs w:val="21"/>
        </w:rPr>
        <w:t xml:space="preserve">For context. </w:t>
      </w:r>
      <w:r>
        <w:rPr>
          <w:rFonts w:ascii="Calibri" w:cs="Calibri" w:eastAsia="Calibri" w:hAnsi="Calibri"/>
          <w:color w:val="1B241F"/>
          <w:sz w:val="21"/>
          <w:szCs w:val="21"/>
        </w:rPr>
        <w:t xml:space="preserve">At a subscription of $9.99 a month, roughly 250 paying subscribers cover the Phase 1 investment within a year, with the running costs above comfortably inside the subscription.</w:t>
      </w:r>
    </w:p>
    <w:p>
      <w:pPr>
        <w:pStyle w:val="Heading1"/>
        <w:spacing w:after="150" w:before="340"/>
      </w:pPr>
      <w:r>
        <w:rPr>
          <w:rFonts w:ascii="Calibri" w:cs="Calibri" w:eastAsia="Calibri" w:hAnsi="Calibri"/>
          <w:b/>
          <w:bCs/>
          <w:color w:val="2F6B4F"/>
          <w:sz w:val="29"/>
          <w:szCs w:val="29"/>
        </w:rPr>
        <w:t xml:space="preserve">7.  Not included in Phase 1</w:t>
      </w:r>
    </w:p>
    <w:p>
      <w:pPr>
        <w:spacing w:after="130" w:before="0"/>
      </w:pPr>
      <w:r>
        <w:rPr>
          <w:rFonts w:ascii="Calibri" w:cs="Calibri" w:eastAsia="Calibri" w:hAnsi="Calibri"/>
          <w:color w:val="1B241F"/>
          <w:sz w:val="21"/>
          <w:szCs w:val="21"/>
        </w:rPr>
        <w:t xml:space="preserve">Each of the following can be scoped and priced separately when you want it. We would rather name them here than have them surface later.</w:t>
      </w:r>
    </w:p>
    <w:p>
      <w:pPr>
        <w:pStyle w:val="ListParagraph"/>
        <w:numPr>
          <w:ilvl w:val="0"/>
          <w:numId w:val="2"/>
        </w:numPr>
        <w:spacing w:after="55"/>
      </w:pPr>
      <w:r>
        <w:rPr>
          <w:rFonts w:ascii="Calibri" w:cs="Calibri" w:eastAsia="Calibri" w:hAnsi="Calibri"/>
          <w:b/>
          <w:bCs/>
          <w:color w:val="1B241F"/>
          <w:sz w:val="21"/>
          <w:szCs w:val="21"/>
        </w:rPr>
        <w:t xml:space="preserve">Facebook Pages and Instagram connection.  </w:t>
      </w:r>
      <w:r>
        <w:rPr>
          <w:rFonts w:ascii="Calibri" w:cs="Calibri" w:eastAsia="Calibri" w:hAnsi="Calibri"/>
          <w:color w:val="1B241F"/>
          <w:sz w:val="21"/>
          <w:szCs w:val="21"/>
        </w:rPr>
        <w:t xml:space="preserve">Direct fetching and posting for Facebook Pages and Instagram professional accounts, subject to Meta application review. Paste-in for both is included in Phase 1.</w:t>
      </w:r>
    </w:p>
    <w:p>
      <w:pPr>
        <w:pStyle w:val="ListParagraph"/>
        <w:numPr>
          <w:ilvl w:val="0"/>
          <w:numId w:val="2"/>
        </w:numPr>
        <w:spacing w:after="55"/>
      </w:pPr>
      <w:r>
        <w:rPr>
          <w:rFonts w:ascii="Calibri" w:cs="Calibri" w:eastAsia="Calibri" w:hAnsi="Calibri"/>
          <w:b/>
          <w:bCs/>
          <w:color w:val="1B241F"/>
          <w:sz w:val="21"/>
          <w:szCs w:val="21"/>
        </w:rPr>
        <w:t xml:space="preserve">The wellness store.  </w:t>
      </w:r>
      <w:r>
        <w:rPr>
          <w:rFonts w:ascii="Calibri" w:cs="Calibri" w:eastAsia="Calibri" w:hAnsi="Calibri"/>
          <w:color w:val="1B241F"/>
          <w:sz w:val="21"/>
          <w:szCs w:val="21"/>
        </w:rPr>
        <w:t xml:space="preserve">A section of the app linking to your Amazon affiliate products.</w:t>
      </w:r>
    </w:p>
    <w:p>
      <w:pPr>
        <w:pStyle w:val="ListParagraph"/>
        <w:numPr>
          <w:ilvl w:val="0"/>
          <w:numId w:val="2"/>
        </w:numPr>
        <w:spacing w:after="55"/>
      </w:pPr>
      <w:r>
        <w:rPr>
          <w:rFonts w:ascii="Calibri" w:cs="Calibri" w:eastAsia="Calibri" w:hAnsi="Calibri"/>
          <w:b/>
          <w:bCs/>
          <w:color w:val="1B241F"/>
          <w:sz w:val="21"/>
          <w:szCs w:val="21"/>
        </w:rPr>
        <w:t xml:space="preserve">Physical fitness tracking.  </w:t>
      </w:r>
      <w:r>
        <w:rPr>
          <w:rFonts w:ascii="Calibri" w:cs="Calibri" w:eastAsia="Calibri" w:hAnsi="Calibri"/>
          <w:color w:val="1B241F"/>
          <w:sz w:val="21"/>
          <w:szCs w:val="21"/>
        </w:rPr>
        <w:t xml:space="preserve">Steps, workouts and wearable connections. Existing apps cover this well, and it can be added later through Apple Health and Health Connect.</w:t>
      </w:r>
    </w:p>
    <w:p>
      <w:pPr>
        <w:pStyle w:val="ListParagraph"/>
        <w:numPr>
          <w:ilvl w:val="0"/>
          <w:numId w:val="2"/>
        </w:numPr>
        <w:spacing w:after="55"/>
      </w:pPr>
      <w:r>
        <w:rPr>
          <w:rFonts w:ascii="Calibri" w:cs="Calibri" w:eastAsia="Calibri" w:hAnsi="Calibri"/>
          <w:b/>
          <w:bCs/>
          <w:color w:val="1B241F"/>
          <w:sz w:val="21"/>
          <w:szCs w:val="21"/>
        </w:rPr>
        <w:t xml:space="preserve">Financial account connections.  </w:t>
      </w:r>
      <w:r>
        <w:rPr>
          <w:rFonts w:ascii="Calibri" w:cs="Calibri" w:eastAsia="Calibri" w:hAnsi="Calibri"/>
          <w:color w:val="1B241F"/>
          <w:sz w:val="21"/>
          <w:szCs w:val="21"/>
        </w:rPr>
        <w:t xml:space="preserve">Banks do not offer these connections to independent applications at this stage.</w:t>
      </w:r>
    </w:p>
    <w:p>
      <w:pPr>
        <w:pStyle w:val="ListParagraph"/>
        <w:numPr>
          <w:ilvl w:val="0"/>
          <w:numId w:val="2"/>
        </w:numPr>
        <w:spacing w:after="55"/>
      </w:pPr>
      <w:r>
        <w:rPr>
          <w:rFonts w:ascii="Calibri" w:cs="Calibri" w:eastAsia="Calibri" w:hAnsi="Calibri"/>
          <w:b/>
          <w:bCs/>
          <w:color w:val="1B241F"/>
          <w:sz w:val="21"/>
          <w:szCs w:val="21"/>
        </w:rPr>
        <w:t xml:space="preserve">Email and text message aggregation.  </w:t>
      </w:r>
      <w:r>
        <w:rPr>
          <w:rFonts w:ascii="Calibri" w:cs="Calibri" w:eastAsia="Calibri" w:hAnsi="Calibri"/>
          <w:color w:val="1B241F"/>
          <w:sz w:val="21"/>
          <w:szCs w:val="21"/>
        </w:rPr>
        <w:t xml:space="preserve">Automatic reading of inboxes. Paste-in for both is included.</w:t>
      </w:r>
    </w:p>
    <w:p>
      <w:pPr>
        <w:pStyle w:val="ListParagraph"/>
        <w:numPr>
          <w:ilvl w:val="0"/>
          <w:numId w:val="2"/>
        </w:numPr>
        <w:spacing w:after="55"/>
      </w:pPr>
      <w:r>
        <w:rPr>
          <w:rFonts w:ascii="Calibri" w:cs="Calibri" w:eastAsia="Calibri" w:hAnsi="Calibri"/>
          <w:b/>
          <w:bCs/>
          <w:color w:val="1B241F"/>
          <w:sz w:val="21"/>
          <w:szCs w:val="21"/>
        </w:rPr>
        <w:t xml:space="preserve">Pulsating Symbols.  </w:t>
      </w:r>
      <w:r>
        <w:rPr>
          <w:rFonts w:ascii="Calibri" w:cs="Calibri" w:eastAsia="Calibri" w:hAnsi="Calibri"/>
          <w:color w:val="1B241F"/>
          <w:sz w:val="21"/>
          <w:szCs w:val="21"/>
        </w:rPr>
        <w:t xml:space="preserve">The location-based, real-time venue concept is a separate product and would be proposed on its own.</w:t>
      </w:r>
    </w:p>
    <w:p>
      <w:pPr>
        <w:pStyle w:val="ListParagraph"/>
        <w:numPr>
          <w:ilvl w:val="0"/>
          <w:numId w:val="2"/>
        </w:numPr>
        <w:spacing w:after="55"/>
      </w:pPr>
      <w:r>
        <w:rPr>
          <w:rFonts w:ascii="Calibri" w:cs="Calibri" w:eastAsia="Calibri" w:hAnsi="Calibri"/>
          <w:b/>
          <w:bCs/>
          <w:color w:val="1B241F"/>
          <w:sz w:val="21"/>
          <w:szCs w:val="21"/>
        </w:rPr>
        <w:t xml:space="preserve">Brand, marketing and legal.  </w:t>
      </w:r>
      <w:r>
        <w:rPr>
          <w:rFonts w:ascii="Calibri" w:cs="Calibri" w:eastAsia="Calibri" w:hAnsi="Calibri"/>
          <w:color w:val="1B241F"/>
          <w:sz w:val="21"/>
          <w:szCs w:val="21"/>
        </w:rPr>
        <w:t xml:space="preserve">Marketing, content, the privacy policy and terms of service. We will build to whatever you and your advisers settle on.</w:t>
      </w:r>
    </w:p>
    <w:p>
      <w:pPr>
        <w:pStyle w:val="Heading1"/>
        <w:spacing w:after="150" w:before="340"/>
      </w:pPr>
      <w:r>
        <w:rPr>
          <w:rFonts w:ascii="Calibri" w:cs="Calibri" w:eastAsia="Calibri" w:hAnsi="Calibri"/>
          <w:b/>
          <w:bCs/>
          <w:color w:val="2F6B4F"/>
          <w:sz w:val="29"/>
          <w:szCs w:val="29"/>
        </w:rPr>
        <w:t xml:space="preserve">8.  What we need from you</w:t>
      </w:r>
    </w:p>
    <w:p>
      <w:pPr>
        <w:pStyle w:val="ListParagraph"/>
        <w:numPr>
          <w:ilvl w:val="0"/>
          <w:numId w:val="3"/>
        </w:numPr>
        <w:spacing w:after="70"/>
      </w:pPr>
      <w:r>
        <w:rPr>
          <w:rFonts w:ascii="Calibri" w:cs="Calibri" w:eastAsia="Calibri" w:hAnsi="Calibri"/>
          <w:color w:val="1B241F"/>
          <w:sz w:val="21"/>
          <w:szCs w:val="21"/>
        </w:rPr>
        <w:t xml:space="preserve">A decision on the logo and default palette, and any brand guidance.</w:t>
      </w:r>
    </w:p>
    <w:p>
      <w:pPr>
        <w:pStyle w:val="ListParagraph"/>
        <w:numPr>
          <w:ilvl w:val="0"/>
          <w:numId w:val="3"/>
        </w:numPr>
        <w:spacing w:after="70"/>
      </w:pPr>
      <w:r>
        <w:rPr>
          <w:rFonts w:ascii="Calibri" w:cs="Calibri" w:eastAsia="Calibri" w:hAnsi="Calibri"/>
          <w:color w:val="1B241F"/>
          <w:sz w:val="21"/>
          <w:szCs w:val="21"/>
        </w:rPr>
        <w:t xml:space="preserve">The YouTube channel connected to a Google account you control, for testing.</w:t>
      </w:r>
    </w:p>
    <w:p>
      <w:pPr>
        <w:pStyle w:val="ListParagraph"/>
        <w:numPr>
          <w:ilvl w:val="0"/>
          <w:numId w:val="3"/>
        </w:numPr>
        <w:spacing w:after="70"/>
      </w:pPr>
      <w:r>
        <w:rPr>
          <w:rFonts w:ascii="Calibri" w:cs="Calibri" w:eastAsia="Calibri" w:hAnsi="Calibri"/>
          <w:color w:val="1B241F"/>
          <w:sz w:val="21"/>
          <w:szCs w:val="21"/>
        </w:rPr>
        <w:t xml:space="preserve">Your Apple Developer and Google Play accounts, opened in your own name, so the app is published as yours from day one.</w:t>
      </w:r>
    </w:p>
    <w:p>
      <w:pPr>
        <w:pStyle w:val="ListParagraph"/>
        <w:numPr>
          <w:ilvl w:val="0"/>
          <w:numId w:val="3"/>
        </w:numPr>
        <w:spacing w:after="70"/>
      </w:pPr>
      <w:r>
        <w:rPr>
          <w:rFonts w:ascii="Calibri" w:cs="Calibri" w:eastAsia="Calibri" w:hAnsi="Calibri"/>
          <w:color w:val="1B241F"/>
          <w:sz w:val="21"/>
          <w:szCs w:val="21"/>
        </w:rPr>
        <w:t xml:space="preserve">A decision on subscription pricing and trial length before Stage 4.</w:t>
      </w:r>
    </w:p>
    <w:p>
      <w:pPr>
        <w:pStyle w:val="ListParagraph"/>
        <w:numPr>
          <w:ilvl w:val="0"/>
          <w:numId w:val="3"/>
        </w:numPr>
        <w:spacing w:after="70"/>
      </w:pPr>
      <w:r>
        <w:rPr>
          <w:rFonts w:ascii="Calibri" w:cs="Calibri" w:eastAsia="Calibri" w:hAnsi="Calibri"/>
          <w:color w:val="1B241F"/>
          <w:sz w:val="21"/>
          <w:szCs w:val="21"/>
        </w:rPr>
        <w:t xml:space="preserve">Sign-off on the final screens at the end of Stage 1, and feedback within three working days at each stage.</w:t>
      </w:r>
    </w:p>
    <w:p>
      <w:pPr>
        <w:pStyle w:val="Heading1"/>
        <w:spacing w:after="150" w:before="340"/>
      </w:pPr>
      <w:r>
        <w:rPr>
          <w:rFonts w:ascii="Calibri" w:cs="Calibri" w:eastAsia="Calibri" w:hAnsi="Calibri"/>
          <w:b/>
          <w:bCs/>
          <w:color w:val="2F6B4F"/>
          <w:sz w:val="29"/>
          <w:szCs w:val="29"/>
        </w:rPr>
        <w:t xml:space="preserve">9.  Our commitments</w:t>
      </w:r>
    </w:p>
    <w:p>
      <w:pPr>
        <w:spacing w:after="130" w:before="0"/>
      </w:pPr>
      <w:r>
        <w:rPr>
          <w:rFonts w:ascii="Calibri" w:cs="Calibri" w:eastAsia="Calibri" w:hAnsi="Calibri"/>
          <w:b/>
          <w:bCs/>
          <w:color w:val="1B241F"/>
          <w:sz w:val="21"/>
          <w:szCs w:val="21"/>
        </w:rPr>
        <w:t xml:space="preserve">The fee is the fee.  </w:t>
      </w:r>
      <w:r>
        <w:rPr>
          <w:rFonts w:ascii="Calibri" w:cs="Calibri" w:eastAsia="Calibri" w:hAnsi="Calibri"/>
          <w:color w:val="1B241F"/>
          <w:sz w:val="21"/>
          <w:szCs w:val="21"/>
        </w:rPr>
        <w:t xml:space="preserve">The refinements, adjustments and natural back-and-forth of getting MyBrainAI right, within the scope described in this document, will not cost you anything extra. If together we decide to add something genuinely new, we will agree it in a short written addendum before any work starts.</w:t>
      </w:r>
    </w:p>
    <w:p>
      <w:pPr>
        <w:spacing w:after="130" w:before="0"/>
      </w:pPr>
      <w:r>
        <w:rPr>
          <w:rFonts w:ascii="Calibri" w:cs="Calibri" w:eastAsia="Calibri" w:hAnsi="Calibri"/>
          <w:b/>
          <w:bCs/>
          <w:color w:val="1B241F"/>
          <w:sz w:val="21"/>
          <w:szCs w:val="21"/>
        </w:rPr>
        <w:t xml:space="preserve">You own it.  </w:t>
      </w:r>
      <w:r>
        <w:rPr>
          <w:rFonts w:ascii="Calibri" w:cs="Calibri" w:eastAsia="Calibri" w:hAnsi="Calibri"/>
          <w:color w:val="1B241F"/>
          <w:sz w:val="21"/>
          <w:szCs w:val="21"/>
        </w:rPr>
        <w:t xml:space="preserve">On full payment, all rights in the delivered application, its source code, its design and its data belong to you absolutely. Nile takes no equity and no revenue share in Phase 1.</w:t>
      </w:r>
    </w:p>
    <w:p>
      <w:pPr>
        <w:spacing w:after="130" w:before="0"/>
      </w:pPr>
      <w:r>
        <w:rPr>
          <w:rFonts w:ascii="Calibri" w:cs="Calibri" w:eastAsia="Calibri" w:hAnsi="Calibri"/>
          <w:b/>
          <w:bCs/>
          <w:color w:val="1B241F"/>
          <w:sz w:val="21"/>
          <w:szCs w:val="21"/>
        </w:rPr>
        <w:t xml:space="preserve">Warranty.  </w:t>
      </w:r>
      <w:r>
        <w:rPr>
          <w:rFonts w:ascii="Calibri" w:cs="Calibri" w:eastAsia="Calibri" w:hAnsi="Calibri"/>
          <w:color w:val="1B241F"/>
          <w:sz w:val="21"/>
          <w:szCs w:val="21"/>
        </w:rPr>
        <w:t xml:space="preserve">For sixty days after go-live we correct any defect in the delivered scope at no charge.</w:t>
      </w:r>
    </w:p>
    <w:p>
      <w:pPr>
        <w:spacing w:after="130" w:before="0"/>
      </w:pPr>
      <w:r>
        <w:rPr>
          <w:rFonts w:ascii="Calibri" w:cs="Calibri" w:eastAsia="Calibri" w:hAnsi="Calibri"/>
          <w:b/>
          <w:bCs/>
          <w:color w:val="1B241F"/>
          <w:sz w:val="21"/>
          <w:szCs w:val="21"/>
        </w:rPr>
        <w:t xml:space="preserve">After go-live.  </w:t>
      </w:r>
      <w:r>
        <w:rPr>
          <w:rFonts w:ascii="Calibri" w:cs="Calibri" w:eastAsia="Calibri" w:hAnsi="Calibri"/>
          <w:color w:val="1B241F"/>
          <w:sz w:val="21"/>
          <w:szCs w:val="21"/>
        </w:rPr>
        <w:t xml:space="preserve">Ongoing support and maintenance, covering monitoring, security patching, operating system and store compliance updates, and minor enhancements, is available separately from $1,200 per month once the warranty period ends. As discussed, once the app is live and growing, we are open to a conversation about a longer-term technical partnership in place of a support fee.</w:t>
      </w:r>
    </w:p>
    <w:p>
      <w:pPr>
        <w:pStyle w:val="Heading1"/>
        <w:spacing w:after="150" w:before="340"/>
      </w:pPr>
      <w:r>
        <w:rPr>
          <w:rFonts w:ascii="Calibri" w:cs="Calibri" w:eastAsia="Calibri" w:hAnsi="Calibri"/>
          <w:b/>
          <w:bCs/>
          <w:color w:val="2F6B4F"/>
          <w:sz w:val="29"/>
          <w:szCs w:val="29"/>
        </w:rPr>
        <w:t xml:space="preserve">10.  Acceptance</w:t>
      </w:r>
    </w:p>
    <w:p>
      <w:pPr>
        <w:spacing w:after="130" w:before="0"/>
      </w:pPr>
      <w:r>
        <w:rPr>
          <w:rFonts w:ascii="Calibri" w:cs="Calibri" w:eastAsia="Calibri" w:hAnsi="Calibri"/>
          <w:color w:val="1B241F"/>
          <w:sz w:val="21"/>
          <w:szCs w:val="21"/>
        </w:rPr>
        <w:t xml:space="preserve">To proceed, sign below and return a copy. On receipt we will confirm firm dates, book the kickoff and begin Stage 1 immediately.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single" w:color="DCE3DD" w:sz="2"/>
              <w:left w:val="none" w:color="FFFFFF" w:sz="0"/>
              <w:bottom w:val="none" w:color="FFFFFF" w:sz="0"/>
              <w:right w:val="none" w:color="FFFFFF" w:sz="0"/>
            </w:tcBorders>
            <w:tcMar>
              <w:top w:type="dxa" w:w="180"/>
              <w:left w:type="dxa" w:w="0"/>
              <w:bottom w:type="dxa" w:w="80"/>
              <w:right w:type="dxa" w:w="200"/>
            </w:tcMar>
          </w:tcPr>
          <w:p>
            <w:pPr>
              <w:spacing w:after="160"/>
            </w:pPr>
            <w:r>
              <w:rPr>
                <w:rFonts w:ascii="Calibri" w:cs="Calibri" w:eastAsia="Calibri" w:hAnsi="Calibri"/>
                <w:b/>
                <w:bCs/>
                <w:color w:val="2F6B4F"/>
                <w:sz w:val="21"/>
                <w:szCs w:val="21"/>
              </w:rPr>
              <w:t xml:space="preserve">For MyBrainAI</w:t>
            </w:r>
          </w:p>
          <w:p>
            <w:pPr>
              <w:spacing w:after="160"/>
            </w:pPr>
            <w:r>
              <w:rPr>
                <w:rFonts w:ascii="Calibri" w:cs="Calibri" w:eastAsia="Calibri" w:hAnsi="Calibri"/>
                <w:color w:val="5C665F"/>
                <w:sz w:val="20"/>
                <w:szCs w:val="20"/>
              </w:rPr>
              <w:t xml:space="preserve">Signature:  </w:t>
            </w:r>
            <w:r>
              <w:rPr>
                <w:rFonts w:ascii="Calibri" w:cs="Calibri" w:eastAsia="Calibri" w:hAnsi="Calibri"/>
                <w:color w:val="1B241F"/>
                <w:sz w:val="21"/>
                <w:szCs w:val="21"/>
              </w:rPr>
              <w:t xml:space="preserve">____________________________</w:t>
            </w:r>
          </w:p>
          <w:p>
            <w:pPr>
              <w:spacing w:after="150"/>
            </w:pPr>
            <w:r>
              <w:rPr>
                <w:rFonts w:ascii="Calibri" w:cs="Calibri" w:eastAsia="Calibri" w:hAnsi="Calibri"/>
                <w:color w:val="5C665F"/>
                <w:sz w:val="20"/>
                <w:szCs w:val="20"/>
              </w:rPr>
              <w:t xml:space="preserve">Name:  </w:t>
            </w:r>
            <w:r>
              <w:rPr>
                <w:rFonts w:ascii="Calibri" w:cs="Calibri" w:eastAsia="Calibri" w:hAnsi="Calibri"/>
                <w:b/>
                <w:bCs/>
                <w:color w:val="1B241F"/>
                <w:sz w:val="21"/>
                <w:szCs w:val="21"/>
              </w:rPr>
              <w:t xml:space="preserve">Kevin Wilson</w:t>
            </w:r>
          </w:p>
          <w:p>
            <w:r>
              <w:rPr>
                <w:rFonts w:ascii="Calibri" w:cs="Calibri" w:eastAsia="Calibri" w:hAnsi="Calibri"/>
                <w:color w:val="5C665F"/>
                <w:sz w:val="20"/>
                <w:szCs w:val="20"/>
              </w:rPr>
              <w:t xml:space="preserve">Date:  </w:t>
            </w:r>
            <w:r>
              <w:rPr>
                <w:rFonts w:ascii="Calibri" w:cs="Calibri" w:eastAsia="Calibri" w:hAnsi="Calibri"/>
                <w:color w:val="1B241F"/>
                <w:sz w:val="21"/>
                <w:szCs w:val="21"/>
              </w:rPr>
              <w:t xml:space="preserve">______________</w:t>
            </w:r>
          </w:p>
        </w:tc>
        <w:tc>
          <w:tcPr>
            <w:tcW w:type="dxa" w:w="4513"/>
            <w:tcBorders>
              <w:top w:val="single" w:color="DCE3DD" w:sz="2"/>
              <w:left w:val="none" w:color="FFFFFF" w:sz="0"/>
              <w:bottom w:val="none" w:color="FFFFFF" w:sz="0"/>
              <w:right w:val="none" w:color="FFFFFF" w:sz="0"/>
            </w:tcBorders>
            <w:tcMar>
              <w:top w:type="dxa" w:w="180"/>
              <w:left w:type="dxa" w:w="0"/>
              <w:bottom w:type="dxa" w:w="80"/>
              <w:right w:type="dxa" w:w="200"/>
            </w:tcMar>
          </w:tcPr>
          <w:p>
            <w:pPr>
              <w:spacing w:after="160"/>
            </w:pPr>
            <w:r>
              <w:rPr>
                <w:rFonts w:ascii="Calibri" w:cs="Calibri" w:eastAsia="Calibri" w:hAnsi="Calibri"/>
                <w:b/>
                <w:bCs/>
                <w:color w:val="2F6B4F"/>
                <w:sz w:val="21"/>
                <w:szCs w:val="21"/>
              </w:rPr>
              <w:t xml:space="preserve">For Nile Technologies</w:t>
            </w:r>
          </w:p>
          <w:p>
            <w:pPr>
              <w:spacing w:after="160"/>
            </w:pPr>
            <w:r>
              <w:rPr>
                <w:rFonts w:ascii="Calibri" w:cs="Calibri" w:eastAsia="Calibri" w:hAnsi="Calibri"/>
                <w:color w:val="5C665F"/>
                <w:sz w:val="20"/>
                <w:szCs w:val="20"/>
              </w:rPr>
              <w:t xml:space="preserve">Signature:  </w:t>
            </w:r>
            <w:r>
              <w:rPr>
                <w:rFonts w:ascii="Calibri" w:cs="Calibri" w:eastAsia="Calibri" w:hAnsi="Calibri"/>
                <w:color w:val="1B241F"/>
                <w:sz w:val="21"/>
                <w:szCs w:val="21"/>
              </w:rPr>
              <w:t xml:space="preserve">____________________________</w:t>
            </w:r>
          </w:p>
          <w:p>
            <w:pPr>
              <w:spacing w:after="150"/>
            </w:pPr>
            <w:r>
              <w:rPr>
                <w:rFonts w:ascii="Calibri" w:cs="Calibri" w:eastAsia="Calibri" w:hAnsi="Calibri"/>
                <w:color w:val="5C665F"/>
                <w:sz w:val="20"/>
                <w:szCs w:val="20"/>
              </w:rPr>
              <w:t xml:space="preserve">Name:  </w:t>
            </w:r>
            <w:r>
              <w:rPr>
                <w:rFonts w:ascii="Calibri" w:cs="Calibri" w:eastAsia="Calibri" w:hAnsi="Calibri"/>
                <w:b/>
                <w:bCs/>
                <w:color w:val="1B241F"/>
                <w:sz w:val="21"/>
                <w:szCs w:val="21"/>
              </w:rPr>
              <w:t xml:space="preserve">Aaditya Kapoor</w:t>
            </w:r>
          </w:p>
          <w:p>
            <w:r>
              <w:rPr>
                <w:rFonts w:ascii="Calibri" w:cs="Calibri" w:eastAsia="Calibri" w:hAnsi="Calibri"/>
                <w:color w:val="5C665F"/>
                <w:sz w:val="20"/>
                <w:szCs w:val="20"/>
              </w:rPr>
              <w:t xml:space="preserve">Date:  </w:t>
            </w:r>
            <w:r>
              <w:rPr>
                <w:rFonts w:ascii="Calibri" w:cs="Calibri" w:eastAsia="Calibri" w:hAnsi="Calibri"/>
                <w:color w:val="1B241F"/>
                <w:sz w:val="21"/>
                <w:szCs w:val="21"/>
              </w:rPr>
              <w:t xml:space="preserve">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0afa18f5f8ebcd00efaf72e428fa18433ade7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MyBrainAI - Proposal and Scope of Work</dc:title>
  <dc:creator>Nile Technologies</dc:creator>
  <dc:description>Phase 1 personal AI coach application</dc:description>
  <cp:lastModifiedBy>Un-named</cp:lastModifiedBy>
  <cp:revision>1</cp:revision>
  <dcterms:created xsi:type="dcterms:W3CDTF">2026-09-03T13:30:12.524Z</dcterms:created>
  <dcterms:modified xsi:type="dcterms:W3CDTF">2026-09-03T13:30:12.524Z</dcterms:modified>
</cp:coreProperties>
</file>

<file path=docProps/custom.xml><?xml version="1.0" encoding="utf-8"?>
<Properties xmlns="http://schemas.openxmlformats.org/officeDocument/2006/custom-properties" xmlns:vt="http://schemas.openxmlformats.org/officeDocument/2006/docPropsVTypes"/>
</file>