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1143000" cy="1143000"/>
            <wp:effectExtent t="0" r="0" b="0" l="0"/>
            <wp:docPr id="1" name="logo" descr="Kumankaya logo" title="Kumank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360"/>
        <w:jc w:val="center"/>
      </w:pPr>
      <w:r>
        <w:rPr>
          <w:rFonts w:ascii="Georgia" w:cs="Georgia" w:eastAsia="Georgia" w:hAnsi="Georgia"/>
          <w:b/>
          <w:bCs/>
          <w:color w:val="1F3D2F"/>
          <w:sz w:val="56"/>
          <w:szCs w:val="56"/>
        </w:rPr>
        <w:t xml:space="preserve">Kumankaya Community</w:t>
      </w:r>
    </w:p>
    <w:p>
      <w:pPr>
        <w:spacing w:after="0" w:before="80"/>
        <w:jc w:val="center"/>
      </w:pPr>
      <w:r>
        <w:rPr>
          <w:rFonts w:ascii="Arial" w:cs="Arial" w:eastAsia="Arial" w:hAnsi="Arial"/>
          <w:b/>
          <w:bCs/>
          <w:color w:val="9C7322"/>
          <w:sz w:val="22"/>
          <w:szCs w:val="22"/>
        </w:rPr>
        <w:t xml:space="preserve">M O B I L E   A P P</w:t>
      </w:r>
    </w:p>
    <w:p>
      <w:pPr>
        <w:spacing w:after="0" w:before="280"/>
        <w:jc w:val="center"/>
      </w:pPr>
      <w:r>
        <w:rPr>
          <w:rFonts w:ascii="Georgia" w:cs="Georgia" w:eastAsia="Georgia" w:hAnsi="Georgia"/>
          <w:color w:val="2A2722"/>
          <w:sz w:val="30"/>
          <w:szCs w:val="30"/>
        </w:rPr>
        <w:t xml:space="preserve">Proposal &amp; Scope of Work</w:t>
      </w:r>
    </w:p>
    <w:p>
      <w:pPr>
        <w:spacing w:after="0" w:before="40"/>
        <w:jc w:val="center"/>
      </w:pPr>
      <w:r>
        <w:rPr>
          <w:rFonts w:ascii="Arial" w:cs="Arial" w:eastAsia="Arial" w:hAnsi="Arial"/>
          <w:i/>
          <w:iCs/>
          <w:color w:val="6F6A5F"/>
          <w:sz w:val="21"/>
          <w:szCs w:val="21"/>
        </w:rPr>
        <w:t xml:space="preserve">A community, learning &amp; reflection platform for conscious living</w:t>
      </w:r>
    </w:p>
    <w:p>
      <w:pPr>
        <w:pBdr>
          <w:top w:val="single" w:color="D8CFBC" w:sz="4" w:space="10"/>
        </w:pBdr>
        <w:spacing w:after="0" w:before="1500"/>
        <w:jc w:val="center"/>
      </w:pPr>
      <w:r>
        <w:rPr>
          <w:color w:val="6F6A5F"/>
          <w:sz w:val="20"/>
          <w:szCs w:val="20"/>
        </w:rPr>
        <w:t xml:space="preserve">Prepared for</w:t>
      </w:r>
    </w:p>
    <w:p>
      <w:pPr>
        <w:spacing w:after="0"/>
        <w:jc w:val="center"/>
      </w:pPr>
      <w:r>
        <w:rPr>
          <w:b/>
          <w:bCs/>
          <w:color w:val="1F3D2F"/>
          <w:sz w:val="24"/>
          <w:szCs w:val="24"/>
        </w:rPr>
        <w:t xml:space="preserve">Kumankaya</w:t>
      </w:r>
    </w:p>
    <w:p>
      <w:pPr>
        <w:spacing w:after="0" w:before="200"/>
        <w:jc w:val="center"/>
      </w:pPr>
      <w:r>
        <w:rPr>
          <w:color w:val="6F6A5F"/>
          <w:sz w:val="20"/>
          <w:szCs w:val="20"/>
        </w:rPr>
        <w:t xml:space="preserve">Prepared by</w:t>
      </w:r>
    </w:p>
    <w:p>
      <w:pPr>
        <w:spacing w:after="0"/>
        <w:jc w:val="center"/>
      </w:pPr>
      <w:r>
        <w:rPr>
          <w:b/>
          <w:bCs/>
          <w:color w:val="1F3D2F"/>
          <w:sz w:val="24"/>
          <w:szCs w:val="24"/>
        </w:rPr>
        <w:t xml:space="preserve">[ Your Studio Name ]</w:t>
      </w:r>
    </w:p>
    <w:p>
      <w:pPr>
        <w:spacing w:after="0" w:before="280"/>
        <w:jc w:val="center"/>
      </w:pPr>
      <w:r>
        <w:rPr>
          <w:color w:val="6F6A5F"/>
          <w:sz w:val="19"/>
          <w:szCs w:val="19"/>
        </w:rPr>
        <w:t xml:space="preserve">22 June 2026   •   Version 1.0   •   Confidential</w:t>
      </w:r>
    </w:p>
    <w:p>
      <w:pPr>
        <w:sectPr>
          <w:pgSz w:w="12240" w:h="15840" w:orient="portrait"/>
          <w:pgMar w:top="1440" w:right="1440" w:bottom="1440" w:left="1440" w:header="708" w:footer="708" w:gutter="0"/>
          <w:pgNumType/>
          <w:docGrid w:linePitch="360"/>
        </w:sectPr>
      </w:pPr>
    </w:p>
    <w:p>
      <w:pPr>
        <w:pStyle w:val="Heading1"/>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276"/>
      </w:pPr>
      <w:r>
        <w:t xml:space="preserve">Thank you for the opportunity to design and build the Kumankaya Community app. This document sets out the agreed concept, the full scope of work, the brand direction, the technical approach, and a phased plan with clear pricing and timelines.</w:t>
      </w:r>
    </w:p>
    <w:p>
      <w:pPr>
        <w:spacing w:after="140" w:line="276"/>
      </w:pPr>
      <w:r>
        <w:t xml:space="preserve">Kumankaya Community is a standalone mobile application for the wider plant-medicine wellbeing audience — not limited to the Kumankaya retreat centre. It brings together community, education, reflection and a respectful connection back to Kumankaya’s own offerings, within a positioning that is safe for the Apple App Store and Google Play.</w:t>
      </w:r>
    </w:p>
    <w:p>
      <w:pPr>
        <w:spacing w:after="140" w:line="276"/>
      </w:pPr>
      <w:r>
        <w:rPr>
          <w:b/>
          <w:bCs/>
        </w:rPr>
        <w:t xml:space="preserve">Already delivered as part of this engagement: </w:t>
      </w:r>
      <w:r>
        <w:t xml:space="preserve">a defined concept and module scope, a compliant positioning and content strategy, an approved brand direction (logo, colour palette and typography), and a fully interactive, clickable design demo of the app covering every module and flow.</w:t>
      </w:r>
    </w:p>
    <w:p>
      <w:pPr>
        <w:pStyle w:val="Heading1"/>
      </w:pPr>
      <w:r>
        <w:t xml:space="preserve">2.  Vision &amp; Positioning</w:t>
      </w:r>
    </w:p>
    <w:p>
      <w:pPr>
        <w:spacing w:after="140" w:line="276"/>
      </w:pPr>
      <w:r>
        <w:t xml:space="preserve">Because plant medicine is restricted in many jurisdictions, the application is deliberately never positioned around substances. It is positioned around the people, the journey and the wellbeing that surround them — the same category as meditation, mood-journaling and peer-support apps.</w:t>
      </w:r>
    </w:p>
    <w:p>
      <w:pPr>
        <w:spacing w:after="140" w:line="276"/>
      </w:pPr>
      <w:r>
        <w:rPr>
          <w:b/>
          <w:bCs/>
        </w:rPr>
        <w:t xml:space="preserve">Tagline:  </w:t>
      </w:r>
      <w:r>
        <w:rPr>
          <w:i/>
          <w:iCs/>
        </w:rPr>
        <w:t xml:space="preserve">“A community for healing, growth &amp; conscious living.”</w:t>
      </w:r>
    </w:p>
    <w:p>
      <w:pPr>
        <w:spacing w:after="140" w:line="276"/>
      </w:pPr>
      <w:r>
        <w:rPr>
          <w:b/>
          <w:bCs/>
        </w:rPr>
        <w:t xml:space="preserve">Mission:  </w:t>
      </w:r>
      <w:r>
        <w:t xml:space="preserve">To connect like-minded people and make the knowledge of safe preparation, integration and conscious living accessible to all — through community, learning and self-reflection.</w:t>
      </w:r>
    </w:p>
    <w:p>
      <w:pPr>
        <w:pStyle w:val="Heading3"/>
      </w:pPr>
      <w:r>
        <w:t xml:space="preserve">The three pillars</w:t>
      </w:r>
    </w:p>
    <w:p>
      <w:pPr>
        <w:pStyle w:val="ListParagraph"/>
        <w:numPr>
          <w:ilvl w:val="0"/>
          <w:numId w:val="2"/>
        </w:numPr>
        <w:spacing w:after="60" w:line="270"/>
      </w:pPr>
      <w:r>
        <w:rPr>
          <w:b/>
          <w:bCs/>
        </w:rPr>
        <w:t xml:space="preserve">Community &amp; connection — </w:t>
      </w:r>
      <w:r>
        <w:t xml:space="preserve">Find and support like-minded people in topic- and location-based forums.</w:t>
      </w:r>
    </w:p>
    <w:p>
      <w:pPr>
        <w:pStyle w:val="ListParagraph"/>
        <w:numPr>
          <w:ilvl w:val="0"/>
          <w:numId w:val="2"/>
        </w:numPr>
        <w:spacing w:after="60" w:line="270"/>
      </w:pPr>
      <w:r>
        <w:rPr>
          <w:b/>
          <w:bCs/>
        </w:rPr>
        <w:t xml:space="preserve">Education &amp; harm reduction — </w:t>
      </w:r>
      <w:r>
        <w:t xml:space="preserve">Learn how to prepare safely and integrate afterwards.</w:t>
      </w:r>
    </w:p>
    <w:p>
      <w:pPr>
        <w:pStyle w:val="ListParagraph"/>
        <w:numPr>
          <w:ilvl w:val="0"/>
          <w:numId w:val="2"/>
        </w:numPr>
        <w:spacing w:after="60" w:line="270"/>
      </w:pPr>
      <w:r>
        <w:rPr>
          <w:b/>
          <w:bCs/>
        </w:rPr>
        <w:t xml:space="preserve">Reflection &amp; wellbeing — </w:t>
      </w:r>
      <w:r>
        <w:t xml:space="preserve">Track and integrate the personal journey with a private mood journal.</w:t>
      </w:r>
    </w:p>
    <w:p>
      <w:pPr>
        <w:pStyle w:val="Heading1"/>
      </w:pPr>
      <w:r>
        <w:t xml:space="preserve">3.  Target Audience</w:t>
      </w:r>
    </w:p>
    <w:p>
      <w:pPr>
        <w:pStyle w:val="ListParagraph"/>
        <w:numPr>
          <w:ilvl w:val="0"/>
          <w:numId w:val="2"/>
        </w:numPr>
        <w:spacing w:after="60" w:line="270"/>
      </w:pPr>
      <w:r>
        <w:t xml:space="preserve">Adults (18+) interested in conscious living, healing and personal growth.</w:t>
      </w:r>
    </w:p>
    <w:p>
      <w:pPr>
        <w:pStyle w:val="ListParagraph"/>
        <w:numPr>
          <w:ilvl w:val="0"/>
          <w:numId w:val="2"/>
        </w:numPr>
        <w:spacing w:after="60" w:line="270"/>
      </w:pPr>
      <w:r>
        <w:t xml:space="preserve">People preparing for, or integrating after, a ceremony or retreat — anywhere in the world.</w:t>
      </w:r>
    </w:p>
    <w:p>
      <w:pPr>
        <w:pStyle w:val="ListParagraph"/>
        <w:numPr>
          <w:ilvl w:val="0"/>
          <w:numId w:val="2"/>
        </w:numPr>
        <w:spacing w:after="60" w:line="270"/>
      </w:pPr>
      <w:r>
        <w:t xml:space="preserve">Members of the plant-medicine and wellbeing community seeking trustworthy education and genuine connection.</w:t>
      </w:r>
    </w:p>
    <w:p>
      <w:pPr>
        <w:pStyle w:val="ListParagraph"/>
        <w:numPr>
          <w:ilvl w:val="0"/>
          <w:numId w:val="2"/>
        </w:numPr>
        <w:spacing w:after="60" w:line="270"/>
      </w:pPr>
      <w:r>
        <w:t xml:space="preserve">Prospective guests of Kumankaya looking for information and a way to make contact.</w:t>
      </w:r>
    </w:p>
    <w:p>
      <w:pPr>
        <w:pStyle w:val="Heading1"/>
      </w:pPr>
      <w:r>
        <w:t xml:space="preserve">4.  Scope of Work — App Modules</w:t>
      </w:r>
    </w:p>
    <w:p>
      <w:pPr>
        <w:spacing w:after="140" w:line="276"/>
      </w:pPr>
      <w:r>
        <w:t xml:space="preserve">The application is organised into the modules below. Each is reflected in the interactive demo already shared.</w:t>
      </w:r>
    </w:p>
    <w:p>
      <w:pPr>
        <w:pStyle w:val="Heading2"/>
      </w:pPr>
      <w:r>
        <w:t xml:space="preserve">4.1  Community</w:t>
      </w:r>
    </w:p>
    <w:p>
      <w:pPr>
        <w:pStyle w:val="ListParagraph"/>
        <w:numPr>
          <w:ilvl w:val="0"/>
          <w:numId w:val="2"/>
        </w:numPr>
        <w:spacing w:after="60" w:line="270"/>
      </w:pPr>
      <w:r>
        <w:t xml:space="preserve">Structure: Categories → Forums → Posts → threaded comments, with admin-curated categories at launch.</w:t>
      </w:r>
    </w:p>
    <w:p>
      <w:pPr>
        <w:pStyle w:val="ListParagraph"/>
        <w:numPr>
          <w:ilvl w:val="0"/>
          <w:numId w:val="2"/>
        </w:numPr>
        <w:spacing w:after="60" w:line="270"/>
      </w:pPr>
      <w:r>
        <w:t xml:space="preserve">Five post types: Discussion, Question (with a “best answer”), Blog, Announcement and Event (event details in the post body, tagged as an Event).</w:t>
      </w:r>
    </w:p>
    <w:p>
      <w:pPr>
        <w:pStyle w:val="ListParagraph"/>
        <w:numPr>
          <w:ilvl w:val="0"/>
          <w:numId w:val="2"/>
        </w:numPr>
        <w:spacing w:after="60" w:line="270"/>
      </w:pPr>
      <w:r>
        <w:t xml:space="preserve">Reactions: “Helpful / Not Relevant”, ranking content by community usefulness.</w:t>
      </w:r>
    </w:p>
    <w:p>
      <w:pPr>
        <w:pStyle w:val="ListParagraph"/>
        <w:numPr>
          <w:ilvl w:val="0"/>
          <w:numId w:val="2"/>
        </w:numPr>
        <w:spacing w:after="60" w:line="270"/>
      </w:pPr>
      <w:r>
        <w:t xml:space="preserve">Location filtering: city/region level (optional, privacy-safe) — Global, Country, City and “Near me” views.</w:t>
      </w:r>
    </w:p>
    <w:p>
      <w:pPr>
        <w:pStyle w:val="ListParagraph"/>
        <w:numPr>
          <w:ilvl w:val="0"/>
          <w:numId w:val="2"/>
        </w:numPr>
        <w:spacing w:after="60" w:line="270"/>
      </w:pPr>
      <w:r>
        <w:t xml:space="preserve">Search &amp; filters by keyword, type, location and category; tags for finer discovery.</w:t>
      </w:r>
    </w:p>
    <w:p>
      <w:pPr>
        <w:pStyle w:val="ListParagraph"/>
        <w:numPr>
          <w:ilvl w:val="0"/>
          <w:numId w:val="2"/>
        </w:numPr>
        <w:spacing w:after="60" w:line="270"/>
      </w:pPr>
      <w:r>
        <w:t xml:space="preserve">Save, share, report and follow actions throughout.</w:t>
      </w:r>
    </w:p>
    <w:p>
      <w:pPr>
        <w:pStyle w:val="Heading2"/>
      </w:pPr>
      <w:r>
        <w:t xml:space="preserve">4.2  Social Connection</w:t>
      </w:r>
    </w:p>
    <w:p>
      <w:pPr>
        <w:pStyle w:val="ListParagraph"/>
        <w:numPr>
          <w:ilvl w:val="0"/>
          <w:numId w:val="2"/>
        </w:numPr>
        <w:spacing w:after="60" w:line="270"/>
      </w:pPr>
      <w:r>
        <w:t xml:space="preserve">Pseudonymous profiles — members are discovered organically through their posts and comments.</w:t>
      </w:r>
    </w:p>
    <w:p>
      <w:pPr>
        <w:pStyle w:val="ListParagraph"/>
        <w:numPr>
          <w:ilvl w:val="0"/>
          <w:numId w:val="2"/>
        </w:numPr>
        <w:spacing w:after="60" w:line="270"/>
      </w:pPr>
      <w:r>
        <w:t xml:space="preserve">Follow (one-way) and opt-in direct messaging with request-to-message, block, mute and report.</w:t>
      </w:r>
    </w:p>
    <w:p>
      <w:pPr>
        <w:pStyle w:val="ListParagraph"/>
        <w:numPr>
          <w:ilvl w:val="0"/>
          <w:numId w:val="2"/>
        </w:numPr>
        <w:spacing w:after="60" w:line="270"/>
      </w:pPr>
      <w:r>
        <w:t xml:space="preserve">Strict anti-dating safeguards: no swipe interface, no “looking for” fields, no proximity browsing.</w:t>
      </w:r>
    </w:p>
    <w:p>
      <w:pPr>
        <w:pStyle w:val="Heading2"/>
      </w:pPr>
      <w:r>
        <w:t xml:space="preserve">4.3  Resources</w:t>
      </w:r>
    </w:p>
    <w:p>
      <w:pPr>
        <w:pStyle w:val="ListParagraph"/>
        <w:numPr>
          <w:ilvl w:val="0"/>
          <w:numId w:val="2"/>
        </w:numPr>
        <w:spacing w:after="60" w:line="270"/>
      </w:pPr>
      <w:r>
        <w:t xml:space="preserve">A knowledge library in multiple formats: video, articles, guides, toolkits, audio and PDFs.</w:t>
      </w:r>
    </w:p>
    <w:p>
      <w:pPr>
        <w:pStyle w:val="ListParagraph"/>
        <w:numPr>
          <w:ilvl w:val="0"/>
          <w:numId w:val="2"/>
        </w:numPr>
        <w:spacing w:after="60" w:line="270"/>
      </w:pPr>
      <w:r>
        <w:t xml:space="preserve">Topics framed for safety and education: ceremony preparation, integration &amp; aftercare, lifestyle, and travel.</w:t>
      </w:r>
    </w:p>
    <w:p>
      <w:pPr>
        <w:pStyle w:val="ListParagraph"/>
        <w:numPr>
          <w:ilvl w:val="0"/>
          <w:numId w:val="2"/>
        </w:numPr>
        <w:spacing w:after="60" w:line="270"/>
      </w:pPr>
      <w:r>
        <w:t xml:space="preserve">Guided “Pathways” that sequence resources into a learning journey, with progress tracking.</w:t>
      </w:r>
    </w:p>
    <w:p>
      <w:pPr>
        <w:pStyle w:val="ListParagraph"/>
        <w:numPr>
          <w:ilvl w:val="0"/>
          <w:numId w:val="2"/>
        </w:numPr>
        <w:spacing w:after="60" w:line="270"/>
      </w:pPr>
      <w:r>
        <w:t xml:space="preserve">All resource content is produced and published by the Admin (Kumankaya).</w:t>
      </w:r>
    </w:p>
    <w:p>
      <w:pPr>
        <w:pStyle w:val="Heading2"/>
      </w:pPr>
      <w:r>
        <w:t xml:space="preserve">4.4  Journaling — “Your Journey”</w:t>
      </w:r>
    </w:p>
    <w:p>
      <w:pPr>
        <w:pStyle w:val="ListParagraph"/>
        <w:numPr>
          <w:ilvl w:val="0"/>
          <w:numId w:val="2"/>
        </w:numPr>
        <w:spacing w:after="60" w:line="270"/>
      </w:pPr>
      <w:r>
        <w:t xml:space="preserve">A private, colour-coded mood calendar — each day shows a mood colour, building a visual diary over time.</w:t>
      </w:r>
    </w:p>
    <w:p>
      <w:pPr>
        <w:pStyle w:val="ListParagraph"/>
        <w:numPr>
          <w:ilvl w:val="0"/>
          <w:numId w:val="2"/>
        </w:numPr>
        <w:spacing w:after="60" w:line="270"/>
      </w:pPr>
      <w:r>
        <w:t xml:space="preserve">Entries with mood, free-text reflection, prompts, tags and attachments; insights and export.</w:t>
      </w:r>
    </w:p>
    <w:p>
      <w:pPr>
        <w:pStyle w:val="ListParagraph"/>
        <w:numPr>
          <w:ilvl w:val="0"/>
          <w:numId w:val="2"/>
        </w:numPr>
        <w:spacing w:after="60" w:line="270"/>
      </w:pPr>
      <w:r>
        <w:t xml:space="preserve">Free for every user, stored privately on the member’s device.</w:t>
      </w:r>
    </w:p>
    <w:p>
      <w:pPr>
        <w:pStyle w:val="Heading2"/>
      </w:pPr>
      <w:r>
        <w:t xml:space="preserve">4.5  Kumankaya Integration</w:t>
      </w:r>
    </w:p>
    <w:p>
      <w:pPr>
        <w:pStyle w:val="ListParagraph"/>
        <w:numPr>
          <w:ilvl w:val="0"/>
          <w:numId w:val="2"/>
        </w:numPr>
        <w:spacing w:after="60" w:line="270"/>
      </w:pPr>
      <w:r>
        <w:t xml:space="preserve">Retreat information published from the Admin Console, with an “Express Interest” enquiry.</w:t>
      </w:r>
    </w:p>
    <w:p>
      <w:pPr>
        <w:pStyle w:val="ListParagraph"/>
        <w:numPr>
          <w:ilvl w:val="0"/>
          <w:numId w:val="2"/>
        </w:numPr>
        <w:spacing w:after="60" w:line="270"/>
      </w:pPr>
      <w:r>
        <w:t xml:space="preserve">1:1 session / scheduling requests routed to the Admin Console.</w:t>
      </w:r>
    </w:p>
    <w:p>
      <w:pPr>
        <w:pStyle w:val="ListParagraph"/>
        <w:numPr>
          <w:ilvl w:val="0"/>
          <w:numId w:val="2"/>
        </w:numPr>
        <w:spacing w:after="60" w:line="270"/>
      </w:pPr>
      <w:r>
        <w:t xml:space="preserve">No payment is taken in-app for retreats or sessions — these are enquiries only.</w:t>
      </w:r>
    </w:p>
    <w:p>
      <w:pPr>
        <w:pStyle w:val="Heading2"/>
      </w:pPr>
      <w:r>
        <w:t xml:space="preserve">4.6  Membership &amp; Monetisation</w:t>
      </w:r>
    </w:p>
    <w:p>
      <w:pPr>
        <w:spacing w:after="140" w:line="276"/>
      </w:pPr>
      <w:r>
        <w:t xml:space="preserve">A permanent free tier plus optional paid subscriptions, billed through Apple and Google in-app purchasing.</w:t>
      </w:r>
    </w:p>
    <w:p>
      <w:pPr>
        <w:pStyle w:val="ListParagraph"/>
        <w:numPr>
          <w:ilvl w:val="0"/>
          <w:numId w:val="2"/>
        </w:numPr>
        <w:spacing w:after="60" w:line="270"/>
      </w:pPr>
      <w:r>
        <w:t xml:space="preserve">The paywall comprises two sources of premium content: Elite members’ Private posts, and Admin-published paid resources. All other content remains free to read.</w:t>
      </w:r>
    </w:p>
    <w:p>
      <w:pPr>
        <w:pStyle w:val="ListParagraph"/>
        <w:numPr>
          <w:ilvl w:val="0"/>
          <w:numId w:val="2"/>
        </w:numPr>
        <w:spacing w:after="60" w:line="270"/>
      </w:pPr>
      <w:r>
        <w:t xml:space="preserve">Free members on premium content see a locked teaser (half-readable title, blurred body, visible engagement) prompting subscription.</w:t>
      </w:r>
    </w:p>
    <w:p>
      <w:pPr>
        <w:pStyle w:val="ListParagraph"/>
        <w:numPr>
          <w:ilvl w:val="0"/>
          <w:numId w:val="2"/>
        </w:numPr>
        <w:spacing w:after="60" w:line="270"/>
      </w:pPr>
      <w:r>
        <w:t xml:space="preserve">Post visibility cannot be changed after publishing.</w:t>
      </w:r>
    </w:p>
    <w:p>
      <w:pPr>
        <w:pStyle w:val="Heading2"/>
      </w:pPr>
      <w:r>
        <w:t xml:space="preserve">4.7  Admin Console (Web)</w:t>
      </w:r>
    </w:p>
    <w:p>
      <w:pPr>
        <w:pStyle w:val="ListParagraph"/>
        <w:numPr>
          <w:ilvl w:val="0"/>
          <w:numId w:val="2"/>
        </w:numPr>
        <w:spacing w:after="60" w:line="270"/>
      </w:pPr>
      <w:r>
        <w:t xml:space="preserve">Content management for categories, forums, resources, pathways, retreats and announcements.</w:t>
      </w:r>
    </w:p>
    <w:p>
      <w:pPr>
        <w:pStyle w:val="ListParagraph"/>
        <w:numPr>
          <w:ilvl w:val="0"/>
          <w:numId w:val="2"/>
        </w:numPr>
        <w:spacing w:after="60" w:line="270"/>
      </w:pPr>
      <w:r>
        <w:t xml:space="preserve">User &amp; subscription management, plus the enquiry and scheduling-request inbox.</w:t>
      </w:r>
    </w:p>
    <w:p>
      <w:pPr>
        <w:pStyle w:val="ListParagraph"/>
        <w:numPr>
          <w:ilvl w:val="0"/>
          <w:numId w:val="2"/>
        </w:numPr>
        <w:spacing w:after="60" w:line="270"/>
      </w:pPr>
      <w:r>
        <w:t xml:space="preserve">Moderation: a reports queue and auto-flagging of sourcing/sales content (no separate moderator role — handled by Admin).</w:t>
      </w:r>
    </w:p>
    <w:p>
      <w:pPr>
        <w:pStyle w:val="ListParagraph"/>
        <w:numPr>
          <w:ilvl w:val="0"/>
          <w:numId w:val="2"/>
        </w:numPr>
        <w:spacing w:after="60" w:line="270"/>
      </w:pPr>
      <w:r>
        <w:t xml:space="preserve">Subscription/gating configuration, analytics and a push-notification composer.</w:t>
      </w:r>
    </w:p>
    <w:p>
      <w:pPr>
        <w:pStyle w:val="Heading1"/>
      </w:pPr>
      <w:r>
        <w:t xml:space="preserve">5.  User Roles &amp; Membership Tiers</w:t>
      </w:r>
    </w:p>
    <w:tbl>
      <w:tblPr>
        <w:tblW w:type="dxa" w:w="9360"/>
        <w:tblBorders>
          <w:top w:val="single" w:color="D8CFBC" w:sz="2"/>
          <w:left w:val="single" w:color="D8CFBC" w:sz="2"/>
          <w:bottom w:val="single" w:color="D8CFBC" w:sz="2"/>
          <w:right w:val="single" w:color="D8CFBC" w:sz="2"/>
          <w:insideH w:val="single" w:color="D8CFBC" w:sz="2"/>
          <w:insideV w:val="single" w:color="D8CFBC" w:sz="2"/>
        </w:tblBorders>
      </w:tblPr>
      <w:tblGrid>
        <w:gridCol w:w="2200"/>
        <w:gridCol w:w="7160"/>
      </w:tblGrid>
      <w:tr>
        <w:trPr>
          <w:tblHeader/>
        </w:trPr>
        <w:tc>
          <w:tcPr>
            <w:tcW w:type="dxa" w:w="220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Role / Tier</w:t>
            </w:r>
          </w:p>
        </w:tc>
        <w:tc>
          <w:tcPr>
            <w:tcW w:type="dxa" w:w="716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Access</w:t>
            </w:r>
          </w:p>
        </w:tc>
      </w:tr>
      <w:tr>
        <w:trPr>
          <w:tblHeader w:val="false"/>
        </w:trPr>
        <w:tc>
          <w:tcPr>
            <w:tcW w:type="dxa" w:w="2200"/>
            <w:shd w:fill="FFFFFF" w:val="clear"/>
            <w:tcMar>
              <w:top w:type="dxa" w:w="90"/>
              <w:left w:type="dxa" w:w="130"/>
              <w:bottom w:type="dxa" w:w="90"/>
              <w:right w:type="dxa" w:w="130"/>
            </w:tcMar>
            <w:vAlign w:val="center"/>
          </w:tcPr>
          <w:p>
            <w:pPr>
              <w:spacing w:after="0" w:line="264"/>
              <w:jc w:val="left"/>
            </w:pPr>
            <w:r>
              <w:rPr>
                <w:b/>
                <w:bCs/>
                <w:color w:val="2A2722"/>
                <w:sz w:val="21"/>
                <w:szCs w:val="21"/>
              </w:rPr>
              <w:t xml:space="preserve">Guest</w:t>
            </w:r>
          </w:p>
        </w:tc>
        <w:tc>
          <w:tcPr>
            <w:tcW w:type="dxa" w:w="71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Preview-only browsing.</w:t>
            </w:r>
          </w:p>
        </w:tc>
      </w:tr>
      <w:tr>
        <w:trPr>
          <w:tblHeader w:val="false"/>
        </w:trPr>
        <w:tc>
          <w:tcPr>
            <w:tcW w:type="dxa" w:w="2200"/>
            <w:shd w:fill="F3ECDD" w:val="clear"/>
            <w:tcMar>
              <w:top w:type="dxa" w:w="90"/>
              <w:left w:type="dxa" w:w="130"/>
              <w:bottom w:type="dxa" w:w="90"/>
              <w:right w:type="dxa" w:w="130"/>
            </w:tcMar>
            <w:vAlign w:val="center"/>
          </w:tcPr>
          <w:p>
            <w:pPr>
              <w:spacing w:after="0" w:line="264"/>
              <w:jc w:val="left"/>
            </w:pPr>
            <w:r>
              <w:rPr>
                <w:b/>
                <w:bCs/>
                <w:color w:val="2A2722"/>
                <w:sz w:val="21"/>
                <w:szCs w:val="21"/>
              </w:rPr>
              <w:t xml:space="preserve">Free Member</w:t>
            </w:r>
          </w:p>
        </w:tc>
        <w:tc>
          <w:tcPr>
            <w:tcW w:type="dxa" w:w="7160"/>
            <w:shd w:fill="F3ECDD"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Posts, comments &amp; reacts; reads all public content; full private journal. Cannot read premium content.</w:t>
            </w:r>
          </w:p>
        </w:tc>
      </w:tr>
      <w:tr>
        <w:trPr>
          <w:tblHeader w:val="false"/>
        </w:trPr>
        <w:tc>
          <w:tcPr>
            <w:tcW w:type="dxa" w:w="2200"/>
            <w:shd w:fill="FFFFFF" w:val="clear"/>
            <w:tcMar>
              <w:top w:type="dxa" w:w="90"/>
              <w:left w:type="dxa" w:w="130"/>
              <w:bottom w:type="dxa" w:w="90"/>
              <w:right w:type="dxa" w:w="130"/>
            </w:tcMar>
            <w:vAlign w:val="center"/>
          </w:tcPr>
          <w:p>
            <w:pPr>
              <w:spacing w:after="0" w:line="264"/>
              <w:jc w:val="left"/>
            </w:pPr>
            <w:r>
              <w:rPr>
                <w:b/>
                <w:bCs/>
                <w:color w:val="2A2722"/>
                <w:sz w:val="21"/>
                <w:szCs w:val="21"/>
              </w:rPr>
              <w:t xml:space="preserve">Paid Subscriber</w:t>
            </w:r>
          </w:p>
        </w:tc>
        <w:tc>
          <w:tcPr>
            <w:tcW w:type="dxa" w:w="71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Everything in Free, plus reads members-only posts and the full resource library; direct messages.</w:t>
            </w:r>
          </w:p>
        </w:tc>
      </w:tr>
      <w:tr>
        <w:trPr>
          <w:tblHeader w:val="false"/>
        </w:trPr>
        <w:tc>
          <w:tcPr>
            <w:tcW w:type="dxa" w:w="2200"/>
            <w:shd w:fill="F3ECDD" w:val="clear"/>
            <w:tcMar>
              <w:top w:type="dxa" w:w="90"/>
              <w:left w:type="dxa" w:w="130"/>
              <w:bottom w:type="dxa" w:w="90"/>
              <w:right w:type="dxa" w:w="130"/>
            </w:tcMar>
            <w:vAlign w:val="center"/>
          </w:tcPr>
          <w:p>
            <w:pPr>
              <w:spacing w:after="0" w:line="264"/>
              <w:jc w:val="left"/>
            </w:pPr>
            <w:r>
              <w:rPr>
                <w:b/>
                <w:bCs/>
                <w:color w:val="2A2722"/>
                <w:sz w:val="21"/>
                <w:szCs w:val="21"/>
              </w:rPr>
              <w:t xml:space="preserve">Elite (top tier)</w:t>
            </w:r>
          </w:p>
        </w:tc>
        <w:tc>
          <w:tcPr>
            <w:tcW w:type="dxa" w:w="7160"/>
            <w:shd w:fill="F3ECDD"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Everything in Paid, plus the Public/Private post toggle, an Elite profile badge and early access to new resources.</w:t>
            </w:r>
          </w:p>
        </w:tc>
      </w:tr>
      <w:tr>
        <w:trPr>
          <w:tblHeader w:val="false"/>
        </w:trPr>
        <w:tc>
          <w:tcPr>
            <w:tcW w:type="dxa" w:w="2200"/>
            <w:shd w:fill="FFFFFF" w:val="clear"/>
            <w:tcMar>
              <w:top w:type="dxa" w:w="90"/>
              <w:left w:type="dxa" w:w="130"/>
              <w:bottom w:type="dxa" w:w="90"/>
              <w:right w:type="dxa" w:w="130"/>
            </w:tcMar>
            <w:vAlign w:val="center"/>
          </w:tcPr>
          <w:p>
            <w:pPr>
              <w:spacing w:after="0" w:line="264"/>
              <w:jc w:val="left"/>
            </w:pPr>
            <w:r>
              <w:rPr>
                <w:b/>
                <w:bCs/>
                <w:color w:val="2A2722"/>
                <w:sz w:val="21"/>
                <w:szCs w:val="21"/>
              </w:rPr>
              <w:t xml:space="preserve">Admin</w:t>
            </w:r>
          </w:p>
        </w:tc>
        <w:tc>
          <w:tcPr>
            <w:tcW w:type="dxa" w:w="71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Full control via the web console: content, users, moderation, enquiries, configuration and analytics.</w:t>
            </w:r>
          </w:p>
        </w:tc>
      </w:tr>
    </w:tbl>
    <w:p>
      <w:pPr>
        <w:pStyle w:val="Heading1"/>
      </w:pPr>
      <w:r>
        <w:t xml:space="preserve">6.  Compliance, Safety &amp; App-Store Strategy</w:t>
      </w:r>
    </w:p>
    <w:p>
      <w:pPr>
        <w:spacing w:after="140" w:line="276"/>
      </w:pPr>
      <w:r>
        <w:t xml:space="preserve">Surviving app-store review and remaining legally defensible is a core design requirement, addressed in three places: store metadata, in-app copy &amp; disclaimers, and the moderation policy.</w:t>
      </w:r>
    </w:p>
    <w:p>
      <w:pPr>
        <w:pStyle w:val="ListParagraph"/>
        <w:numPr>
          <w:ilvl w:val="0"/>
          <w:numId w:val="2"/>
        </w:numPr>
        <w:spacing w:after="60" w:line="270"/>
      </w:pPr>
      <w:r>
        <w:t xml:space="preserve">Positioned under Health &amp; Fitness / Lifestyle; 18+ age gate; persistent “not medical advice” disclaimers and crisis-support links.</w:t>
      </w:r>
    </w:p>
    <w:p>
      <w:pPr>
        <w:pStyle w:val="ListParagraph"/>
        <w:numPr>
          <w:ilvl w:val="0"/>
          <w:numId w:val="2"/>
        </w:numPr>
        <w:spacing w:after="60" w:line="270"/>
      </w:pPr>
      <w:r>
        <w:t xml:space="preserve">The app never facilitates the sale, sourcing, obtaining, dosing or brokering of any substance.</w:t>
      </w:r>
    </w:p>
    <w:p>
      <w:pPr>
        <w:pStyle w:val="ListParagraph"/>
        <w:numPr>
          <w:ilvl w:val="0"/>
          <w:numId w:val="2"/>
        </w:numPr>
        <w:spacing w:after="60" w:line="270"/>
      </w:pPr>
      <w:r>
        <w:t xml:space="preserve">User reporting everywhere, plus automated flagging and removal of sourcing/sales content.</w:t>
      </w:r>
    </w:p>
    <w:p>
      <w:pPr>
        <w:pStyle w:val="ListParagraph"/>
        <w:numPr>
          <w:ilvl w:val="0"/>
          <w:numId w:val="2"/>
        </w:numPr>
        <w:spacing w:after="60" w:line="270"/>
      </w:pPr>
      <w:r>
        <w:t xml:space="preserve">Pseudonymity by default and strong privacy controls, reflecting the sensitivity of the audience.</w:t>
      </w:r>
    </w:p>
    <w:p>
      <w:pPr>
        <w:pStyle w:val="Heading1"/>
      </w:pPr>
      <w:r>
        <w:t xml:space="preserve">7.  Brand &amp; Design</w:t>
      </w:r>
    </w:p>
    <w:p>
      <w:pPr>
        <w:spacing w:after="140" w:line="276"/>
      </w:pPr>
      <w:r>
        <w:t xml:space="preserve">The brand direction has been approved and is applied throughout the interactive demo.</w:t>
      </w:r>
    </w:p>
    <w:p>
      <w:pPr>
        <w:pStyle w:val="ListParagraph"/>
        <w:numPr>
          <w:ilvl w:val="0"/>
          <w:numId w:val="2"/>
        </w:numPr>
        <w:spacing w:after="60" w:line="270"/>
      </w:pPr>
      <w:r>
        <w:rPr>
          <w:b/>
          <w:bCs/>
        </w:rPr>
        <w:t xml:space="preserve">Logo — </w:t>
      </w:r>
      <w:r>
        <w:t xml:space="preserve">Client-supplied gold emblem on a deep background, used as the app mark and icon.</w:t>
      </w:r>
    </w:p>
    <w:p>
      <w:pPr>
        <w:pStyle w:val="ListParagraph"/>
        <w:numPr>
          <w:ilvl w:val="0"/>
          <w:numId w:val="2"/>
        </w:numPr>
        <w:spacing w:after="60" w:line="270"/>
      </w:pPr>
      <w:r>
        <w:rPr>
          <w:b/>
          <w:bCs/>
        </w:rPr>
        <w:t xml:space="preserve">Palette — </w:t>
      </w:r>
      <w:r>
        <w:t xml:space="preserve">Jungle Green (primary), Golden Amber (premium / Elite accent), Terracotta, Moss Sage, Sand Cream and Night Indigo.</w:t>
      </w:r>
    </w:p>
    <w:p>
      <w:pPr>
        <w:pStyle w:val="ListParagraph"/>
        <w:numPr>
          <w:ilvl w:val="0"/>
          <w:numId w:val="2"/>
        </w:numPr>
        <w:spacing w:after="60" w:line="270"/>
      </w:pPr>
      <w:r>
        <w:rPr>
          <w:b/>
          <w:bCs/>
        </w:rPr>
        <w:t xml:space="preserve">Typography — </w:t>
      </w:r>
      <w:r>
        <w:t xml:space="preserve">Fraunces for headings (warm, editorial) paired with Inter for body and UI (clean, legible).</w:t>
      </w:r>
    </w:p>
    <w:p>
      <w:pPr>
        <w:pStyle w:val="ListParagraph"/>
        <w:numPr>
          <w:ilvl w:val="0"/>
          <w:numId w:val="2"/>
        </w:numPr>
        <w:spacing w:after="60" w:line="270"/>
      </w:pPr>
      <w:r>
        <w:rPr>
          <w:b/>
          <w:bCs/>
        </w:rPr>
        <w:t xml:space="preserve">Interactive demo — </w:t>
      </w:r>
      <w:r>
        <w:t xml:space="preserve">A complete clickable prototype of every screen and flow, with a tier switcher to demonstrate the freemium gating live.</w:t>
      </w:r>
    </w:p>
    <w:p>
      <w:pPr>
        <w:pStyle w:val="Heading1"/>
      </w:pPr>
      <w:r>
        <w:t xml:space="preserve">8.  Technical Approach</w:t>
      </w:r>
    </w:p>
    <w:p>
      <w:pPr>
        <w:pStyle w:val="ListParagraph"/>
        <w:numPr>
          <w:ilvl w:val="0"/>
          <w:numId w:val="2"/>
        </w:numPr>
        <w:spacing w:after="60" w:line="270"/>
      </w:pPr>
      <w:r>
        <w:t xml:space="preserve">Mobile apps for iOS and Android built with React Native (a single shared codebase for both platforms).</w:t>
      </w:r>
    </w:p>
    <w:p>
      <w:pPr>
        <w:pStyle w:val="ListParagraph"/>
        <w:numPr>
          <w:ilvl w:val="0"/>
          <w:numId w:val="2"/>
        </w:numPr>
        <w:spacing w:after="60" w:line="270"/>
      </w:pPr>
      <w:r>
        <w:t xml:space="preserve">A responsive, web-based Admin Console for the Kumankaya team.</w:t>
      </w:r>
    </w:p>
    <w:p>
      <w:pPr>
        <w:pStyle w:val="ListParagraph"/>
        <w:numPr>
          <w:ilvl w:val="0"/>
          <w:numId w:val="2"/>
        </w:numPr>
        <w:spacing w:after="60" w:line="270"/>
      </w:pPr>
      <w:r>
        <w:t xml:space="preserve">A cloud backend providing accounts, content, subscriptions, notifications and the admin API.</w:t>
      </w:r>
    </w:p>
    <w:p>
      <w:pPr>
        <w:pStyle w:val="ListParagraph"/>
        <w:numPr>
          <w:ilvl w:val="0"/>
          <w:numId w:val="2"/>
        </w:numPr>
        <w:spacing w:after="60" w:line="270"/>
      </w:pPr>
      <w:r>
        <w:t xml:space="preserve">In-app purchasing via the Apple App Store and Google Play; English at launch, architected to add languages later.</w:t>
      </w:r>
    </w:p>
    <w:p>
      <w:pPr>
        <w:pStyle w:val="Heading1"/>
      </w:pPr>
      <w:r>
        <w:t xml:space="preserve">9.  Project Phases &amp; Deliverables</w:t>
      </w:r>
    </w:p>
    <w:p>
      <w:pPr>
        <w:pStyle w:val="Heading2"/>
      </w:pPr>
      <w:r>
        <w:t xml:space="preserve">Phase 1 — MVP / Foundation</w:t>
      </w:r>
    </w:p>
    <w:p>
      <w:pPr>
        <w:pStyle w:val="ListParagraph"/>
        <w:numPr>
          <w:ilvl w:val="0"/>
          <w:numId w:val="2"/>
        </w:numPr>
        <w:spacing w:after="60" w:line="270"/>
      </w:pPr>
      <w:r>
        <w:t xml:space="preserve">Onboarding &amp; authentication (18+ gate, sign-up, profile).</w:t>
      </w:r>
    </w:p>
    <w:p>
      <w:pPr>
        <w:pStyle w:val="ListParagraph"/>
        <w:numPr>
          <w:ilvl w:val="0"/>
          <w:numId w:val="2"/>
        </w:numPr>
        <w:spacing w:after="60" w:line="270"/>
      </w:pPr>
      <w:r>
        <w:t xml:space="preserve">Community module — forums, all post types, reactions, comments, location filter and search.</w:t>
      </w:r>
    </w:p>
    <w:p>
      <w:pPr>
        <w:pStyle w:val="ListParagraph"/>
        <w:numPr>
          <w:ilvl w:val="0"/>
          <w:numId w:val="2"/>
        </w:numPr>
        <w:spacing w:after="60" w:line="270"/>
      </w:pPr>
      <w:r>
        <w:t xml:space="preserve">Journaling — the full private mood journal (free).</w:t>
      </w:r>
    </w:p>
    <w:p>
      <w:pPr>
        <w:pStyle w:val="ListParagraph"/>
        <w:numPr>
          <w:ilvl w:val="0"/>
          <w:numId w:val="2"/>
        </w:numPr>
        <w:spacing w:after="60" w:line="270"/>
      </w:pPr>
      <w:r>
        <w:t xml:space="preserve">Resources — the core library.</w:t>
      </w:r>
    </w:p>
    <w:p>
      <w:pPr>
        <w:pStyle w:val="ListParagraph"/>
        <w:numPr>
          <w:ilvl w:val="0"/>
          <w:numId w:val="2"/>
        </w:numPr>
        <w:spacing w:after="60" w:line="270"/>
      </w:pPr>
      <w:r>
        <w:t xml:space="preserve">Kumankaya integration — retreat information, enquiry and 1:1 scheduling requests.</w:t>
      </w:r>
    </w:p>
    <w:p>
      <w:pPr>
        <w:pStyle w:val="ListParagraph"/>
        <w:numPr>
          <w:ilvl w:val="0"/>
          <w:numId w:val="2"/>
        </w:numPr>
        <w:spacing w:after="60" w:line="270"/>
      </w:pPr>
      <w:r>
        <w:t xml:space="preserve">Admin Console — content management, enquiry inbox and moderation.</w:t>
      </w:r>
    </w:p>
    <w:p>
      <w:pPr>
        <w:pStyle w:val="ListParagraph"/>
        <w:numPr>
          <w:ilvl w:val="0"/>
          <w:numId w:val="2"/>
        </w:numPr>
        <w:spacing w:after="60" w:line="270"/>
      </w:pPr>
      <w:r>
        <w:t xml:space="preserve">Basic freemium gating and minimal profile viewing.</w:t>
      </w:r>
    </w:p>
    <w:p>
      <w:pPr>
        <w:pStyle w:val="Heading2"/>
      </w:pPr>
      <w:r>
        <w:t xml:space="preserve">Phase 2 — Full App (all-inclusive)</w:t>
      </w:r>
    </w:p>
    <w:p>
      <w:pPr>
        <w:pStyle w:val="ListParagraph"/>
        <w:numPr>
          <w:ilvl w:val="0"/>
          <w:numId w:val="2"/>
        </w:numPr>
        <w:spacing w:after="60" w:line="270"/>
      </w:pPr>
      <w:r>
        <w:t xml:space="preserve">Social — profiles, follow and opt-in direct messaging.</w:t>
      </w:r>
    </w:p>
    <w:p>
      <w:pPr>
        <w:pStyle w:val="ListParagraph"/>
        <w:numPr>
          <w:ilvl w:val="0"/>
          <w:numId w:val="2"/>
        </w:numPr>
        <w:spacing w:after="60" w:line="270"/>
      </w:pPr>
      <w:r>
        <w:t xml:space="preserve">Subscriptions &amp; monetisation — Paid and Elite tiers, the Public/Private post toggle and in-app purchasing.</w:t>
      </w:r>
    </w:p>
    <w:p>
      <w:pPr>
        <w:pStyle w:val="ListParagraph"/>
        <w:numPr>
          <w:ilvl w:val="0"/>
          <w:numId w:val="2"/>
        </w:numPr>
        <w:spacing w:after="60" w:line="270"/>
      </w:pPr>
      <w:r>
        <w:t xml:space="preserve">Resource Pathways with progress tracking.</w:t>
      </w:r>
    </w:p>
    <w:p>
      <w:pPr>
        <w:pStyle w:val="ListParagraph"/>
        <w:numPr>
          <w:ilvl w:val="0"/>
          <w:numId w:val="2"/>
        </w:numPr>
        <w:spacing w:after="60" w:line="270"/>
      </w:pPr>
      <w:r>
        <w:t xml:space="preserve">Push notifications, analytics and offline access for saved resources and journaling.</w:t>
      </w:r>
    </w:p>
    <w:p>
      <w:pPr>
        <w:pStyle w:val="ListParagraph"/>
        <w:numPr>
          <w:ilvl w:val="0"/>
          <w:numId w:val="2"/>
        </w:numPr>
        <w:spacing w:after="60" w:line="270"/>
      </w:pPr>
      <w:r>
        <w:t xml:space="preserve">Refinement and hardening of all Phase 1 modules.</w:t>
      </w:r>
    </w:p>
    <w:p>
      <w:pPr>
        <w:pStyle w:val="Heading1"/>
      </w:pPr>
      <w:r>
        <w:t xml:space="preserve">10.  Investment</w:t>
      </w:r>
    </w:p>
    <w:tbl>
      <w:tblPr>
        <w:tblW w:type="dxa" w:w="9360"/>
        <w:tblBorders>
          <w:top w:val="single" w:color="D8CFBC" w:sz="2"/>
          <w:left w:val="single" w:color="D8CFBC" w:sz="2"/>
          <w:bottom w:val="single" w:color="D8CFBC" w:sz="2"/>
          <w:right w:val="single" w:color="D8CFBC" w:sz="2"/>
          <w:insideH w:val="single" w:color="D8CFBC" w:sz="2"/>
          <w:insideV w:val="single" w:color="D8CFBC" w:sz="2"/>
        </w:tblBorders>
      </w:tblPr>
      <w:tblGrid>
        <w:gridCol w:w="2600"/>
        <w:gridCol w:w="5160"/>
        <w:gridCol w:w="1600"/>
      </w:tblGrid>
      <w:tr>
        <w:trPr>
          <w:tblHeader/>
        </w:trPr>
        <w:tc>
          <w:tcPr>
            <w:tcW w:type="dxa" w:w="260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Phase</w:t>
            </w:r>
          </w:p>
        </w:tc>
        <w:tc>
          <w:tcPr>
            <w:tcW w:type="dxa" w:w="516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Summary</w:t>
            </w:r>
          </w:p>
        </w:tc>
        <w:tc>
          <w:tcPr>
            <w:tcW w:type="dxa" w:w="1600"/>
            <w:shd w:fill="1F3D2F" w:val="clear"/>
            <w:tcMar>
              <w:top w:type="dxa" w:w="90"/>
              <w:left w:type="dxa" w:w="130"/>
              <w:bottom w:type="dxa" w:w="90"/>
              <w:right w:type="dxa" w:w="130"/>
            </w:tcMar>
            <w:vAlign w:val="center"/>
          </w:tcPr>
          <w:p>
            <w:pPr>
              <w:spacing w:after="0" w:line="264"/>
              <w:jc w:val="right"/>
            </w:pPr>
            <w:r>
              <w:rPr>
                <w:b/>
                <w:bCs/>
                <w:color w:val="FFFFFF"/>
                <w:sz w:val="21"/>
                <w:szCs w:val="21"/>
              </w:rPr>
              <w:t xml:space="preserve">Investment</w:t>
            </w:r>
          </w:p>
        </w:tc>
      </w:tr>
      <w:tr>
        <w:trPr>
          <w:tblHeader w:val="false"/>
        </w:trPr>
        <w:tc>
          <w:tcPr>
            <w:tcW w:type="dxa" w:w="2600"/>
            <w:shd w:fill="FFFFFF" w:val="clear"/>
            <w:tcMar>
              <w:top w:type="dxa" w:w="90"/>
              <w:left w:type="dxa" w:w="130"/>
              <w:bottom w:type="dxa" w:w="90"/>
              <w:right w:type="dxa" w:w="130"/>
            </w:tcMar>
            <w:vAlign w:val="center"/>
          </w:tcPr>
          <w:p>
            <w:pPr>
              <w:spacing w:after="0" w:line="264"/>
              <w:jc w:val="left"/>
            </w:pPr>
            <w:r>
              <w:rPr>
                <w:b/>
                <w:bCs/>
                <w:color w:val="2A2722"/>
                <w:sz w:val="21"/>
                <w:szCs w:val="21"/>
              </w:rPr>
              <w:t xml:space="preserve">Phase 1 — MVP</w:t>
            </w:r>
          </w:p>
        </w:tc>
        <w:tc>
          <w:tcPr>
            <w:tcW w:type="dxa" w:w="51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Foundation: community, journaling, resources, Kumankaya enquiries and the Admin Console.</w:t>
            </w:r>
          </w:p>
        </w:tc>
        <w:tc>
          <w:tcPr>
            <w:tcW w:type="dxa" w:w="1600"/>
            <w:shd w:fill="FFFFFF" w:val="clear"/>
            <w:tcMar>
              <w:top w:type="dxa" w:w="90"/>
              <w:left w:type="dxa" w:w="130"/>
              <w:bottom w:type="dxa" w:w="90"/>
              <w:right w:type="dxa" w:w="130"/>
            </w:tcMar>
            <w:vAlign w:val="center"/>
          </w:tcPr>
          <w:p>
            <w:pPr>
              <w:spacing w:after="0" w:line="264"/>
              <w:jc w:val="right"/>
            </w:pPr>
            <w:r>
              <w:rPr>
                <w:b/>
                <w:bCs/>
                <w:color w:val="2A2722"/>
                <w:sz w:val="21"/>
                <w:szCs w:val="21"/>
              </w:rPr>
              <w:t xml:space="preserve">USD 9,000</w:t>
            </w:r>
          </w:p>
        </w:tc>
      </w:tr>
      <w:tr>
        <w:trPr>
          <w:tblHeader w:val="false"/>
        </w:trPr>
        <w:tc>
          <w:tcPr>
            <w:tcW w:type="dxa" w:w="2600"/>
            <w:shd w:fill="F3ECDD" w:val="clear"/>
            <w:tcMar>
              <w:top w:type="dxa" w:w="90"/>
              <w:left w:type="dxa" w:w="130"/>
              <w:bottom w:type="dxa" w:w="90"/>
              <w:right w:type="dxa" w:w="130"/>
            </w:tcMar>
            <w:vAlign w:val="center"/>
          </w:tcPr>
          <w:p>
            <w:pPr>
              <w:spacing w:after="0" w:line="264"/>
              <w:jc w:val="left"/>
            </w:pPr>
            <w:r>
              <w:rPr>
                <w:b/>
                <w:bCs/>
                <w:color w:val="2A2722"/>
                <w:sz w:val="21"/>
                <w:szCs w:val="21"/>
              </w:rPr>
              <w:t xml:space="preserve">Phase 2 — Full App</w:t>
            </w:r>
          </w:p>
        </w:tc>
        <w:tc>
          <w:tcPr>
            <w:tcW w:type="dxa" w:w="5160"/>
            <w:shd w:fill="F3ECDD"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All-inclusive: social, subscriptions &amp; Elite, pathways, notifications, analytics and offline.</w:t>
            </w:r>
          </w:p>
        </w:tc>
        <w:tc>
          <w:tcPr>
            <w:tcW w:type="dxa" w:w="1600"/>
            <w:shd w:fill="F3ECDD" w:val="clear"/>
            <w:tcMar>
              <w:top w:type="dxa" w:w="90"/>
              <w:left w:type="dxa" w:w="130"/>
              <w:bottom w:type="dxa" w:w="90"/>
              <w:right w:type="dxa" w:w="130"/>
            </w:tcMar>
            <w:vAlign w:val="center"/>
          </w:tcPr>
          <w:p>
            <w:pPr>
              <w:spacing w:after="0" w:line="264"/>
              <w:jc w:val="right"/>
            </w:pPr>
            <w:r>
              <w:rPr>
                <w:b/>
                <w:bCs/>
                <w:color w:val="2A2722"/>
                <w:sz w:val="21"/>
                <w:szCs w:val="21"/>
              </w:rPr>
              <w:t xml:space="preserve">USD 14,000</w:t>
            </w:r>
          </w:p>
        </w:tc>
      </w:tr>
      <w:tr>
        <w:trPr>
          <w:tblHeader w:val="false"/>
        </w:trPr>
        <w:tc>
          <w:tcPr>
            <w:tcW w:type="dxa" w:w="2600"/>
            <w:shd w:fill="E9DEC6" w:val="clear"/>
            <w:tcMar>
              <w:top w:type="dxa" w:w="90"/>
              <w:left w:type="dxa" w:w="130"/>
              <w:bottom w:type="dxa" w:w="90"/>
              <w:right w:type="dxa" w:w="130"/>
            </w:tcMar>
            <w:vAlign w:val="center"/>
          </w:tcPr>
          <w:p>
            <w:pPr>
              <w:spacing w:after="0" w:line="264"/>
              <w:jc w:val="left"/>
            </w:pPr>
            <w:r>
              <w:rPr>
                <w:b/>
                <w:bCs/>
                <w:color w:val="2A2722"/>
                <w:sz w:val="21"/>
                <w:szCs w:val="21"/>
              </w:rPr>
              <w:t xml:space="preserve">Total</w:t>
            </w:r>
          </w:p>
        </w:tc>
        <w:tc>
          <w:tcPr>
            <w:tcW w:type="dxa" w:w="5160"/>
            <w:shd w:fill="E9DEC6"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Complete two-phase build of the Kumankaya Community app.</w:t>
            </w:r>
          </w:p>
        </w:tc>
        <w:tc>
          <w:tcPr>
            <w:tcW w:type="dxa" w:w="1600"/>
            <w:shd w:fill="E9DEC6" w:val="clear"/>
            <w:tcMar>
              <w:top w:type="dxa" w:w="90"/>
              <w:left w:type="dxa" w:w="130"/>
              <w:bottom w:type="dxa" w:w="90"/>
              <w:right w:type="dxa" w:w="130"/>
            </w:tcMar>
            <w:vAlign w:val="center"/>
          </w:tcPr>
          <w:p>
            <w:pPr>
              <w:spacing w:after="0" w:line="264"/>
              <w:jc w:val="right"/>
            </w:pPr>
            <w:r>
              <w:rPr>
                <w:b/>
                <w:bCs/>
                <w:color w:val="1F3D2F"/>
                <w:sz w:val="21"/>
                <w:szCs w:val="21"/>
              </w:rPr>
              <w:t xml:space="preserve">USD 23,000</w:t>
            </w:r>
          </w:p>
        </w:tc>
      </w:tr>
    </w:tbl>
    <w:p>
      <w:pPr>
        <w:spacing w:after="120"/>
      </w:pPr>
      <w:r>
        <w:t xml:space="preserve"/>
      </w:r>
    </w:p>
    <w:p>
      <w:pPr>
        <w:spacing w:after="140" w:line="276"/>
      </w:pPr>
      <w:r>
        <w:rPr>
          <w:i/>
          <w:iCs/>
          <w:color w:val="6F6A5F"/>
          <w:sz w:val="19"/>
          <w:szCs w:val="19"/>
        </w:rPr>
        <w:t xml:space="preserve">All figures are in US dollars and exclusive of any applicable taxes. Phase 2 may begin after Phase 1 sign-off.</w:t>
      </w:r>
    </w:p>
    <w:p>
      <w:pPr>
        <w:pStyle w:val="Heading2"/>
      </w:pPr>
      <w:r>
        <w:t xml:space="preserve">Proposed payment schedule</w:t>
      </w:r>
    </w:p>
    <w:tbl>
      <w:tblPr>
        <w:tblW w:type="dxa" w:w="9360"/>
        <w:tblBorders>
          <w:top w:val="single" w:color="D8CFBC" w:sz="2"/>
          <w:left w:val="single" w:color="D8CFBC" w:sz="2"/>
          <w:bottom w:val="single" w:color="D8CFBC" w:sz="2"/>
          <w:right w:val="single" w:color="D8CFBC" w:sz="2"/>
          <w:insideH w:val="single" w:color="D8CFBC" w:sz="2"/>
          <w:insideV w:val="single" w:color="D8CFBC" w:sz="2"/>
        </w:tblBorders>
      </w:tblPr>
      <w:tblGrid>
        <w:gridCol w:w="3360"/>
        <w:gridCol w:w="3000"/>
        <w:gridCol w:w="3000"/>
      </w:tblGrid>
      <w:tr>
        <w:trPr>
          <w:tblHeader/>
        </w:trPr>
        <w:tc>
          <w:tcPr>
            <w:tcW w:type="dxa" w:w="336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Milestone</w:t>
            </w:r>
          </w:p>
        </w:tc>
        <w:tc>
          <w:tcPr>
            <w:tcW w:type="dxa" w:w="3000"/>
            <w:shd w:fill="1F3D2F" w:val="clear"/>
            <w:tcMar>
              <w:top w:type="dxa" w:w="90"/>
              <w:left w:type="dxa" w:w="130"/>
              <w:bottom w:type="dxa" w:w="90"/>
              <w:right w:type="dxa" w:w="130"/>
            </w:tcMar>
            <w:vAlign w:val="center"/>
          </w:tcPr>
          <w:p>
            <w:pPr>
              <w:spacing w:after="0" w:line="264"/>
              <w:jc w:val="right"/>
            </w:pPr>
            <w:r>
              <w:rPr>
                <w:b/>
                <w:bCs/>
                <w:color w:val="FFFFFF"/>
                <w:sz w:val="21"/>
                <w:szCs w:val="21"/>
              </w:rPr>
              <w:t xml:space="preserve">Phase 1</w:t>
            </w:r>
          </w:p>
        </w:tc>
        <w:tc>
          <w:tcPr>
            <w:tcW w:type="dxa" w:w="3000"/>
            <w:shd w:fill="1F3D2F" w:val="clear"/>
            <w:tcMar>
              <w:top w:type="dxa" w:w="90"/>
              <w:left w:type="dxa" w:w="130"/>
              <w:bottom w:type="dxa" w:w="90"/>
              <w:right w:type="dxa" w:w="130"/>
            </w:tcMar>
            <w:vAlign w:val="center"/>
          </w:tcPr>
          <w:p>
            <w:pPr>
              <w:spacing w:after="0" w:line="264"/>
              <w:jc w:val="right"/>
            </w:pPr>
            <w:r>
              <w:rPr>
                <w:b/>
                <w:bCs/>
                <w:color w:val="FFFFFF"/>
                <w:sz w:val="21"/>
                <w:szCs w:val="21"/>
              </w:rPr>
              <w:t xml:space="preserve">Phase 2</w:t>
            </w:r>
          </w:p>
        </w:tc>
      </w:tr>
      <w:tr>
        <w:trPr>
          <w:tblHeader w:val="false"/>
        </w:trPr>
        <w:tc>
          <w:tcPr>
            <w:tcW w:type="dxa" w:w="33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On approval (to commence) — 40%</w:t>
            </w:r>
          </w:p>
        </w:tc>
        <w:tc>
          <w:tcPr>
            <w:tcW w:type="dxa" w:w="3000"/>
            <w:shd w:fill="FFFFFF"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3,600</w:t>
            </w:r>
          </w:p>
        </w:tc>
        <w:tc>
          <w:tcPr>
            <w:tcW w:type="dxa" w:w="3000"/>
            <w:shd w:fill="FFFFFF"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5,600</w:t>
            </w:r>
          </w:p>
        </w:tc>
      </w:tr>
      <w:tr>
        <w:trPr>
          <w:tblHeader w:val="false"/>
        </w:trPr>
        <w:tc>
          <w:tcPr>
            <w:tcW w:type="dxa" w:w="3360"/>
            <w:shd w:fill="F3ECDD"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At internal beta / mid-build — 30%</w:t>
            </w:r>
          </w:p>
        </w:tc>
        <w:tc>
          <w:tcPr>
            <w:tcW w:type="dxa" w:w="3000"/>
            <w:shd w:fill="F3ECDD"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2,700</w:t>
            </w:r>
          </w:p>
        </w:tc>
        <w:tc>
          <w:tcPr>
            <w:tcW w:type="dxa" w:w="3000"/>
            <w:shd w:fill="F3ECDD"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4,200</w:t>
            </w:r>
          </w:p>
        </w:tc>
      </w:tr>
      <w:tr>
        <w:trPr>
          <w:tblHeader w:val="false"/>
        </w:trPr>
        <w:tc>
          <w:tcPr>
            <w:tcW w:type="dxa" w:w="336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On delivery &amp; handover — 30%</w:t>
            </w:r>
          </w:p>
        </w:tc>
        <w:tc>
          <w:tcPr>
            <w:tcW w:type="dxa" w:w="3000"/>
            <w:shd w:fill="FFFFFF"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2,700</w:t>
            </w:r>
          </w:p>
        </w:tc>
        <w:tc>
          <w:tcPr>
            <w:tcW w:type="dxa" w:w="3000"/>
            <w:shd w:fill="FFFFFF" w:val="clear"/>
            <w:tcMar>
              <w:top w:type="dxa" w:w="90"/>
              <w:left w:type="dxa" w:w="130"/>
              <w:bottom w:type="dxa" w:w="90"/>
              <w:right w:type="dxa" w:w="130"/>
            </w:tcMar>
            <w:vAlign w:val="center"/>
          </w:tcPr>
          <w:p>
            <w:pPr>
              <w:spacing w:after="0" w:line="264"/>
              <w:jc w:val="right"/>
            </w:pPr>
            <w:r>
              <w:rPr>
                <w:b w:val="false"/>
                <w:bCs w:val="false"/>
                <w:color w:val="2A2722"/>
                <w:sz w:val="21"/>
                <w:szCs w:val="21"/>
              </w:rPr>
              <w:t xml:space="preserve">USD 4,200</w:t>
            </w:r>
          </w:p>
        </w:tc>
      </w:tr>
    </w:tbl>
    <w:p>
      <w:pPr>
        <w:pStyle w:val="Heading1"/>
      </w:pPr>
      <w:r>
        <w:t xml:space="preserve">11.  Indicative Timeline</w:t>
      </w:r>
    </w:p>
    <w:tbl>
      <w:tblPr>
        <w:tblW w:type="dxa" w:w="9360"/>
        <w:tblBorders>
          <w:top w:val="single" w:color="D8CFBC" w:sz="2"/>
          <w:left w:val="single" w:color="D8CFBC" w:sz="2"/>
          <w:bottom w:val="single" w:color="D8CFBC" w:sz="2"/>
          <w:right w:val="single" w:color="D8CFBC" w:sz="2"/>
          <w:insideH w:val="single" w:color="D8CFBC" w:sz="2"/>
          <w:insideV w:val="single" w:color="D8CFBC" w:sz="2"/>
        </w:tblBorders>
      </w:tblPr>
      <w:tblGrid>
        <w:gridCol w:w="4680"/>
        <w:gridCol w:w="4680"/>
      </w:tblGrid>
      <w:tr>
        <w:trPr>
          <w:tblHeader/>
        </w:trPr>
        <w:tc>
          <w:tcPr>
            <w:tcW w:type="dxa" w:w="468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Phase</w:t>
            </w:r>
          </w:p>
        </w:tc>
        <w:tc>
          <w:tcPr>
            <w:tcW w:type="dxa" w:w="4680"/>
            <w:shd w:fill="1F3D2F" w:val="clear"/>
            <w:tcMar>
              <w:top w:type="dxa" w:w="90"/>
              <w:left w:type="dxa" w:w="130"/>
              <w:bottom w:type="dxa" w:w="90"/>
              <w:right w:type="dxa" w:w="130"/>
            </w:tcMar>
            <w:vAlign w:val="center"/>
          </w:tcPr>
          <w:p>
            <w:pPr>
              <w:spacing w:after="0" w:line="264"/>
              <w:jc w:val="left"/>
            </w:pPr>
            <w:r>
              <w:rPr>
                <w:b/>
                <w:bCs/>
                <w:color w:val="FFFFFF"/>
                <w:sz w:val="21"/>
                <w:szCs w:val="21"/>
              </w:rPr>
              <w:t xml:space="preserve">Estimated duration</w:t>
            </w:r>
          </w:p>
        </w:tc>
      </w:tr>
      <w:tr>
        <w:trPr>
          <w:tblHeader w:val="false"/>
        </w:trPr>
        <w:tc>
          <w:tcPr>
            <w:tcW w:type="dxa" w:w="4680"/>
            <w:shd w:fill="FFFFFF" w:val="clear"/>
            <w:tcMar>
              <w:top w:type="dxa" w:w="90"/>
              <w:left w:type="dxa" w:w="130"/>
              <w:bottom w:type="dxa" w:w="90"/>
              <w:right w:type="dxa" w:w="130"/>
            </w:tcMar>
            <w:vAlign w:val="center"/>
          </w:tcPr>
          <w:p>
            <w:pPr>
              <w:spacing w:after="0" w:line="264"/>
              <w:jc w:val="left"/>
            </w:pPr>
            <w:r>
              <w:rPr>
                <w:b/>
                <w:bCs/>
                <w:color w:val="2A2722"/>
                <w:sz w:val="21"/>
                <w:szCs w:val="21"/>
              </w:rPr>
              <w:t xml:space="preserve">Phase 1 — MVP</w:t>
            </w:r>
          </w:p>
        </w:tc>
        <w:tc>
          <w:tcPr>
            <w:tcW w:type="dxa" w:w="4680"/>
            <w:shd w:fill="FFFFFF"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Approx. 8–10 weeks</w:t>
            </w:r>
          </w:p>
        </w:tc>
      </w:tr>
      <w:tr>
        <w:trPr>
          <w:tblHeader w:val="false"/>
        </w:trPr>
        <w:tc>
          <w:tcPr>
            <w:tcW w:type="dxa" w:w="4680"/>
            <w:shd w:fill="F3ECDD" w:val="clear"/>
            <w:tcMar>
              <w:top w:type="dxa" w:w="90"/>
              <w:left w:type="dxa" w:w="130"/>
              <w:bottom w:type="dxa" w:w="90"/>
              <w:right w:type="dxa" w:w="130"/>
            </w:tcMar>
            <w:vAlign w:val="center"/>
          </w:tcPr>
          <w:p>
            <w:pPr>
              <w:spacing w:after="0" w:line="264"/>
              <w:jc w:val="left"/>
            </w:pPr>
            <w:r>
              <w:rPr>
                <w:b/>
                <w:bCs/>
                <w:color w:val="2A2722"/>
                <w:sz w:val="21"/>
                <w:szCs w:val="21"/>
              </w:rPr>
              <w:t xml:space="preserve">Phase 2 — Full App</w:t>
            </w:r>
          </w:p>
        </w:tc>
        <w:tc>
          <w:tcPr>
            <w:tcW w:type="dxa" w:w="4680"/>
            <w:shd w:fill="F3ECDD"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Approx. 8–10 weeks</w:t>
            </w:r>
          </w:p>
        </w:tc>
      </w:tr>
      <w:tr>
        <w:trPr>
          <w:tblHeader w:val="false"/>
        </w:trPr>
        <w:tc>
          <w:tcPr>
            <w:tcW w:type="dxa" w:w="4680"/>
            <w:shd w:fill="E9DEC6" w:val="clear"/>
            <w:tcMar>
              <w:top w:type="dxa" w:w="90"/>
              <w:left w:type="dxa" w:w="130"/>
              <w:bottom w:type="dxa" w:w="90"/>
              <w:right w:type="dxa" w:w="130"/>
            </w:tcMar>
            <w:vAlign w:val="center"/>
          </w:tcPr>
          <w:p>
            <w:pPr>
              <w:spacing w:after="0" w:line="264"/>
              <w:jc w:val="left"/>
            </w:pPr>
            <w:r>
              <w:rPr>
                <w:b/>
                <w:bCs/>
                <w:color w:val="2A2722"/>
                <w:sz w:val="21"/>
                <w:szCs w:val="21"/>
              </w:rPr>
              <w:t xml:space="preserve">Total</w:t>
            </w:r>
          </w:p>
        </w:tc>
        <w:tc>
          <w:tcPr>
            <w:tcW w:type="dxa" w:w="4680"/>
            <w:shd w:fill="E9DEC6" w:val="clear"/>
            <w:tcMar>
              <w:top w:type="dxa" w:w="90"/>
              <w:left w:type="dxa" w:w="130"/>
              <w:bottom w:type="dxa" w:w="90"/>
              <w:right w:type="dxa" w:w="130"/>
            </w:tcMar>
            <w:vAlign w:val="center"/>
          </w:tcPr>
          <w:p>
            <w:pPr>
              <w:spacing w:after="0" w:line="264"/>
              <w:jc w:val="left"/>
            </w:pPr>
            <w:r>
              <w:rPr>
                <w:b w:val="false"/>
                <w:bCs w:val="false"/>
                <w:color w:val="2A2722"/>
                <w:sz w:val="21"/>
                <w:szCs w:val="21"/>
              </w:rPr>
              <w:t xml:space="preserve">Approx. 4–5 months end-to-end</w:t>
            </w:r>
          </w:p>
        </w:tc>
      </w:tr>
    </w:tbl>
    <w:p>
      <w:pPr>
        <w:spacing w:after="120"/>
      </w:pPr>
      <w:r>
        <w:t xml:space="preserve"/>
      </w:r>
    </w:p>
    <w:p>
      <w:pPr>
        <w:spacing w:after="140" w:line="276"/>
      </w:pPr>
      <w:r>
        <w:rPr>
          <w:i/>
          <w:iCs/>
          <w:color w:val="6F6A5F"/>
          <w:sz w:val="19"/>
          <w:szCs w:val="19"/>
        </w:rPr>
        <w:t xml:space="preserve">Timelines are indicative and assume timely feedback, approvals and content from Kumankaya.</w:t>
      </w:r>
    </w:p>
    <w:p>
      <w:pPr>
        <w:pStyle w:val="Heading1"/>
      </w:pPr>
      <w:r>
        <w:t xml:space="preserve">12.  Assumptions &amp; Exclusions</w:t>
      </w:r>
    </w:p>
    <w:p>
      <w:pPr>
        <w:pStyle w:val="Heading3"/>
      </w:pPr>
      <w:r>
        <w:t xml:space="preserve">Included</w:t>
      </w:r>
    </w:p>
    <w:p>
      <w:pPr>
        <w:pStyle w:val="ListParagraph"/>
        <w:numPr>
          <w:ilvl w:val="0"/>
          <w:numId w:val="2"/>
        </w:numPr>
        <w:spacing w:after="60" w:line="270"/>
      </w:pPr>
      <w:r>
        <w:t xml:space="preserve">UI/UX design, development, testing and store submission support for the scope above.</w:t>
      </w:r>
    </w:p>
    <w:p>
      <w:pPr>
        <w:pStyle w:val="ListParagraph"/>
        <w:numPr>
          <w:ilvl w:val="0"/>
          <w:numId w:val="2"/>
        </w:numPr>
        <w:spacing w:after="60" w:line="270"/>
      </w:pPr>
      <w:r>
        <w:t xml:space="preserve">A 30-day post-delivery bug-fix warranty for each phase.</w:t>
      </w:r>
    </w:p>
    <w:p>
      <w:pPr>
        <w:pStyle w:val="Heading3"/>
      </w:pPr>
      <w:r>
        <w:t xml:space="preserve">Not included (handled separately or by Kumankaya)</w:t>
      </w:r>
    </w:p>
    <w:p>
      <w:pPr>
        <w:pStyle w:val="ListParagraph"/>
        <w:numPr>
          <w:ilvl w:val="0"/>
          <w:numId w:val="2"/>
        </w:numPr>
        <w:spacing w:after="60" w:line="270"/>
      </w:pPr>
      <w:r>
        <w:t xml:space="preserve">Production of resource content (videos, written guides, audio) and final brand assets.</w:t>
      </w:r>
    </w:p>
    <w:p>
      <w:pPr>
        <w:pStyle w:val="ListParagraph"/>
        <w:numPr>
          <w:ilvl w:val="0"/>
          <w:numId w:val="2"/>
        </w:numPr>
        <w:spacing w:after="60" w:line="270"/>
      </w:pPr>
      <w:r>
        <w:t xml:space="preserve">Drafting of legal documents — Terms of Service and Privacy Policy (by the client’s legal counsel).</w:t>
      </w:r>
    </w:p>
    <w:p>
      <w:pPr>
        <w:pStyle w:val="ListParagraph"/>
        <w:numPr>
          <w:ilvl w:val="0"/>
          <w:numId w:val="2"/>
        </w:numPr>
        <w:spacing w:after="60" w:line="270"/>
      </w:pPr>
      <w:r>
        <w:t xml:space="preserve">Ongoing maintenance, hosting management and new feature work after each phase’s warranty.</w:t>
      </w:r>
    </w:p>
    <w:p>
      <w:pPr>
        <w:pStyle w:val="ListParagraph"/>
        <w:numPr>
          <w:ilvl w:val="0"/>
          <w:numId w:val="2"/>
        </w:numPr>
        <w:spacing w:after="60" w:line="270"/>
      </w:pPr>
      <w:r>
        <w:t xml:space="preserve">Translations / additional languages beyond English at launch.</w:t>
      </w:r>
    </w:p>
    <w:p>
      <w:pPr>
        <w:pStyle w:val="Heading3"/>
      </w:pPr>
      <w:r>
        <w:t xml:space="preserve">Third-party costs (client’s account &amp; responsibility)</w:t>
      </w:r>
    </w:p>
    <w:p>
      <w:pPr>
        <w:pStyle w:val="ListParagraph"/>
        <w:numPr>
          <w:ilvl w:val="0"/>
          <w:numId w:val="2"/>
        </w:numPr>
        <w:spacing w:after="60" w:line="270"/>
      </w:pPr>
      <w:r>
        <w:t xml:space="preserve">Apple Developer Program (USD 99 / year) and Google Play Console (USD 25, one-time).</w:t>
      </w:r>
    </w:p>
    <w:p>
      <w:pPr>
        <w:pStyle w:val="ListParagraph"/>
        <w:numPr>
          <w:ilvl w:val="0"/>
          <w:numId w:val="2"/>
        </w:numPr>
        <w:spacing w:after="60" w:line="270"/>
      </w:pPr>
      <w:r>
        <w:t xml:space="preserve">Cloud hosting &amp; backend infrastructure, push-notification service, maps/places API and media storage.</w:t>
      </w:r>
    </w:p>
    <w:p>
      <w:pPr>
        <w:pStyle w:val="ListParagraph"/>
        <w:numPr>
          <w:ilvl w:val="0"/>
          <w:numId w:val="2"/>
        </w:numPr>
        <w:spacing w:after="60" w:line="270"/>
      </w:pPr>
      <w:r>
        <w:t xml:space="preserve">Domain and any paid fonts or stock media.</w:t>
      </w:r>
    </w:p>
    <w:p>
      <w:pPr>
        <w:pStyle w:val="Heading1"/>
      </w:pPr>
      <w:r>
        <w:t xml:space="preserve">13.  Open Items to Confirm</w:t>
      </w:r>
    </w:p>
    <w:p>
      <w:pPr>
        <w:pStyle w:val="ListParagraph"/>
        <w:numPr>
          <w:ilvl w:val="0"/>
          <w:numId w:val="3"/>
        </w:numPr>
        <w:spacing w:after="60" w:line="270"/>
      </w:pPr>
      <w:r>
        <w:t xml:space="preserve">Final subscription price points (monthly / annual) for the Paid and Elite tiers.</w:t>
      </w:r>
    </w:p>
    <w:p>
      <w:pPr>
        <w:pStyle w:val="ListParagraph"/>
        <w:numPr>
          <w:ilvl w:val="0"/>
          <w:numId w:val="3"/>
        </w:numPr>
        <w:spacing w:after="60" w:line="270"/>
      </w:pPr>
      <w:r>
        <w:t xml:space="preserve">Confirmation that resource content will be supplied by Kumankaya (or scoped as a separate work-stream).</w:t>
      </w:r>
    </w:p>
    <w:p>
      <w:pPr>
        <w:pStyle w:val="ListParagraph"/>
        <w:numPr>
          <w:ilvl w:val="0"/>
          <w:numId w:val="3"/>
        </w:numPr>
        <w:spacing w:after="60" w:line="270"/>
      </w:pPr>
      <w:r>
        <w:t xml:space="preserve">Provision of final brand assets and legal documents (Terms &amp; Privacy).</w:t>
      </w:r>
    </w:p>
    <w:p>
      <w:pPr>
        <w:pStyle w:val="ListParagraph"/>
        <w:numPr>
          <w:ilvl w:val="0"/>
          <w:numId w:val="3"/>
        </w:numPr>
        <w:spacing w:after="60" w:line="270"/>
      </w:pPr>
      <w:r>
        <w:t xml:space="preserve">Confirmation of the app’s public name and store listing details.</w:t>
      </w:r>
    </w:p>
    <w:p>
      <w:pPr>
        <w:pStyle w:val="Heading1"/>
      </w:pPr>
      <w:r>
        <w:t xml:space="preserve">14.  Next Steps</w:t>
      </w:r>
    </w:p>
    <w:p>
      <w:pPr>
        <w:pStyle w:val="ListParagraph"/>
        <w:numPr>
          <w:ilvl w:val="0"/>
          <w:numId w:val="3"/>
        </w:numPr>
        <w:spacing w:after="60" w:line="270"/>
      </w:pPr>
      <w:r>
        <w:t xml:space="preserve">Approve this proposal and scope of work.</w:t>
      </w:r>
    </w:p>
    <w:p>
      <w:pPr>
        <w:pStyle w:val="ListParagraph"/>
        <w:numPr>
          <w:ilvl w:val="0"/>
          <w:numId w:val="3"/>
        </w:numPr>
        <w:spacing w:after="60" w:line="270"/>
      </w:pPr>
      <w:r>
        <w:t xml:space="preserve">Sign-off and the initial payment to commence Phase 1.</w:t>
      </w:r>
    </w:p>
    <w:p>
      <w:pPr>
        <w:pStyle w:val="ListParagraph"/>
        <w:numPr>
          <w:ilvl w:val="0"/>
          <w:numId w:val="3"/>
        </w:numPr>
        <w:spacing w:after="60" w:line="270"/>
      </w:pPr>
      <w:r>
        <w:t xml:space="preserve">Kick-off: discovery, detailed UI design, then build.</w:t>
      </w:r>
    </w:p>
    <w:p>
      <w:pPr>
        <w:pStyle w:val="Heading1"/>
      </w:pPr>
      <w:r>
        <w:t xml:space="preserve">15.  Acceptance</w:t>
      </w:r>
    </w:p>
    <w:p>
      <w:pPr>
        <w:spacing w:after="140" w:line="276"/>
      </w:pPr>
      <w:r>
        <w:t xml:space="preserve">To proceed, please countersign below. This proposal is valid for 30 days from the date shown on the cover.</w:t>
      </w:r>
    </w:p>
    <w:p>
      <w:pPr>
        <w:spacing w:after="360"/>
      </w:pPr>
      <w:r>
        <w:t xml:space="preserve"/>
      </w:r>
    </w:p>
    <w:tbl>
      <w:tblPr>
        <w:tblW w:type="dxa" w:w="9360"/>
        <w:tblBorders>
          <w:top w:val="none"/>
          <w:left w:val="none"/>
          <w:bottom w:val="none"/>
          <w:right w:val="none"/>
          <w:insideH w:val="none"/>
          <w:insideV w:val="none"/>
        </w:tblBorders>
      </w:tblPr>
      <w:tblGrid>
        <w:gridCol w:w="4680"/>
        <w:gridCol w:w="4680"/>
      </w:tblGrid>
      <w:tr>
        <w:tc>
          <w:tcPr>
            <w:tcW w:type="dxa" w:w="4680"/>
            <w:tcMar>
              <w:top w:type="dxa" w:w="80"/>
              <w:left w:type="dxa" w:w="0"/>
              <w:bottom w:type="dxa" w:w="80"/>
              <w:right w:type="dxa" w:w="240"/>
            </w:tcMar>
          </w:tcPr>
          <w:p>
            <w:pPr>
              <w:pBdr>
                <w:bottom w:val="single" w:color="2A2722" w:sz="4" w:space="6"/>
              </w:pBdr>
              <w:spacing w:after="60"/>
            </w:pPr>
            <w:r>
              <w:t xml:space="preserve"> </w:t>
            </w:r>
          </w:p>
          <w:p>
            <w:r>
              <w:rPr>
                <w:color w:val="6F6A5F"/>
                <w:sz w:val="19"/>
                <w:szCs w:val="19"/>
              </w:rPr>
              <w:t xml:space="preserve">For Kumankaya — name, signature &amp; date</w:t>
            </w:r>
          </w:p>
        </w:tc>
        <w:tc>
          <w:tcPr>
            <w:tcW w:type="dxa" w:w="4680"/>
            <w:tcMar>
              <w:top w:type="dxa" w:w="80"/>
              <w:left w:type="dxa" w:w="240"/>
              <w:bottom w:type="dxa" w:w="80"/>
              <w:right w:type="dxa" w:w="0"/>
            </w:tcMar>
          </w:tcPr>
          <w:p>
            <w:pPr>
              <w:pBdr>
                <w:bottom w:val="single" w:color="2A2722" w:sz="4" w:space="6"/>
              </w:pBdr>
              <w:spacing w:after="60"/>
            </w:pPr>
            <w:r>
              <w:t xml:space="preserve"> </w:t>
            </w:r>
          </w:p>
          <w:p>
            <w:r>
              <w:rPr>
                <w:color w:val="6F6A5F"/>
                <w:sz w:val="19"/>
                <w:szCs w:val="19"/>
              </w:rPr>
              <w:t xml:space="preserve">For [ Your Studio Name ] — name, signature &amp; date</w:t>
            </w:r>
          </w:p>
        </w:tc>
      </w:tr>
    </w:tbl>
    <w:p>
      <w:pPr>
        <w:spacing w:after="300"/>
      </w:pPr>
      <w:r>
        <w:t xml:space="preserve"/>
      </w:r>
    </w:p>
    <w:p>
      <w:pPr>
        <w:jc w:val="center"/>
      </w:pPr>
      <w:r>
        <w:rPr>
          <w:rFonts w:ascii="Georgia" w:cs="Georgia" w:eastAsia="Georgia" w:hAnsi="Georgia"/>
          <w:color w:val="9C7322"/>
          <w:sz w:val="22"/>
          <w:szCs w:val="22"/>
        </w:rPr>
        <w:t xml:space="preserve">—  Thank you  —</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C" w:sz="4" w:space="4"/>
      </w:pBdr>
      <w:tabs>
        <w:tab w:val="right" w:pos="9360"/>
      </w:tabs>
      <w:spacing w:before="0"/>
    </w:pPr>
    <w:r>
      <w:rPr>
        <w:color w:val="6F6A5F"/>
        <w:sz w:val="17"/>
        <w:szCs w:val="17"/>
      </w:rPr>
      <w:t xml:space="preserve">Confidential</w:t>
    </w:r>
    <w:r>
      <w:rPr>
        <w:color w:val="6F6A5F"/>
        <w:sz w:val="17"/>
        <w:szCs w:val="17"/>
      </w:rPr>
      <w:t xml:space="preserve">	Page </w:t>
    </w:r>
    <w:r>
      <w:rPr>
        <w:color w:val="6F6A5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BC" w:sz="4" w:space="4"/>
      </w:pBdr>
      <w:tabs>
        <w:tab w:val="right" w:pos="9360"/>
      </w:tabs>
      <w:spacing w:after="0"/>
    </w:pPr>
    <w:r>
      <w:rPr>
        <w:b/>
        <w:bCs/>
        <w:color w:val="1F3D2F"/>
        <w:sz w:val="18"/>
        <w:szCs w:val="18"/>
      </w:rPr>
      <w:t xml:space="preserve">Kumankaya Community</w:t>
    </w:r>
    <w:r>
      <w:rPr>
        <w:color w:val="6F6A5F"/>
        <w:sz w:val="18"/>
        <w:szCs w:val="18"/>
      </w:rPr>
      <w:t xml:space="preserve">	Mobile App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9C7322"/>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7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A441" w:sz="6" w:space="6"/>
      </w:pBdr>
      <w:spacing w:after="160" w:before="320"/>
      <w:outlineLvl w:val="0"/>
    </w:pPr>
    <w:rPr>
      <w:rFonts w:ascii="Georgia" w:cs="Georgia" w:eastAsia="Georgia" w:hAnsi="Georgia"/>
      <w:b/>
      <w:bCs/>
      <w:color w:val="1F3D2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D2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A2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3d4c36da72b56caca91387a6432ba48f4a96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Kumankaya Community Proposal</dc:creator>
  <cp:lastModifiedBy>Un-named</cp:lastModifiedBy>
  <cp:revision>1</cp:revision>
  <dcterms:created xsi:type="dcterms:W3CDTF">2026-06-22T12:58:31.673Z</dcterms:created>
  <dcterms:modified xsi:type="dcterms:W3CDTF">2026-06-22T12:58:31.673Z</dcterms:modified>
</cp:coreProperties>
</file>

<file path=docProps/custom.xml><?xml version="1.0" encoding="utf-8"?>
<Properties xmlns="http://schemas.openxmlformats.org/officeDocument/2006/custom-properties" xmlns:vt="http://schemas.openxmlformats.org/officeDocument/2006/docPropsVTypes"/>
</file>