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790700" cy="771525"/>
            <wp:effectExtent t="0" r="0" b="0" l="0"/>
            <wp:docPr id="1" name="logo" descr="Calibri Consulting logo" title="Calibri Consul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A7B23" w:sz="12" w:space="6"/>
        </w:pBdr>
        <w:spacing w:after="8" w:before="60"/>
      </w:pPr>
      <w:r>
        <w:rPr>
          <w:rFonts w:ascii="Georgia" w:cs="Georgia" w:eastAsia="Georgia" w:hAnsi="Georgia"/>
          <w:b/>
          <w:bCs/>
          <w:color w:val="16284D"/>
          <w:sz w:val="52"/>
          <w:szCs w:val="52"/>
        </w:rPr>
        <w:t xml:space="preserve">Almanac</w:t>
      </w:r>
    </w:p>
    <w:p>
      <w:pPr>
        <w:spacing w:after="240"/>
      </w:pPr>
      <w:r>
        <w:rPr>
          <w:b/>
          <w:bCs/>
          <w:color w:val="9A7B23"/>
          <w:sz w:val="24"/>
          <w:szCs w:val="24"/>
        </w:rPr>
        <w:t xml:space="preserve">Build Proposal — Practice Transition &amp; Handover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EA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74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Calibri Consulting · Melissa Hartman</w:t>
            </w:r>
          </w:p>
        </w:tc>
      </w:tr>
      <w:tr>
        <w:tc>
          <w:tcPr>
            <w:tcW w:type="dxa" w:w="19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EA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4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________________________  (your studio)</w:t>
            </w:r>
          </w:p>
        </w:tc>
      </w:tr>
      <w:tr>
        <w:tc>
          <w:tcPr>
            <w:tcW w:type="dxa" w:w="19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EA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</w:t>
            </w:r>
          </w:p>
        </w:tc>
        <w:tc>
          <w:tcPr>
            <w:tcW w:type="dxa" w:w="74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Almanac — turning Calibri's transition methodology into a product</w:t>
            </w:r>
          </w:p>
        </w:tc>
      </w:tr>
      <w:tr>
        <w:tc>
          <w:tcPr>
            <w:tcW w:type="dxa" w:w="19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EA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4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Proposal — follows the approved concept note and the working high-fidelity prototype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 Executive summary</w:t>
      </w:r>
    </w:p>
    <w:p>
      <w:pPr>
        <w:spacing w:after="120" w:line="276"/>
      </w:pPr>
      <w:r>
        <w:t xml:space="preserve">Calibri's value in a practice transition is its method for moving what lives inside a departing advisor's head — not just </w:t>
      </w:r>
      <w:r>
        <w:rPr>
          <w:i/>
          <w:iCs/>
        </w:rPr>
        <w:t xml:space="preserve">what</w:t>
      </w:r>
      <w:r>
        <w:t xml:space="preserve"> they do, but </w:t>
      </w:r>
      <w:r>
        <w:rPr>
          <w:i/>
          <w:iCs/>
        </w:rPr>
        <w:t xml:space="preserve">how</w:t>
      </w:r>
      <w:r>
        <w:t xml:space="preserve"> and </w:t>
      </w:r>
      <w:r>
        <w:rPr>
          <w:i/>
          <w:iCs/>
        </w:rPr>
        <w:t xml:space="preserve">why</w:t>
      </w:r>
      <w:r>
        <w:t xml:space="preserve"> — onto the acquiring firm so that clients, relationships, and judgment survive the handover. Today that method lives in Melissa's head and in a personal Notion + Claude setup. </w:t>
      </w:r>
      <w:r>
        <w:rPr>
          <w:b/>
          <w:bCs/>
        </w:rPr>
        <w:t xml:space="preserve">Almanac turns it into a proper, repeatable product</w:t>
      </w:r>
      <w:r>
        <w:t xml:space="preserve"> the Calibri team can run on every engagement.</w:t>
      </w:r>
    </w:p>
    <w:p>
      <w:pPr>
        <w:spacing w:after="120" w:line="276"/>
      </w:pPr>
      <w:r>
        <w:t xml:space="preserve">We have already designed and built a </w:t>
      </w:r>
      <w:r>
        <w:rPr>
          <w:b/>
          <w:bCs/>
        </w:rPr>
        <w:t xml:space="preserve">clickable, high-fidelity prototype</w:t>
      </w:r>
      <w:r>
        <w:t xml:space="preserve"> of the full product. This proposal turns that prototype into a delivery plan with three clearly-priced options, all built on </w:t>
      </w:r>
      <w:r>
        <w:rPr>
          <w:b/>
          <w:bCs/>
        </w:rPr>
        <w:t xml:space="preserve">one foundation</w:t>
      </w:r>
      <w:r>
        <w:t xml:space="preserve"> — you can start lower and layer up later with no rework.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16284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1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16284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18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16284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24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 — Foundation</w:t>
            </w:r>
          </w:p>
        </w:tc>
        <w:tc>
          <w:tcPr>
            <w:tcW w:type="dxa" w:w="51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full structured system, no AI</w:t>
            </w:r>
          </w:p>
        </w:tc>
        <w:tc>
          <w:tcPr>
            <w:tcW w:type="dxa" w:w="18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F3EC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$15,000</w:t>
            </w:r>
          </w:p>
        </w:tc>
      </w:tr>
      <w:tr>
        <w:tc>
          <w:tcPr>
            <w:tcW w:type="dxa" w:w="24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 — Foundation + AI Copilot</w:t>
            </w:r>
          </w:p>
        </w:tc>
        <w:tc>
          <w:tcPr>
            <w:tcW w:type="dxa" w:w="51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Adds the AI interview copilot on Calibri's exported methodology</w:t>
            </w:r>
          </w:p>
        </w:tc>
        <w:tc>
          <w:tcPr>
            <w:tcW w:type="dxa" w:w="18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F3EC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$20,000</w:t>
            </w:r>
          </w:p>
        </w:tc>
      </w:tr>
      <w:tr>
        <w:tc>
          <w:tcPr>
            <w:tcW w:type="dxa" w:w="24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 — Full Adaptive System</w:t>
            </w:r>
          </w:p>
        </w:tc>
        <w:tc>
          <w:tcPr>
            <w:tcW w:type="dxa" w:w="51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Adds the learning loop so the methodology improves case to case</w:t>
            </w:r>
          </w:p>
        </w:tc>
        <w:tc>
          <w:tcPr>
            <w:tcW w:type="dxa" w:w="18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F3EC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$24,000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2.  App concept</w:t>
      </w:r>
    </w:p>
    <w:p>
      <w:pPr>
        <w:spacing w:after="120" w:line="276"/>
      </w:pPr>
      <w:r>
        <w:rPr>
          <w:b/>
          <w:bCs/>
        </w:rPr>
        <w:t xml:space="preserve">Almanac is a case-based workspace.</w:t>
      </w:r>
      <w:r>
        <w:t xml:space="preserve"> One case = one transition (one seller practice handing over to one buyer practice). Each case moves through a clear path:</w:t>
      </w:r>
    </w:p>
    <w:p>
      <w:pPr>
        <w:spacing w:after="120" w:before="60"/>
        <w:jc w:val="center"/>
      </w:pPr>
      <w:r>
        <w:rPr>
          <w:b/>
          <w:bCs/>
          <w:color w:val="16284D"/>
          <w:sz w:val="22"/>
          <w:szCs w:val="22"/>
        </w:rPr>
        <w:t xml:space="preserve">Onboard the Seller  →  Onboard the Buyer  →  Map the handover  →  Close</w:t>
      </w:r>
    </w:p>
    <w:p>
      <w:pPr>
        <w:spacing w:after="120" w:line="276"/>
      </w:pPr>
      <w:r>
        <w:t xml:space="preserve">For each practice the team builds a living record across four steps — a free-form </w:t>
      </w:r>
      <w:r>
        <w:rPr>
          <w:b/>
          <w:bCs/>
        </w:rPr>
        <w:t xml:space="preserve">practice almanac</w:t>
      </w:r>
      <w:r>
        <w:t xml:space="preserve">, the </w:t>
      </w:r>
      <w:r>
        <w:rPr>
          <w:b/>
          <w:bCs/>
        </w:rPr>
        <w:t xml:space="preserve">roles / who's who</w:t>
      </w:r>
      <w:r>
        <w:t xml:space="preserve">, </w:t>
      </w:r>
      <w:r>
        <w:rPr>
          <w:b/>
          <w:bCs/>
        </w:rPr>
        <w:t xml:space="preserve">KPI capture</w:t>
      </w:r>
      <w:r>
        <w:t xml:space="preserve"> (the what/how/why of each role), and an </w:t>
      </w:r>
      <w:r>
        <w:rPr>
          <w:b/>
          <w:bCs/>
        </w:rPr>
        <w:t xml:space="preserve">org map</w:t>
      </w:r>
      <w:r>
        <w:t xml:space="preserve">. Once both sides are captured, the team </w:t>
      </w:r>
      <w:r>
        <w:rPr>
          <w:b/>
          <w:bCs/>
        </w:rPr>
        <w:t xml:space="preserve">maps</w:t>
      </w:r>
      <w:r>
        <w:t xml:space="preserve"> each seller responsibility onto a buyer owner — carrying across the reasoning, not just the task list — and the system surfaces every </w:t>
      </w:r>
      <w:r>
        <w:rPr>
          <w:b/>
          <w:bCs/>
        </w:rPr>
        <w:t xml:space="preserve">gap</w:t>
      </w:r>
      <w:r>
        <w:t xml:space="preserve"> and </w:t>
      </w:r>
      <w:r>
        <w:rPr>
          <w:b/>
          <w:bCs/>
        </w:rPr>
        <w:t xml:space="preserve">open item</w:t>
      </w:r>
      <w:r>
        <w:t xml:space="preserve"> that has no home in the buyer practice. When the handover is complete, the case is </w:t>
      </w:r>
      <w:r>
        <w:rPr>
          <w:b/>
          <w:bCs/>
        </w:rPr>
        <w:t xml:space="preserve">closed</w:t>
      </w:r>
      <w:r>
        <w:t xml:space="preserve"> and client data is purged.</w:t>
      </w:r>
    </w:p>
    <w:p>
      <w:pPr>
        <w:spacing w:after="120" w:line="276"/>
      </w:pPr>
      <w:r>
        <w:t xml:space="preserve">The guiding principle, in Calibri's own words: </w:t>
      </w:r>
      <w:r>
        <w:rPr>
          <w:i/>
          <w:iCs/>
        </w:rPr>
        <w:t xml:space="preserve">the judgment that ran the practice survives the transition.</w:t>
      </w:r>
    </w:p>
    <w:p>
      <w:pPr>
        <w:pStyle w:val="Heading1"/>
      </w:pPr>
      <w:r>
        <w:t xml:space="preserve">3.  Scope of work</w:t>
      </w:r>
    </w:p>
    <w:p>
      <w:pPr>
        <w:spacing w:after="120" w:line="276"/>
      </w:pPr>
      <w:r>
        <w:t xml:space="preserve">The scope below is exactly what the prototype demonstrates. Each group is tagged with the lowest option in which it appears.</w:t>
      </w:r>
    </w:p>
    <w:p>
      <w:pPr>
        <w:spacing w:after="60"/>
      </w:pPr>
      <w:r>
        <w:rPr>
          <w:b/>
          <w:bCs/>
        </w:rPr>
        <w:t xml:space="preserve">Core platform </w:t>
      </w:r>
      <w:r>
        <w:rPr>
          <w:color w:val="6B7280"/>
        </w:rPr>
        <w:t xml:space="preserve">(Option 1 and up)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Sign-in &amp; team — </w:t>
      </w:r>
      <w:r>
        <w:t xml:space="preserve">log in as a Calibri team member; per-user identity on cases.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Dashboard &amp; case management — </w:t>
      </w:r>
      <w:r>
        <w:t xml:space="preserve">active and closed cases, status, progress, “Start a new case.”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Practice Almanac (questionnaire) — </w:t>
      </w:r>
      <w:r>
        <w:t xml:space="preserve">a flowing, document-style file per practice — pre-set prompts plus your own titled sections, reorderable; a Compile (edit) view and a View-as-file dossier. The file that starts the case and feeds everything downstream.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Roles &amp; who's who — </w:t>
      </w:r>
      <w:r>
        <w:t xml:space="preserve">each person, title, and the responsibilities they own.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KPI capture — </w:t>
      </w:r>
      <w:r>
        <w:t xml:space="preserve">per responsibility, record the What / How / Why; scannable at a glance, click to expand.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Org map — </w:t>
      </w:r>
      <w:r>
        <w:t xml:space="preserve">the captured structure of each practice, with completeness per role.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Mapping (responsibility-level) — </w:t>
      </w:r>
      <w:r>
        <w:t xml:space="preserve">assign each seller responsibility to a buyer owner; coverage derived (Full / Partial / Gap); a Summary table of the whole mapping and every open item, plus a Detailed reassignment view.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Close &amp; handover — </w:t>
      </w:r>
      <w:r>
        <w:t xml:space="preserve">generate the handover package; explicit “kept vs. purged” view; close the case and purge client data.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Export — </w:t>
      </w:r>
      <w:r>
        <w:t xml:space="preserve">almanac file and handover summary as exportable documents.</w:t>
      </w:r>
    </w:p>
    <w:p>
      <w:pPr>
        <w:spacing w:after="60" w:before="80"/>
      </w:pPr>
      <w:r>
        <w:rPr>
          <w:b/>
          <w:bCs/>
        </w:rPr>
        <w:t xml:space="preserve">AI layer </w:t>
      </w:r>
      <w:r>
        <w:rPr>
          <w:color w:val="6B7280"/>
        </w:rPr>
        <w:t xml:space="preserve">(Option 2 and up)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AI Copilot — </w:t>
      </w:r>
      <w:r>
        <w:t xml:space="preserve">a full-page chat assistant with a context selector (whole case, or any individual). It suggests interview questions, pushes for the why between the lines, and flags contradictions across roles. Powered by Calibri's methodology exported from Notion.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Methodology base — </w:t>
      </w:r>
      <w:r>
        <w:t xml:space="preserve">the imported core knowledge (interview method, question banks, contradiction patterns), shown and re-syncable.</w:t>
      </w:r>
    </w:p>
    <w:p>
      <w:pPr>
        <w:spacing w:after="60" w:before="80"/>
      </w:pPr>
      <w:r>
        <w:rPr>
          <w:b/>
          <w:bCs/>
        </w:rPr>
        <w:t xml:space="preserve">Adaptive layer </w:t>
      </w:r>
      <w:r>
        <w:rPr>
          <w:color w:val="6B7280"/>
        </w:rPr>
        <w:t xml:space="preserve">(Option 3)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Learning loop — </w:t>
      </w:r>
      <w:r>
        <w:t xml:space="preserve">after a case closes, abstracted lessons (better questions, new contradiction patterns, risk heuristics) are retained and grow the methodology for future cases — while client data is purged.</w:t>
      </w:r>
    </w:p>
    <w:p>
      <w:pPr>
        <w:pStyle w:val="Heading1"/>
      </w:pPr>
      <w:r>
        <w:t xml:space="preserve">4.  Logic &amp; data flow</w:t>
      </w:r>
    </w:p>
    <w:p>
      <w:pPr>
        <w:spacing w:after="120" w:line="276"/>
      </w:pPr>
      <w:r>
        <w:t xml:space="preserve">End-to-end, a case flows like this: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Create case — name it, set the seller and buyer practices, assign a lead.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Seller almanac — the team writes the practice file. This seeds the per-case knowledge base.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Seller roles — who's who and what they own.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Seller KPI capture — the human intelligence: what / how / why per responsibility.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AI Copilot (Opt 2+) reads the per-case context (almanac + roles + KPIs) on top of Calibri's core methodology, and returns: the next questions to ask, prompts for missing why, and contradictions across roles.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Buyer — the same four steps for the acquiring practice.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Mapping — each seller responsibility is assigned to a buyer owner. The captured why travels with it. Anything unassigned is surfaced as an open item / gap.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Close — a handover package is produced for the buyer. The case closes; client-identifying data is purged.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Learn (Opt 3) — abstracted lessons are folded back into the methodology base for the next case.</w:t>
      </w:r>
    </w:p>
    <w:p>
      <w:pPr>
        <w:pStyle w:val="Heading1"/>
      </w:pPr>
      <w:r>
        <w:t xml:space="preserve">5.  Information layering</w:t>
      </w:r>
    </w:p>
    <w:p>
      <w:pPr>
        <w:spacing w:after="120" w:line="276"/>
      </w:pPr>
      <w:r>
        <w:t xml:space="preserve">Almanac's intelligence is deliberately built in layers: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Layer 1 — Core knowledge (every case). </w:t>
      </w:r>
      <w:r>
        <w:t xml:space="preserve">Calibri's methodology and contradiction patterns, exported from Notion into the product's knowledge base. Durable, reusable, authored content — not a model to re-train. Makes the copilot smart.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Layer 2 — Per-case context (this case only). </w:t>
      </w:r>
      <w:r>
        <w:t xml:space="preserve">The almanac, roles, and KPIs for one engagement. Makes the copilot relevant to this specific seller and buyer. At query time the copilot combines Layer 1 + Layer 2.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Layer 3 — Adaptive lessons (Option 3). </w:t>
      </w:r>
      <w:r>
        <w:t xml:space="preserve">On close, the system keeps the lessons and purges the client data. The methodology grows; no client information is retained.</w:t>
      </w:r>
    </w:p>
    <w:p>
      <w:pPr>
        <w:spacing w:after="120" w:line="276"/>
      </w:pPr>
      <w:r>
        <w:t xml:space="preserve">The principle stated plainly: </w:t>
      </w:r>
      <w:r>
        <w:rPr>
          <w:b/>
          <w:bCs/>
        </w:rPr>
        <w:t xml:space="preserve">the system gets smarter over time, but client data does not persist</w:t>
      </w:r>
      <w:r>
        <w:t xml:space="preserve"> — reconciled by abstracting lessons away from the data that produced them.</w:t>
      </w:r>
    </w:p>
    <w:p>
      <w:pPr>
        <w:pStyle w:val="Heading1"/>
      </w:pPr>
      <w:r>
        <w:t xml:space="preserve">6.  Tech stack</w:t>
      </w:r>
    </w:p>
    <w:p>
      <w:pPr>
        <w:spacing w:after="120" w:line="276"/>
      </w:pPr>
      <w:r>
        <w:t xml:space="preserve">Chosen for a fast, secure, low-maintenance internal tool that can later grow into SaaS without re-platforming.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060"/>
      </w:tblGrid>
      <w:tr>
        <w:trPr>
          <w:tblHeader/>
        </w:trPr>
        <w:tc>
          <w:tcPr>
            <w:tcW w:type="dxa" w:w="19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16284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16284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16284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9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EA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Front end</w:t>
            </w:r>
          </w:p>
        </w:tc>
        <w:tc>
          <w:tcPr>
            <w:tcW w:type="dxa" w:w="34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React + TypeScript, Tailwind CSS</w:t>
            </w:r>
          </w:p>
        </w:tc>
        <w:tc>
          <w:tcPr>
            <w:tcW w:type="dxa" w:w="40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Componentises the design already built; maintainable and fast.</w:t>
            </w:r>
          </w:p>
        </w:tc>
      </w:tr>
      <w:tr>
        <w:tc>
          <w:tcPr>
            <w:tcW w:type="dxa" w:w="19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EA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Back end / API</w:t>
            </w:r>
          </w:p>
        </w:tc>
        <w:tc>
          <w:tcPr>
            <w:tcW w:type="dxa" w:w="34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Node.js (serverless functions)</w:t>
            </w:r>
          </w:p>
        </w:tc>
        <w:tc>
          <w:tcPr>
            <w:tcW w:type="dxa" w:w="40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Lightweight; scales to zero for an internal tool.</w:t>
            </w:r>
          </w:p>
        </w:tc>
      </w:tr>
      <w:tr>
        <w:tc>
          <w:tcPr>
            <w:tcW w:type="dxa" w:w="19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EA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PostgreSQL (Supabase) + row-level security</w:t>
            </w:r>
          </w:p>
        </w:tc>
        <w:tc>
          <w:tcPr>
            <w:tcW w:type="dxa" w:w="40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Relational fit for cases/roles/KPIs/mapping; per-case data isolation.</w:t>
            </w:r>
          </w:p>
        </w:tc>
      </w:tr>
      <w:tr>
        <w:tc>
          <w:tcPr>
            <w:tcW w:type="dxa" w:w="19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EA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Managed auth (Supabase / Clerk)</w:t>
            </w:r>
          </w:p>
        </w:tc>
        <w:tc>
          <w:tcPr>
            <w:tcW w:type="dxa" w:w="40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Secure team sign-in without building it from scratch.</w:t>
            </w:r>
          </w:p>
        </w:tc>
      </w:tr>
      <w:tr>
        <w:tc>
          <w:tcPr>
            <w:tcW w:type="dxa" w:w="19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EA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AI (Opt 2+)</w:t>
            </w:r>
          </w:p>
        </w:tc>
        <w:tc>
          <w:tcPr>
            <w:tcW w:type="dxa" w:w="34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Claude API — Claude Sonnet 4.6 (workhorse), Claude Opus 4.8 (hardest reasoning)</w:t>
            </w:r>
          </w:p>
        </w:tc>
        <w:tc>
          <w:tcPr>
            <w:tcW w:type="dxa" w:w="40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Best fit for interview guidance, why-probing, and contradiction detection. Matches Melissa's existing Claude workflow.</w:t>
            </w:r>
          </w:p>
        </w:tc>
      </w:tr>
      <w:tr>
        <w:tc>
          <w:tcPr>
            <w:tcW w:type="dxa" w:w="19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EA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Knowledge base (Opt 2+)</w:t>
            </w:r>
          </w:p>
        </w:tc>
        <w:tc>
          <w:tcPr>
            <w:tcW w:type="dxa" w:w="34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Notion export → embeddings + vector search (pgvector)</w:t>
            </w:r>
          </w:p>
        </w:tc>
        <w:tc>
          <w:tcPr>
            <w:tcW w:type="dxa" w:w="40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Layer 1 retrieval; the methodology becomes queryable context.</w:t>
            </w:r>
          </w:p>
        </w:tc>
      </w:tr>
      <w:tr>
        <w:tc>
          <w:tcPr>
            <w:tcW w:type="dxa" w:w="19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EA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34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Vercel (front end) + Supabase (data/auth/vector)</w:t>
            </w:r>
          </w:p>
        </w:tc>
        <w:tc>
          <w:tcPr>
            <w:tcW w:type="dxa" w:w="40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Simple, secure, inexpensive to run.</w:t>
            </w:r>
          </w:p>
        </w:tc>
      </w:tr>
      <w:tr>
        <w:tc>
          <w:tcPr>
            <w:tcW w:type="dxa" w:w="19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EA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Per-case isolation, encrypted at rest, hard purge on close</w:t>
            </w:r>
          </w:p>
        </w:tc>
        <w:tc>
          <w:tcPr>
            <w:tcW w:type="dxa" w:w="40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“Your data never moves” — honoured as a real constraint.</w:t>
            </w:r>
          </w:p>
        </w:tc>
      </w:tr>
    </w:tbl>
    <w:p>
      <w:pPr>
        <w:spacing w:before="80"/>
      </w:pPr>
      <w:r>
        <w:rPr>
          <w:b/>
          <w:bCs/>
        </w:rPr>
        <w:t xml:space="preserve">Note on AI running costs: </w:t>
      </w:r>
      <w:r>
        <w:t xml:space="preserve">the Claude API is billed per use and is separate from the build price. For internal, self-use volumes it is modest (estimated tens of dollars per month at typical case loads). We confirm a precise estimate once Layer 1 is sized from your Notion export.</w:t>
      </w:r>
    </w:p>
    <w:p>
      <w:pPr>
        <w:pStyle w:val="Heading1"/>
        <w:pageBreakBefore/>
      </w:pPr>
      <w:r>
        <w:t xml:space="preserve">7.  Delivery options &amp; cost</w:t>
      </w:r>
    </w:p>
    <w:p>
      <w:pPr>
        <w:spacing w:after="120" w:line="276"/>
      </w:pPr>
      <w:r>
        <w:t xml:space="preserve">One foundation, three levels. Each option includes everything in the option(s) before it.</w:t>
      </w:r>
    </w:p>
    <w:p>
      <w:pPr>
        <w:spacing w:after="40" w:before="120"/>
      </w:pPr>
      <w:r>
        <w:rPr>
          <w:b/>
          <w:bCs/>
          <w:color w:val="16284D"/>
          <w:sz w:val="24"/>
          <w:szCs w:val="24"/>
        </w:rPr>
        <w:t xml:space="preserve">Option 1 — Foundation  </w:t>
      </w:r>
      <w:r>
        <w:rPr>
          <w:b/>
          <w:bCs/>
          <w:color w:val="9A7B23"/>
          <w:sz w:val="24"/>
          <w:szCs w:val="24"/>
        </w:rPr>
        <w:t xml:space="preserve">· $15,000</w:t>
      </w:r>
    </w:p>
    <w:p>
      <w:pPr>
        <w:spacing w:after="60"/>
      </w:pPr>
      <w:r>
        <w:t xml:space="preserve">The complete structured system, no AI: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Sign-in &amp; team, dashboard &amp; case management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Practice Almanac (Compile + File views, custom sections, reorder, export)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Roles &amp; who's who, KPI capture (what/how/why), org map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Responsibility-level mapping with Summary table, open items, gaps, Detailed view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Close &amp; handover with client-data purge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Production deployment, secure database, and handover / training</w:t>
      </w:r>
    </w:p>
    <w:p>
      <w:pPr>
        <w:spacing w:after="40"/>
      </w:pPr>
      <w:r>
        <w:rPr>
          <w:i/>
          <w:iCs/>
          <w:color w:val="6B7280"/>
        </w:rPr>
        <w:t xml:space="preserve">Best for: </w:t>
      </w:r>
      <w:r>
        <w:rPr>
          <w:i/>
          <w:iCs/>
          <w:color w:val="6B7280"/>
        </w:rPr>
        <w:t xml:space="preserve">getting a real, repeatable tool live quickly and proving the workflow.</w:t>
      </w:r>
    </w:p>
    <w:p>
      <w:pPr>
        <w:spacing w:after="40" w:before="120"/>
      </w:pPr>
      <w:r>
        <w:rPr>
          <w:b/>
          <w:bCs/>
          <w:color w:val="16284D"/>
          <w:sz w:val="24"/>
          <w:szCs w:val="24"/>
        </w:rPr>
        <w:t xml:space="preserve">Option 2 — Foundation + AI Copilot  </w:t>
      </w:r>
      <w:r>
        <w:rPr>
          <w:b/>
          <w:bCs/>
          <w:color w:val="9A7B23"/>
          <w:sz w:val="24"/>
          <w:szCs w:val="24"/>
        </w:rPr>
        <w:t xml:space="preserve">· $20,000</w:t>
      </w:r>
    </w:p>
    <w:p>
      <w:pPr>
        <w:spacing w:after="60"/>
      </w:pPr>
      <w:r>
        <w:t xml:space="preserve">Everything in Option 1, plus: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Notion export &amp; ingestion of Calibri's methodology into the knowledge base (Layer 1)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AI Copilot — full-page contextual chat, per-person / whole-case context, suggested questions, why-probing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Contradiction detection across roles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Methodology base screen with re-sync</w:t>
      </w:r>
    </w:p>
    <w:p>
      <w:pPr>
        <w:spacing w:after="40"/>
      </w:pPr>
      <w:r>
        <w:rPr>
          <w:i/>
          <w:iCs/>
          <w:color w:val="6B7280"/>
        </w:rPr>
        <w:t xml:space="preserve">Best for: </w:t>
      </w:r>
      <w:r>
        <w:rPr>
          <w:i/>
          <w:iCs/>
          <w:color w:val="6B7280"/>
        </w:rPr>
        <w:t xml:space="preserve">the product as Melissa runs it today — the methodology doing the interviewing work, at scale.</w:t>
      </w:r>
    </w:p>
    <w:p>
      <w:pPr>
        <w:spacing w:after="40" w:before="120"/>
      </w:pPr>
      <w:r>
        <w:rPr>
          <w:b/>
          <w:bCs/>
          <w:color w:val="16284D"/>
          <w:sz w:val="24"/>
          <w:szCs w:val="24"/>
        </w:rPr>
        <w:t xml:space="preserve">Option 3 — Full Adaptive System  </w:t>
      </w:r>
      <w:r>
        <w:rPr>
          <w:b/>
          <w:bCs/>
          <w:color w:val="9A7B23"/>
          <w:sz w:val="24"/>
          <w:szCs w:val="24"/>
        </w:rPr>
        <w:t xml:space="preserve">· $24,000</w:t>
      </w:r>
    </w:p>
    <w:p>
      <w:pPr>
        <w:spacing w:after="60"/>
      </w:pPr>
      <w:r>
        <w:t xml:space="preserve">Everything in Option 2, plus: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Adaptive learning loop — abstracted lessons retained and folded into the methodology after each case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Lessons-vs-data governance (keep the learning, purge the client data)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Evaluation harness to keep copilot quality high as the methodology grows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Final polish pass across the whole product</w:t>
      </w:r>
    </w:p>
    <w:p>
      <w:pPr>
        <w:spacing w:after="80"/>
      </w:pPr>
      <w:r>
        <w:rPr>
          <w:i/>
          <w:iCs/>
          <w:color w:val="6B7280"/>
        </w:rPr>
        <w:t xml:space="preserve">Best for: </w:t>
      </w:r>
      <w:r>
        <w:rPr>
          <w:i/>
          <w:iCs/>
          <w:color w:val="6B7280"/>
        </w:rPr>
        <w:t xml:space="preserve">the long-term asset — a system that compounds Calibri's expertise with every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rPr>
          <w:tblHeader/>
        </w:trPr>
        <w:tc>
          <w:tcPr>
            <w:tcW w:type="dxa" w:w="45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16284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16284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 1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16284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 2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16284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 3</w:t>
            </w:r>
          </w:p>
        </w:tc>
      </w:tr>
      <w:tr>
        <w:tc>
          <w:tcPr>
            <w:tcW w:type="dxa" w:w="45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structured workflow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284D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284D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28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Practice Almanac + handover export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284D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284D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28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Responsibility mapping, gaps &amp; open items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284D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284D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28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 Copilot + Notion knowledge base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284D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28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Contradiction detection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284D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28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Adaptive learning loop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28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6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16284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Price (USD)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F3EC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$15,000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F3EC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$20,000</w:t>
            </w:r>
          </w:p>
        </w:tc>
        <w:tc>
          <w:tcPr>
            <w:tcW w:type="dxa" w:w="1600"/>
            <w:tcBorders>
              <w:top w:val="single" w:color="D9D3C5" w:sz="2"/>
              <w:left w:val="single" w:color="D9D3C5" w:sz="2"/>
              <w:bottom w:val="single" w:color="D9D3C5" w:sz="2"/>
              <w:right w:val="single" w:color="D9D3C5" w:sz="2"/>
            </w:tcBorders>
            <w:shd w:fill="F3EC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$24,000</w:t>
            </w:r>
          </w:p>
        </w:tc>
      </w:tr>
    </w:tbl>
    <w:p>
      <w:pPr>
        <w:spacing w:before="100"/>
      </w:pPr>
      <w:r>
        <w:rPr>
          <w:b/>
          <w:bCs/>
        </w:rPr>
        <w:t xml:space="preserve">Indicative timelines: </w:t>
      </w:r>
      <w:r>
        <w:t xml:space="preserve">Option 1 ≈ 4–5 weeks · Option 2 ≈ 6–8 weeks · Option 3 ≈ 8–10 weeks. AI API usage is billed separately at cost.</w:t>
      </w:r>
    </w:p>
    <w:p>
      <w:pPr>
        <w:pStyle w:val="Heading1"/>
      </w:pPr>
      <w:r>
        <w:t xml:space="preserve">8.  What we need from Calibri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t xml:space="preserve">Notion export session (for Options 2–3) — a working session to review how the methodology is structured in Notion, so we can scope exactly what to export and how. (Confirmed: Melissa is comfortable exporting this content.)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t xml:space="preserve">Sign-off on the mapping model (responsibility-level, as built in the prototype).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t xml:space="preserve">A first real case's interview content to validate against.</w:t>
      </w:r>
    </w:p>
    <w:p>
      <w:pPr>
        <w:pStyle w:val="Heading1"/>
      </w:pPr>
      <w:r>
        <w:t xml:space="preserve">9.  Assumptions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The tool is for Calibri's internal / self-use. SaaS is out of scope for now and can be revisited later without re-platforming.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 practice (never an individual) is on each side of a case.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 case closes after handover; live client data does not persist beyond the engagement.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The build price is fixed per option; third-party running costs (hosting, AI API) are billed at cost and are modest for internal use.</w:t>
      </w:r>
    </w:p>
    <w:p>
      <w:pPr>
        <w:pStyle w:val="Heading1"/>
      </w:pPr>
      <w:r>
        <w:t xml:space="preserve">10.  Recommendation &amp; next steps</w:t>
      </w:r>
    </w:p>
    <w:p>
      <w:pPr>
        <w:spacing w:after="120" w:line="276"/>
      </w:pPr>
      <w:r>
        <w:t xml:space="preserve">We recommend </w:t>
      </w:r>
      <w:r>
        <w:rPr>
          <w:b/>
          <w:bCs/>
        </w:rPr>
        <w:t xml:space="preserve">starting at Option 1 or 2</w:t>
      </w:r>
      <w:r>
        <w:t xml:space="preserve"> — land it, prove it on a live case, then layer up to the full adaptive system. The foundation is identical throughout, so there is no wasted work in moving up later.</w:t>
      </w:r>
    </w:p>
    <w:p>
      <w:pPr>
        <w:spacing w:after="120" w:line="276"/>
      </w:pPr>
      <w:r>
        <w:rPr>
          <w:b/>
          <w:bCs/>
        </w:rPr>
        <w:t xml:space="preserve">Next step: </w:t>
      </w:r>
      <w:r>
        <w:t xml:space="preserve">confirm the option, and book the Notion review session so we can finalise the knowledge-base scope and lock the timeline.</w:t>
      </w:r>
    </w:p>
    <w:sectPr>
      <w:footerReference w:type="default" r:id="rId7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1D6" w:sz="4" w:space="6"/>
      </w:pBdr>
      <w:jc w:val="center"/>
    </w:pPr>
    <w:r>
      <w:rPr>
        <w:color w:val="6B7280"/>
        <w:sz w:val="16"/>
        <w:szCs w:val="16"/>
      </w:rPr>
      <w:t xml:space="preserve">Almanac — Build Proposal  ·  Calibri Consulting  ·  Confidential      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6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5E1D6" w:sz="6" w:space="6"/>
      </w:pBdr>
      <w:spacing w:after="140" w:before="300"/>
      <w:outlineLvl w:val="0"/>
    </w:pPr>
    <w:rPr>
      <w:rFonts w:ascii="Arial" w:cs="Arial" w:eastAsia="Arial" w:hAnsi="Arial"/>
      <w:b/>
      <w:bCs/>
      <w:color w:val="16284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b3c9627b3e6d66546c4b18e81252a7825948e3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2026-06-24T11:45:40.851Z</dcterms:created>
  <dcterms:modified xsi:type="dcterms:W3CDTF">2026-06-24T11:45:40.851Z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