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B8531B"/>
          <w:spacing w:val="60"/>
          <w:sz w:val="20"/>
          <w:szCs w:val="20"/>
        </w:rPr>
        <w:t xml:space="preserve">PROPOSAL</w:t>
      </w:r>
    </w:p>
    <w:p>
      <w:pPr>
        <w:spacing w:after="60" w:before="200"/>
      </w:pPr>
      <w:r>
        <w:rPr>
          <w:rFonts w:ascii="Calibri" w:cs="Calibri" w:eastAsia="Calibri" w:hAnsi="Calibri"/>
          <w:b/>
          <w:bCs/>
          <w:color w:val="1A1512"/>
          <w:sz w:val="48"/>
          <w:szCs w:val="48"/>
        </w:rPr>
        <w:t xml:space="preserve">Restaurant Point of Sale System</w:t>
      </w:r>
    </w:p>
    <w:p>
      <w:pPr>
        <w:spacing w:after="400"/>
      </w:pPr>
      <w:r>
        <w:rPr>
          <w:rFonts w:ascii="Calibri" w:cs="Calibri" w:eastAsia="Calibri" w:hAnsi="Calibri"/>
          <w:color w:val="6B5F58"/>
          <w:sz w:val="26"/>
          <w:szCs w:val="26"/>
        </w:rPr>
        <w:t xml:space="preserve">Asian Voyage Restaurant &amp; Bar — Cedar Plaza, Antigua</w:t>
      </w:r>
    </w:p>
    <w:p>
      <w:pPr>
        <w:pBdr>
          <w:bottom w:val="single" w:color="B8531B" w:sz="6"/>
        </w:pBdr>
        <w:spacing w:after="160" w:before="60"/>
      </w:pPr>
      <w:r>
        <w:t xml:space="preserve"/>
      </w: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2400"/>
        <w:gridCol w:w="6626"/>
      </w:tblGrid>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Prepared for</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Hospitality Guru Ltd — Asian Voyage Restaurant &amp; Bar</w:t>
            </w:r>
          </w:p>
        </w:tc>
      </w:tr>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Location</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Cedar Plaza, St. John’s, Antigua and Barbuda</w:t>
            </w:r>
          </w:p>
        </w:tc>
      </w:tr>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Prepared by</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[Your Company Name]</w:t>
            </w:r>
          </w:p>
        </w:tc>
      </w:tr>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Date</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19 August 2026</w:t>
            </w:r>
          </w:p>
        </w:tc>
      </w:tr>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Proposal reference</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AV-POS-2026-01</w:t>
            </w:r>
          </w:p>
        </w:tc>
      </w:tr>
      <w:tr>
        <w:tc>
          <w:tcPr>
            <w:tcW w:type="dxa" w:w="2400"/>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Valid until</w:t>
            </w:r>
          </w:p>
        </w:tc>
        <w:tc>
          <w:tcPr>
            <w:tcW w:type="dxa" w:w="6626"/>
            <w:tcMar>
              <w:top w:type="dxa" w:w="90"/>
              <w:left w:type="dxa" w:w="130"/>
              <w:bottom w:type="dxa" w:w="90"/>
              <w:right w:type="dxa" w:w="130"/>
            </w:tcMar>
          </w:tcPr>
          <w:p>
            <w:pPr>
              <w:spacing w:after="0"/>
            </w:pPr>
            <w:r>
              <w:rPr>
                <w:rFonts w:ascii="Calibri" w:cs="Calibri" w:eastAsia="Calibri" w:hAnsi="Calibri"/>
                <w:color w:val="1A1512"/>
                <w:sz w:val="20"/>
                <w:szCs w:val="20"/>
              </w:rPr>
              <w:t xml:space="preserve">18 September 2026</w:t>
            </w:r>
          </w:p>
        </w:tc>
      </w:tr>
      <w:tr>
        <w:tc>
          <w:tcPr>
            <w:tcW w:type="dxa" w:w="2400"/>
            <w:shd w:fill="FBF0E8" w:color="auto" w:val="clear"/>
            <w:tcMar>
              <w:top w:type="dxa" w:w="90"/>
              <w:left w:type="dxa" w:w="130"/>
              <w:bottom w:type="dxa" w:w="90"/>
              <w:right w:type="dxa" w:w="130"/>
            </w:tcMar>
          </w:tcPr>
          <w:p>
            <w:pPr>
              <w:spacing w:after="0"/>
            </w:pPr>
            <w:r>
              <w:rPr>
                <w:rFonts w:ascii="Calibri" w:cs="Calibri" w:eastAsia="Calibri" w:hAnsi="Calibri"/>
                <w:b/>
                <w:bCs/>
                <w:color w:val="6B5F58"/>
                <w:sz w:val="20"/>
                <w:szCs w:val="20"/>
              </w:rPr>
              <w:t xml:space="preserve">Total investment</w:t>
            </w:r>
          </w:p>
        </w:tc>
        <w:tc>
          <w:tcPr>
            <w:tcW w:type="dxa" w:w="6626"/>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4"/>
                <w:szCs w:val="24"/>
              </w:rPr>
              <w:t xml:space="preserve">USD 7,000</w:t>
            </w:r>
          </w:p>
        </w:tc>
      </w:tr>
    </w:tbl>
    <w:p>
      <w:pPr>
        <w:spacing w:before="500"/>
      </w:pPr>
      <w:r>
        <w:br w:type="page"/>
      </w:r>
    </w:p>
    <w:p>
      <w:pPr>
        <w:pStyle w:val="Heading1"/>
        <w:spacing w:after="160" w:before="320"/>
      </w:pPr>
      <w:r>
        <w:rPr>
          <w:rFonts w:ascii="Calibri" w:cs="Calibri" w:eastAsia="Calibri" w:hAnsi="Calibri"/>
          <w:b/>
          <w:bCs/>
          <w:color w:val="B8531B"/>
          <w:sz w:val="30"/>
          <w:szCs w:val="30"/>
        </w:rPr>
        <w:t xml:space="preserve">1. Introduction</w:t>
      </w:r>
    </w:p>
    <w:p>
      <w:pPr>
        <w:spacing w:after="120" w:before="0"/>
      </w:pPr>
      <w:r>
        <w:rPr>
          <w:rFonts w:ascii="Calibri" w:cs="Calibri" w:eastAsia="Calibri" w:hAnsi="Calibri"/>
          <w:color w:val="1A1512"/>
          <w:sz w:val="21"/>
          <w:szCs w:val="21"/>
        </w:rPr>
        <w:t xml:space="preserve">Asian Voyage Restaurant &amp; Bar operates a Pan-Asian restaurant and bar at Cedar Plaza, Antigua, serving both seated diners and a high volume of takeaway and counter trade. Tourist footfall makes service peaks sharp and unpredictable, and the current paper-based process for taking orders, communicating with the kitchen and producing bills does not hold up under that pressure.</w:t>
      </w:r>
    </w:p>
    <w:p>
      <w:pPr>
        <w:spacing w:after="120" w:before="0"/>
      </w:pPr>
      <w:r>
        <w:rPr>
          <w:rFonts w:ascii="Calibri" w:cs="Calibri" w:eastAsia="Calibri" w:hAnsi="Calibri"/>
          <w:color w:val="1A1512"/>
          <w:sz w:val="21"/>
          <w:szCs w:val="21"/>
        </w:rPr>
        <w:t xml:space="preserve">This proposal sets out the delivery of a complete restaurant Point of Sale system covering the full service cycle: taking the order at the table or counter, firing the kitchen, producing an accurate bill and settling it, and giving the owner clear daily visibility of trading.</w:t>
      </w:r>
    </w:p>
    <w:p>
      <w:pPr>
        <w:spacing w:after="120" w:before="0"/>
      </w:pPr>
      <w:r>
        <w:rPr>
          <w:rFonts w:ascii="Calibri" w:cs="Calibri" w:eastAsia="Calibri" w:hAnsi="Calibri"/>
          <w:color w:val="1A1512"/>
          <w:sz w:val="21"/>
          <w:szCs w:val="21"/>
        </w:rPr>
        <w:t xml:space="preserve">A working prototype of this system has already been built and demonstrated using Asian Voyage’s own menu — all 162 items, priced in EC dollars with ABST-inclusive pricing and the 10% service charge handled correctly. The design decisions, screen flows and menu data are therefore already proven rather than theoretical, which materially reduces delivery risk on this engagement.</w:t>
      </w:r>
    </w:p>
    <w:p>
      <w:pPr>
        <w:pStyle w:val="Heading1"/>
        <w:spacing w:after="160" w:before="320"/>
      </w:pPr>
      <w:r>
        <w:rPr>
          <w:rFonts w:ascii="Calibri" w:cs="Calibri" w:eastAsia="Calibri" w:hAnsi="Calibri"/>
          <w:b/>
          <w:bCs/>
          <w:color w:val="B8531B"/>
          <w:sz w:val="30"/>
          <w:szCs w:val="30"/>
        </w:rPr>
        <w:t xml:space="preserve">2. Objectives</w:t>
      </w:r>
    </w:p>
    <w:p>
      <w:pPr>
        <w:pStyle w:val="ListParagraph"/>
        <w:numPr>
          <w:ilvl w:val="0"/>
          <w:numId w:val="2"/>
        </w:numPr>
        <w:spacing w:after="60"/>
      </w:pPr>
      <w:r>
        <w:rPr>
          <w:rFonts w:ascii="Calibri" w:cs="Calibri" w:eastAsia="Calibri" w:hAnsi="Calibri"/>
          <w:color w:val="1A1512"/>
          <w:sz w:val="21"/>
          <w:szCs w:val="21"/>
        </w:rPr>
        <w:t xml:space="preserve">Replace paper order pads with a tablet-based ordering system for floor staff.</w:t>
      </w:r>
    </w:p>
    <w:p>
      <w:pPr>
        <w:pStyle w:val="ListParagraph"/>
        <w:numPr>
          <w:ilvl w:val="0"/>
          <w:numId w:val="2"/>
        </w:numPr>
        <w:spacing w:after="60"/>
      </w:pPr>
      <w:r>
        <w:rPr>
          <w:rFonts w:ascii="Calibri" w:cs="Calibri" w:eastAsia="Calibri" w:hAnsi="Calibri"/>
          <w:color w:val="1A1512"/>
          <w:sz w:val="21"/>
          <w:szCs w:val="21"/>
        </w:rPr>
        <w:t xml:space="preserve">Deliver every order to the kitchen accurately, in writing, with allergy and preparation notes intact.</w:t>
      </w:r>
    </w:p>
    <w:p>
      <w:pPr>
        <w:pStyle w:val="ListParagraph"/>
        <w:numPr>
          <w:ilvl w:val="0"/>
          <w:numId w:val="2"/>
        </w:numPr>
        <w:spacing w:after="60"/>
      </w:pPr>
      <w:r>
        <w:rPr>
          <w:rFonts w:ascii="Calibri" w:cs="Calibri" w:eastAsia="Calibri" w:hAnsi="Calibri"/>
          <w:color w:val="1A1512"/>
          <w:sz w:val="21"/>
          <w:szCs w:val="21"/>
        </w:rPr>
        <w:t xml:space="preserve">Cut the time between a guest asking for the bill and the bill reaching the table.</w:t>
      </w:r>
    </w:p>
    <w:p>
      <w:pPr>
        <w:pStyle w:val="ListParagraph"/>
        <w:numPr>
          <w:ilvl w:val="0"/>
          <w:numId w:val="2"/>
        </w:numPr>
        <w:spacing w:after="60"/>
      </w:pPr>
      <w:r>
        <w:rPr>
          <w:rFonts w:ascii="Calibri" w:cs="Calibri" w:eastAsia="Calibri" w:hAnsi="Calibri"/>
          <w:color w:val="1A1512"/>
          <w:sz w:val="21"/>
          <w:szCs w:val="21"/>
        </w:rPr>
        <w:t xml:space="preserve">Produce accurate bills that apply the service charge correctly and show ABST as required.</w:t>
      </w:r>
    </w:p>
    <w:p>
      <w:pPr>
        <w:pStyle w:val="ListParagraph"/>
        <w:numPr>
          <w:ilvl w:val="0"/>
          <w:numId w:val="2"/>
        </w:numPr>
        <w:spacing w:after="60"/>
      </w:pPr>
      <w:r>
        <w:rPr>
          <w:rFonts w:ascii="Calibri" w:cs="Calibri" w:eastAsia="Calibri" w:hAnsi="Calibri"/>
          <w:color w:val="1A1512"/>
          <w:sz w:val="21"/>
          <w:szCs w:val="21"/>
        </w:rPr>
        <w:t xml:space="preserve">Give the owner reliable daily figures on sales, covers, best sellers and staff performance.</w:t>
      </w:r>
    </w:p>
    <w:p>
      <w:pPr>
        <w:pStyle w:val="ListParagraph"/>
        <w:numPr>
          <w:ilvl w:val="0"/>
          <w:numId w:val="2"/>
        </w:numPr>
        <w:spacing w:after="60"/>
      </w:pPr>
      <w:r>
        <w:rPr>
          <w:rFonts w:ascii="Calibri" w:cs="Calibri" w:eastAsia="Calibri" w:hAnsi="Calibri"/>
          <w:color w:val="1A1512"/>
          <w:sz w:val="21"/>
          <w:szCs w:val="21"/>
        </w:rPr>
        <w:t xml:space="preserve">Control discounts, comps and voids so they are authorised and visible rather than invisible.</w:t>
      </w:r>
    </w:p>
    <w:p>
      <w:pPr>
        <w:pStyle w:val="Heading1"/>
        <w:spacing w:after="160" w:before="320"/>
      </w:pPr>
      <w:r>
        <w:rPr>
          <w:rFonts w:ascii="Calibri" w:cs="Calibri" w:eastAsia="Calibri" w:hAnsi="Calibri"/>
          <w:b/>
          <w:bCs/>
          <w:color w:val="B8531B"/>
          <w:sz w:val="30"/>
          <w:szCs w:val="30"/>
        </w:rPr>
        <w:t xml:space="preserve">3. Scope of Work</w:t>
      </w:r>
    </w:p>
    <w:p>
      <w:pPr>
        <w:spacing w:after="120" w:before="0"/>
      </w:pPr>
      <w:r>
        <w:rPr>
          <w:rFonts w:ascii="Calibri" w:cs="Calibri" w:eastAsia="Calibri" w:hAnsi="Calibri"/>
          <w:color w:val="1A1512"/>
          <w:sz w:val="21"/>
          <w:szCs w:val="21"/>
        </w:rPr>
        <w:t xml:space="preserve">The system comprises two user interfaces sharing a single database, plus kitchen ticket printing.</w:t>
      </w:r>
    </w:p>
    <w:p>
      <w:pPr>
        <w:pStyle w:val="Heading2"/>
        <w:spacing w:after="100" w:before="220"/>
      </w:pPr>
      <w:r>
        <w:rPr>
          <w:rFonts w:ascii="Calibri" w:cs="Calibri" w:eastAsia="Calibri" w:hAnsi="Calibri"/>
          <w:b/>
          <w:bCs/>
          <w:color w:val="1A1512"/>
          <w:sz w:val="23"/>
          <w:szCs w:val="23"/>
        </w:rPr>
        <w:t xml:space="preserve">3.1 Waiter Interface (tablet)</w:t>
      </w:r>
    </w:p>
    <w:p>
      <w:pPr>
        <w:spacing w:after="120" w:before="0"/>
      </w:pPr>
      <w:r>
        <w:rPr>
          <w:rFonts w:ascii="Calibri" w:cs="Calibri" w:eastAsia="Calibri" w:hAnsi="Calibri"/>
          <w:i/>
          <w:iCs/>
          <w:color w:val="6B5F58"/>
          <w:sz w:val="21"/>
          <w:szCs w:val="21"/>
        </w:rPr>
        <w:t xml:space="preserve">Designed for a 10-inch tablet, usable one-handed on the floor, with large touch targets and no dependence on hovering or a keyboard.</w:t>
      </w:r>
    </w:p>
    <w:p>
      <w:pPr>
        <w:pStyle w:val="ListParagraph"/>
        <w:numPr>
          <w:ilvl w:val="0"/>
          <w:numId w:val="2"/>
        </w:numPr>
        <w:spacing w:after="60"/>
      </w:pPr>
      <w:r>
        <w:rPr>
          <w:rFonts w:ascii="Calibri" w:cs="Calibri" w:eastAsia="Calibri" w:hAnsi="Calibri"/>
          <w:color w:val="1A1512"/>
          <w:sz w:val="21"/>
          <w:szCs w:val="21"/>
        </w:rPr>
        <w:t xml:space="preserve">Staff sign-in by personal PIN; each order is attributed to the server who took it.</w:t>
      </w:r>
    </w:p>
    <w:p>
      <w:pPr>
        <w:pStyle w:val="ListParagraph"/>
        <w:numPr>
          <w:ilvl w:val="0"/>
          <w:numId w:val="2"/>
        </w:numPr>
        <w:spacing w:after="60"/>
      </w:pPr>
      <w:r>
        <w:rPr>
          <w:rFonts w:ascii="Calibri" w:cs="Calibri" w:eastAsia="Calibri" w:hAnsi="Calibri"/>
          <w:color w:val="1A1512"/>
          <w:sz w:val="21"/>
          <w:szCs w:val="21"/>
        </w:rPr>
        <w:t xml:space="preserve">Floor view showing every table, its status, cover count, elapsed time and running total.</w:t>
      </w:r>
    </w:p>
    <w:p>
      <w:pPr>
        <w:pStyle w:val="ListParagraph"/>
        <w:numPr>
          <w:ilvl w:val="0"/>
          <w:numId w:val="2"/>
        </w:numPr>
        <w:spacing w:after="60"/>
      </w:pPr>
      <w:r>
        <w:rPr>
          <w:rFonts w:ascii="Calibri" w:cs="Calibri" w:eastAsia="Calibri" w:hAnsi="Calibri"/>
          <w:color w:val="1A1512"/>
          <w:sz w:val="21"/>
          <w:szCs w:val="21"/>
        </w:rPr>
        <w:t xml:space="preserve">Seat a table and record the number of covers.</w:t>
      </w:r>
    </w:p>
    <w:p>
      <w:pPr>
        <w:pStyle w:val="ListParagraph"/>
        <w:numPr>
          <w:ilvl w:val="0"/>
          <w:numId w:val="2"/>
        </w:numPr>
        <w:spacing w:after="60"/>
      </w:pPr>
      <w:r>
        <w:rPr>
          <w:rFonts w:ascii="Calibri" w:cs="Calibri" w:eastAsia="Calibri" w:hAnsi="Calibri"/>
          <w:color w:val="1A1512"/>
          <w:sz w:val="21"/>
          <w:szCs w:val="21"/>
        </w:rPr>
        <w:t xml:space="preserve">Full menu browsing by category, with item variants (soup protein, curry colour, sauce choice) and free-text kitchen notes for allergies and preparation.</w:t>
      </w:r>
    </w:p>
    <w:p>
      <w:pPr>
        <w:pStyle w:val="ListParagraph"/>
        <w:numPr>
          <w:ilvl w:val="0"/>
          <w:numId w:val="2"/>
        </w:numPr>
        <w:spacing w:after="60"/>
      </w:pPr>
      <w:r>
        <w:rPr>
          <w:rFonts w:ascii="Calibri" w:cs="Calibri" w:eastAsia="Calibri" w:hAnsi="Calibri"/>
          <w:color w:val="1A1512"/>
          <w:sz w:val="21"/>
          <w:szCs w:val="21"/>
        </w:rPr>
        <w:t xml:space="preserve">Send the order to the kitchen; add later rounds to the same table and send again.</w:t>
      </w:r>
    </w:p>
    <w:p>
      <w:pPr>
        <w:pStyle w:val="ListParagraph"/>
        <w:numPr>
          <w:ilvl w:val="0"/>
          <w:numId w:val="2"/>
        </w:numPr>
        <w:spacing w:after="60"/>
      </w:pPr>
      <w:r>
        <w:rPr>
          <w:rFonts w:ascii="Calibri" w:cs="Calibri" w:eastAsia="Calibri" w:hAnsi="Calibri"/>
          <w:color w:val="1A1512"/>
          <w:sz w:val="21"/>
          <w:szCs w:val="21"/>
        </w:rPr>
        <w:t xml:space="preserve">Amend or remove any item the kitchen has not yet received.</w:t>
      </w:r>
    </w:p>
    <w:p>
      <w:pPr>
        <w:pStyle w:val="ListParagraph"/>
        <w:numPr>
          <w:ilvl w:val="0"/>
          <w:numId w:val="2"/>
        </w:numPr>
        <w:spacing w:after="60"/>
      </w:pPr>
      <w:r>
        <w:rPr>
          <w:rFonts w:ascii="Calibri" w:cs="Calibri" w:eastAsia="Calibri" w:hAnsi="Calibri"/>
          <w:color w:val="1A1512"/>
          <w:sz w:val="21"/>
          <w:szCs w:val="21"/>
        </w:rPr>
        <w:t xml:space="preserve">Close the table when the guests have finished, marking it ready for billing at the counter.</w:t>
      </w:r>
    </w:p>
    <w:p>
      <w:pPr>
        <w:pStyle w:val="Heading2"/>
        <w:spacing w:after="100" w:before="220"/>
      </w:pPr>
      <w:r>
        <w:rPr>
          <w:rFonts w:ascii="Calibri" w:cs="Calibri" w:eastAsia="Calibri" w:hAnsi="Calibri"/>
          <w:b/>
          <w:bCs/>
          <w:color w:val="1A1512"/>
          <w:sz w:val="23"/>
          <w:szCs w:val="23"/>
        </w:rPr>
        <w:t xml:space="preserve">3.2 Admin Interface (billing counter)</w:t>
      </w:r>
    </w:p>
    <w:p>
      <w:pPr>
        <w:spacing w:after="120" w:before="0"/>
      </w:pPr>
      <w:r>
        <w:rPr>
          <w:rFonts w:ascii="Calibri" w:cs="Calibri" w:eastAsia="Calibri" w:hAnsi="Calibri"/>
          <w:i/>
          <w:iCs/>
          <w:color w:val="6B5F58"/>
          <w:sz w:val="21"/>
          <w:szCs w:val="21"/>
        </w:rPr>
        <w:t xml:space="preserve">Designed for a counter touchscreen, and the operational centre of the system.</w:t>
      </w:r>
    </w:p>
    <w:p>
      <w:pPr>
        <w:pStyle w:val="ListParagraph"/>
        <w:numPr>
          <w:ilvl w:val="0"/>
          <w:numId w:val="2"/>
        </w:numPr>
        <w:spacing w:after="60"/>
      </w:pPr>
      <w:r>
        <w:rPr>
          <w:rFonts w:ascii="Calibri" w:cs="Calibri" w:eastAsia="Calibri" w:hAnsi="Calibri"/>
          <w:color w:val="1A1512"/>
          <w:sz w:val="21"/>
          <w:szCs w:val="21"/>
        </w:rPr>
        <w:t xml:space="preserve">Floor plan of all tables with live status, plus a separate view of counter and takeaway orders.</w:t>
      </w:r>
    </w:p>
    <w:p>
      <w:pPr>
        <w:pStyle w:val="ListParagraph"/>
        <w:numPr>
          <w:ilvl w:val="0"/>
          <w:numId w:val="2"/>
        </w:numPr>
        <w:spacing w:after="60"/>
      </w:pPr>
      <w:r>
        <w:rPr>
          <w:rFonts w:ascii="Calibri" w:cs="Calibri" w:eastAsia="Calibri" w:hAnsi="Calibri"/>
          <w:color w:val="1A1512"/>
          <w:sz w:val="21"/>
          <w:szCs w:val="21"/>
        </w:rPr>
        <w:t xml:space="preserve">Full order entry — the counter can take and modify any order directly, not only those raised by waiters.</w:t>
      </w:r>
    </w:p>
    <w:p>
      <w:pPr>
        <w:pStyle w:val="ListParagraph"/>
        <w:numPr>
          <w:ilvl w:val="0"/>
          <w:numId w:val="2"/>
        </w:numPr>
        <w:spacing w:after="60"/>
      </w:pPr>
      <w:r>
        <w:rPr>
          <w:rFonts w:ascii="Calibri" w:cs="Calibri" w:eastAsia="Calibri" w:hAnsi="Calibri"/>
          <w:color w:val="1A1512"/>
          <w:sz w:val="21"/>
          <w:szCs w:val="21"/>
        </w:rPr>
        <w:t xml:space="preserve">Active orders board tracking every order through Placed, Under Preparation, Ready for Billing and Settled.</w:t>
      </w:r>
    </w:p>
    <w:p>
      <w:pPr>
        <w:pStyle w:val="ListParagraph"/>
        <w:numPr>
          <w:ilvl w:val="0"/>
          <w:numId w:val="2"/>
        </w:numPr>
        <w:spacing w:after="60"/>
      </w:pPr>
      <w:r>
        <w:rPr>
          <w:rFonts w:ascii="Calibri" w:cs="Calibri" w:eastAsia="Calibri" w:hAnsi="Calibri"/>
          <w:color w:val="1A1512"/>
          <w:sz w:val="21"/>
          <w:szCs w:val="21"/>
        </w:rPr>
        <w:t xml:space="preserve">Kitchen view mirroring every ticket sent to the pass, as a backup when the kitchen printer fails.</w:t>
      </w:r>
    </w:p>
    <w:p>
      <w:pPr>
        <w:pStyle w:val="ListParagraph"/>
        <w:numPr>
          <w:ilvl w:val="0"/>
          <w:numId w:val="2"/>
        </w:numPr>
        <w:spacing w:after="60"/>
      </w:pPr>
      <w:r>
        <w:rPr>
          <w:rFonts w:ascii="Calibri" w:cs="Calibri" w:eastAsia="Calibri" w:hAnsi="Calibri"/>
          <w:color w:val="1A1512"/>
          <w:sz w:val="21"/>
          <w:szCs w:val="21"/>
        </w:rPr>
        <w:t xml:space="preserve">Kitchen ticket printing and reprinting.</w:t>
      </w:r>
    </w:p>
    <w:p>
      <w:pPr>
        <w:pStyle w:val="ListParagraph"/>
        <w:numPr>
          <w:ilvl w:val="0"/>
          <w:numId w:val="2"/>
        </w:numPr>
        <w:spacing w:after="60"/>
      </w:pPr>
      <w:r>
        <w:rPr>
          <w:rFonts w:ascii="Calibri" w:cs="Calibri" w:eastAsia="Calibri" w:hAnsi="Calibri"/>
          <w:color w:val="1A1512"/>
          <w:sz w:val="21"/>
          <w:szCs w:val="21"/>
        </w:rPr>
        <w:t xml:space="preserve">Billing and settlement, including tips, discounts, comps and split payment.</w:t>
      </w:r>
    </w:p>
    <w:p>
      <w:pPr>
        <w:pStyle w:val="ListParagraph"/>
        <w:numPr>
          <w:ilvl w:val="0"/>
          <w:numId w:val="2"/>
        </w:numPr>
        <w:spacing w:after="60"/>
      </w:pPr>
      <w:r>
        <w:rPr>
          <w:rFonts w:ascii="Calibri" w:cs="Calibri" w:eastAsia="Calibri" w:hAnsi="Calibri"/>
          <w:color w:val="1A1512"/>
          <w:sz w:val="21"/>
          <w:szCs w:val="21"/>
        </w:rPr>
        <w:t xml:space="preserve">Reporting dashboard.</w:t>
      </w:r>
    </w:p>
    <w:p>
      <w:pPr>
        <w:pStyle w:val="ListParagraph"/>
        <w:numPr>
          <w:ilvl w:val="0"/>
          <w:numId w:val="2"/>
        </w:numPr>
        <w:spacing w:after="60"/>
      </w:pPr>
      <w:r>
        <w:rPr>
          <w:rFonts w:ascii="Calibri" w:cs="Calibri" w:eastAsia="Calibri" w:hAnsi="Calibri"/>
          <w:color w:val="1A1512"/>
          <w:sz w:val="21"/>
          <w:szCs w:val="21"/>
        </w:rPr>
        <w:t xml:space="preserve">Menu availability control — mark an item sold out and it disappears from the waiter tablet immediately.</w:t>
      </w:r>
    </w:p>
    <w:p>
      <w:pPr>
        <w:pStyle w:val="ListParagraph"/>
        <w:numPr>
          <w:ilvl w:val="0"/>
          <w:numId w:val="2"/>
        </w:numPr>
        <w:spacing w:after="60"/>
      </w:pPr>
      <w:r>
        <w:rPr>
          <w:rFonts w:ascii="Calibri" w:cs="Calibri" w:eastAsia="Calibri" w:hAnsi="Calibri"/>
          <w:color w:val="1A1512"/>
          <w:sz w:val="21"/>
          <w:szCs w:val="21"/>
        </w:rPr>
        <w:t xml:space="preserve">Staff records and role-based permissions across waiter, cashier and manager.</w:t>
      </w:r>
    </w:p>
    <w:p>
      <w:pPr>
        <w:pStyle w:val="Heading2"/>
        <w:spacing w:after="100" w:before="220"/>
      </w:pPr>
      <w:r>
        <w:rPr>
          <w:rFonts w:ascii="Calibri" w:cs="Calibri" w:eastAsia="Calibri" w:hAnsi="Calibri"/>
          <w:b/>
          <w:bCs/>
          <w:color w:val="1A1512"/>
          <w:sz w:val="23"/>
          <w:szCs w:val="23"/>
        </w:rPr>
        <w:t xml:space="preserve">3.3 Kitchen Order Ticket (KOT) printing</w:t>
      </w:r>
    </w:p>
    <w:p>
      <w:pPr>
        <w:pStyle w:val="ListParagraph"/>
        <w:numPr>
          <w:ilvl w:val="0"/>
          <w:numId w:val="2"/>
        </w:numPr>
        <w:spacing w:after="60"/>
      </w:pPr>
      <w:r>
        <w:rPr>
          <w:rFonts w:ascii="Calibri" w:cs="Calibri" w:eastAsia="Calibri" w:hAnsi="Calibri"/>
          <w:color w:val="1A1512"/>
          <w:sz w:val="21"/>
          <w:szCs w:val="21"/>
        </w:rPr>
        <w:t xml:space="preserve">Tickets print to a kitchen thermal printer on an 80mm roll, formatted for legibility at the pass.</w:t>
      </w:r>
    </w:p>
    <w:p>
      <w:pPr>
        <w:pStyle w:val="ListParagraph"/>
        <w:numPr>
          <w:ilvl w:val="0"/>
          <w:numId w:val="2"/>
        </w:numPr>
        <w:spacing w:after="60"/>
      </w:pPr>
      <w:r>
        <w:rPr>
          <w:rFonts w:ascii="Calibri" w:cs="Calibri" w:eastAsia="Calibri" w:hAnsi="Calibri"/>
          <w:color w:val="1A1512"/>
          <w:sz w:val="21"/>
          <w:szCs w:val="21"/>
        </w:rPr>
        <w:t xml:space="preserve">Each ticket carries the bill number, table or counter reference, cover count, server name and time.</w:t>
      </w:r>
    </w:p>
    <w:p>
      <w:pPr>
        <w:pStyle w:val="ListParagraph"/>
        <w:numPr>
          <w:ilvl w:val="0"/>
          <w:numId w:val="2"/>
        </w:numPr>
        <w:spacing w:after="60"/>
      </w:pPr>
      <w:r>
        <w:rPr>
          <w:rFonts w:ascii="Calibri" w:cs="Calibri" w:eastAsia="Calibri" w:hAnsi="Calibri"/>
          <w:color w:val="1A1512"/>
          <w:sz w:val="21"/>
          <w:szCs w:val="21"/>
        </w:rPr>
        <w:t xml:space="preserve">Item-level batching: a second round prints as a clearly marked ADDITION ticket rather than reprinting the whole order, so the kitchen never re-cooks a course already served.</w:t>
      </w:r>
    </w:p>
    <w:p>
      <w:pPr>
        <w:pStyle w:val="ListParagraph"/>
        <w:numPr>
          <w:ilvl w:val="0"/>
          <w:numId w:val="2"/>
        </w:numPr>
        <w:spacing w:after="60"/>
      </w:pPr>
      <w:r>
        <w:rPr>
          <w:rFonts w:ascii="Calibri" w:cs="Calibri" w:eastAsia="Calibri" w:hAnsi="Calibri"/>
          <w:color w:val="1A1512"/>
          <w:sz w:val="21"/>
          <w:szCs w:val="21"/>
        </w:rPr>
        <w:t xml:space="preserve">Preparation and allergy notes print prominently against the item they belong to.</w:t>
      </w:r>
    </w:p>
    <w:p>
      <w:pPr>
        <w:pStyle w:val="ListParagraph"/>
        <w:numPr>
          <w:ilvl w:val="0"/>
          <w:numId w:val="2"/>
        </w:numPr>
        <w:spacing w:after="60"/>
      </w:pPr>
      <w:r>
        <w:rPr>
          <w:rFonts w:ascii="Calibri" w:cs="Calibri" w:eastAsia="Calibri" w:hAnsi="Calibri"/>
          <w:color w:val="1A1512"/>
          <w:sz w:val="21"/>
          <w:szCs w:val="21"/>
        </w:rPr>
        <w:t xml:space="preserve">Cancellation tickets print automatically when an item already sent to the kitchen is voided, so the pass stops work.</w:t>
      </w:r>
    </w:p>
    <w:p>
      <w:pPr>
        <w:pStyle w:val="ListParagraph"/>
        <w:numPr>
          <w:ilvl w:val="0"/>
          <w:numId w:val="2"/>
        </w:numPr>
        <w:spacing w:after="60"/>
      </w:pPr>
      <w:r>
        <w:rPr>
          <w:rFonts w:ascii="Calibri" w:cs="Calibri" w:eastAsia="Calibri" w:hAnsi="Calibri"/>
          <w:color w:val="1A1512"/>
          <w:sz w:val="21"/>
          <w:szCs w:val="21"/>
        </w:rPr>
        <w:t xml:space="preserve">Manual reprint of any ticket, marked as a reprint to avoid duplicate preparation.</w:t>
      </w:r>
    </w:p>
    <w:p>
      <w:pPr>
        <w:pStyle w:val="Heading2"/>
        <w:spacing w:after="100" w:before="220"/>
      </w:pPr>
      <w:r>
        <w:rPr>
          <w:rFonts w:ascii="Calibri" w:cs="Calibri" w:eastAsia="Calibri" w:hAnsi="Calibri"/>
          <w:b/>
          <w:bCs/>
          <w:color w:val="1A1512"/>
          <w:sz w:val="23"/>
          <w:szCs w:val="23"/>
        </w:rPr>
        <w:t xml:space="preserve">3.4 Order types</w:t>
      </w:r>
    </w:p>
    <w:p>
      <w:pPr>
        <w:pStyle w:val="ListParagraph"/>
        <w:numPr>
          <w:ilvl w:val="0"/>
          <w:numId w:val="2"/>
        </w:numPr>
        <w:spacing w:after="60"/>
      </w:pPr>
      <w:r>
        <w:rPr>
          <w:rFonts w:ascii="Calibri" w:cs="Calibri" w:eastAsia="Calibri" w:hAnsi="Calibri"/>
          <w:color w:val="1A1512"/>
          <w:sz w:val="21"/>
          <w:szCs w:val="21"/>
        </w:rPr>
        <w:t xml:space="preserve">Floor / dine-in orders — tied to a table and cover count, with the 10% service charge applied.</w:t>
      </w:r>
    </w:p>
    <w:p>
      <w:pPr>
        <w:pStyle w:val="ListParagraph"/>
        <w:numPr>
          <w:ilvl w:val="0"/>
          <w:numId w:val="2"/>
        </w:numPr>
        <w:spacing w:after="60"/>
      </w:pPr>
      <w:r>
        <w:rPr>
          <w:rFonts w:ascii="Calibri" w:cs="Calibri" w:eastAsia="Calibri" w:hAnsi="Calibri"/>
          <w:color w:val="1A1512"/>
          <w:sz w:val="21"/>
          <w:szCs w:val="21"/>
        </w:rPr>
        <w:t xml:space="preserve">Takeaway orders — no table, no service charge.</w:t>
      </w:r>
    </w:p>
    <w:p>
      <w:pPr>
        <w:pStyle w:val="ListParagraph"/>
        <w:numPr>
          <w:ilvl w:val="0"/>
          <w:numId w:val="2"/>
        </w:numPr>
        <w:spacing w:after="60"/>
      </w:pPr>
      <w:r>
        <w:rPr>
          <w:rFonts w:ascii="Calibri" w:cs="Calibri" w:eastAsia="Calibri" w:hAnsi="Calibri"/>
          <w:color w:val="1A1512"/>
          <w:sz w:val="21"/>
          <w:szCs w:val="21"/>
        </w:rPr>
        <w:t xml:space="preserve">Counter orders — raised directly at the billing counter for walk-in trade.</w:t>
      </w:r>
    </w:p>
    <w:p>
      <w:pPr>
        <w:pStyle w:val="ListParagraph"/>
        <w:numPr>
          <w:ilvl w:val="0"/>
          <w:numId w:val="2"/>
        </w:numPr>
        <w:spacing w:after="60"/>
      </w:pPr>
      <w:r>
        <w:rPr>
          <w:rFonts w:ascii="Calibri" w:cs="Calibri" w:eastAsia="Calibri" w:hAnsi="Calibri"/>
          <w:color w:val="1A1512"/>
          <w:sz w:val="21"/>
          <w:szCs w:val="21"/>
        </w:rPr>
        <w:t xml:space="preserve">Multiple rounds may be added to any open order before it is closed.</w:t>
      </w:r>
    </w:p>
    <w:p>
      <w:pPr>
        <w:pStyle w:val="Heading2"/>
        <w:spacing w:after="100" w:before="220"/>
      </w:pPr>
      <w:r>
        <w:rPr>
          <w:rFonts w:ascii="Calibri" w:cs="Calibri" w:eastAsia="Calibri" w:hAnsi="Calibri"/>
          <w:b/>
          <w:bCs/>
          <w:color w:val="1A1512"/>
          <w:sz w:val="23"/>
          <w:szCs w:val="23"/>
        </w:rPr>
        <w:t xml:space="preserve">3.5 Billing and settlement</w:t>
      </w:r>
    </w:p>
    <w:p>
      <w:pPr>
        <w:pStyle w:val="ListParagraph"/>
        <w:numPr>
          <w:ilvl w:val="0"/>
          <w:numId w:val="2"/>
        </w:numPr>
        <w:spacing w:after="60"/>
      </w:pPr>
      <w:r>
        <w:rPr>
          <w:rFonts w:ascii="Calibri" w:cs="Calibri" w:eastAsia="Calibri" w:hAnsi="Calibri"/>
          <w:color w:val="1A1512"/>
          <w:sz w:val="21"/>
          <w:szCs w:val="21"/>
        </w:rPr>
        <w:t xml:space="preserve">Bills numbered in a single continuous serial sequence.</w:t>
      </w:r>
    </w:p>
    <w:p>
      <w:pPr>
        <w:pStyle w:val="ListParagraph"/>
        <w:numPr>
          <w:ilvl w:val="0"/>
          <w:numId w:val="2"/>
        </w:numPr>
        <w:spacing w:after="60"/>
      </w:pPr>
      <w:r>
        <w:rPr>
          <w:rFonts w:ascii="Calibri" w:cs="Calibri" w:eastAsia="Calibri" w:hAnsi="Calibri"/>
          <w:color w:val="1A1512"/>
          <w:sz w:val="21"/>
          <w:szCs w:val="21"/>
        </w:rPr>
        <w:t xml:space="preserve">Automatic 10% service charge on dine-in orders; correctly excluded from takeaway and counter orders.</w:t>
      </w:r>
    </w:p>
    <w:p>
      <w:pPr>
        <w:pStyle w:val="ListParagraph"/>
        <w:numPr>
          <w:ilvl w:val="0"/>
          <w:numId w:val="2"/>
        </w:numPr>
        <w:spacing w:after="60"/>
      </w:pPr>
      <w:r>
        <w:rPr>
          <w:rFonts w:ascii="Calibri" w:cs="Calibri" w:eastAsia="Calibri" w:hAnsi="Calibri"/>
          <w:color w:val="1A1512"/>
          <w:sz w:val="21"/>
          <w:szCs w:val="21"/>
        </w:rPr>
        <w:t xml:space="preserve">ABST shown as an included amount on the bill, matching the pricing convention already used on the printed menu.</w:t>
      </w:r>
    </w:p>
    <w:p>
      <w:pPr>
        <w:pStyle w:val="ListParagraph"/>
        <w:numPr>
          <w:ilvl w:val="0"/>
          <w:numId w:val="2"/>
        </w:numPr>
        <w:spacing w:after="60"/>
      </w:pPr>
      <w:r>
        <w:rPr>
          <w:rFonts w:ascii="Calibri" w:cs="Calibri" w:eastAsia="Calibri" w:hAnsi="Calibri"/>
          <w:color w:val="1A1512"/>
          <w:sz w:val="21"/>
          <w:szCs w:val="21"/>
        </w:rPr>
        <w:t xml:space="preserve">Tip entry with preset percentages calculated on the correct base.</w:t>
      </w:r>
    </w:p>
    <w:p>
      <w:pPr>
        <w:pStyle w:val="ListParagraph"/>
        <w:numPr>
          <w:ilvl w:val="0"/>
          <w:numId w:val="2"/>
        </w:numPr>
        <w:spacing w:after="60"/>
      </w:pPr>
      <w:r>
        <w:rPr>
          <w:rFonts w:ascii="Calibri" w:cs="Calibri" w:eastAsia="Calibri" w:hAnsi="Calibri"/>
          <w:color w:val="1A1512"/>
          <w:sz w:val="21"/>
          <w:szCs w:val="21"/>
        </w:rPr>
        <w:t xml:space="preserve">Discounts by percentage or fixed amount, with a reason recorded and manager authorisation required.</w:t>
      </w:r>
    </w:p>
    <w:p>
      <w:pPr>
        <w:pStyle w:val="ListParagraph"/>
        <w:numPr>
          <w:ilvl w:val="0"/>
          <w:numId w:val="2"/>
        </w:numPr>
        <w:spacing w:after="60"/>
      </w:pPr>
      <w:r>
        <w:rPr>
          <w:rFonts w:ascii="Calibri" w:cs="Calibri" w:eastAsia="Calibri" w:hAnsi="Calibri"/>
          <w:color w:val="1A1512"/>
          <w:sz w:val="21"/>
          <w:szCs w:val="21"/>
        </w:rPr>
        <w:t xml:space="preserve">Complimentary items with a reason recorded and manager authorisation required.</w:t>
      </w:r>
    </w:p>
    <w:p>
      <w:pPr>
        <w:pStyle w:val="ListParagraph"/>
        <w:numPr>
          <w:ilvl w:val="0"/>
          <w:numId w:val="2"/>
        </w:numPr>
        <w:spacing w:after="60"/>
      </w:pPr>
      <w:r>
        <w:rPr>
          <w:rFonts w:ascii="Calibri" w:cs="Calibri" w:eastAsia="Calibri" w:hAnsi="Calibri"/>
          <w:color w:val="1A1512"/>
          <w:sz w:val="21"/>
          <w:szCs w:val="21"/>
        </w:rPr>
        <w:t xml:space="preserve">Item voids — handled differently before and after the kitchen has the ticket, with manager authorisation and a printed cancellation ticket in the latter case.</w:t>
      </w:r>
    </w:p>
    <w:p>
      <w:pPr>
        <w:pStyle w:val="ListParagraph"/>
        <w:numPr>
          <w:ilvl w:val="0"/>
          <w:numId w:val="2"/>
        </w:numPr>
        <w:spacing w:after="60"/>
      </w:pPr>
      <w:r>
        <w:rPr>
          <w:rFonts w:ascii="Calibri" w:cs="Calibri" w:eastAsia="Calibri" w:hAnsi="Calibri"/>
          <w:color w:val="1A1512"/>
          <w:sz w:val="21"/>
          <w:szCs w:val="21"/>
        </w:rPr>
        <w:t xml:space="preserve">Split payment across cash, card and mobile on a single bill; the bill settles only when the balance clears.</w:t>
      </w:r>
    </w:p>
    <w:p>
      <w:pPr>
        <w:pStyle w:val="ListParagraph"/>
        <w:numPr>
          <w:ilvl w:val="0"/>
          <w:numId w:val="2"/>
        </w:numPr>
        <w:spacing w:after="60"/>
      </w:pPr>
      <w:r>
        <w:rPr>
          <w:rFonts w:ascii="Calibri" w:cs="Calibri" w:eastAsia="Calibri" w:hAnsi="Calibri"/>
          <w:color w:val="1A1512"/>
          <w:sz w:val="21"/>
          <w:szCs w:val="21"/>
        </w:rPr>
        <w:t xml:space="preserve">Bill printing to the counter thermal printer, with reprint.</w:t>
      </w:r>
    </w:p>
    <w:p>
      <w:pPr>
        <w:pStyle w:val="ListParagraph"/>
        <w:numPr>
          <w:ilvl w:val="0"/>
          <w:numId w:val="2"/>
        </w:numPr>
        <w:spacing w:after="60"/>
      </w:pPr>
      <w:r>
        <w:rPr>
          <w:rFonts w:ascii="Calibri" w:cs="Calibri" w:eastAsia="Calibri" w:hAnsi="Calibri"/>
          <w:color w:val="1A1512"/>
          <w:sz w:val="21"/>
          <w:szCs w:val="21"/>
        </w:rPr>
        <w:t xml:space="preserve">Reopening a settled bill requires manager authorisation and is recorded.</w:t>
      </w:r>
    </w:p>
    <w:p>
      <w:pPr>
        <w:pStyle w:val="Heading2"/>
        <w:spacing w:after="100" w:before="220"/>
      </w:pPr>
      <w:r>
        <w:rPr>
          <w:rFonts w:ascii="Calibri" w:cs="Calibri" w:eastAsia="Calibri" w:hAnsi="Calibri"/>
          <w:b/>
          <w:bCs/>
          <w:color w:val="1A1512"/>
          <w:sz w:val="23"/>
          <w:szCs w:val="23"/>
        </w:rPr>
        <w:t xml:space="preserve">3.6 Report generation</w:t>
      </w:r>
    </w:p>
    <w:p>
      <w:pPr>
        <w:spacing w:after="120" w:before="0"/>
      </w:pPr>
      <w:r>
        <w:rPr>
          <w:rFonts w:ascii="Calibri" w:cs="Calibri" w:eastAsia="Calibri" w:hAnsi="Calibri"/>
          <w:i/>
          <w:iCs/>
          <w:color w:val="6B5F58"/>
          <w:sz w:val="21"/>
          <w:szCs w:val="21"/>
        </w:rPr>
        <w:t xml:space="preserve">A single reporting dashboard with selectable date ranges (today, yesterday, last seven days, all time):</w:t>
      </w:r>
    </w:p>
    <w:p>
      <w:pPr>
        <w:pStyle w:val="ListParagraph"/>
        <w:numPr>
          <w:ilvl w:val="0"/>
          <w:numId w:val="2"/>
        </w:numPr>
        <w:spacing w:after="60"/>
      </w:pPr>
      <w:r>
        <w:rPr>
          <w:rFonts w:ascii="Calibri" w:cs="Calibri" w:eastAsia="Calibri" w:hAnsi="Calibri"/>
          <w:color w:val="1A1512"/>
          <w:sz w:val="21"/>
          <w:szCs w:val="21"/>
        </w:rPr>
        <w:t xml:space="preserve">Headline figures — bills, covers, net sales, average bill and average spend per cover.</w:t>
      </w:r>
    </w:p>
    <w:p>
      <w:pPr>
        <w:pStyle w:val="ListParagraph"/>
        <w:numPr>
          <w:ilvl w:val="0"/>
          <w:numId w:val="2"/>
        </w:numPr>
        <w:spacing w:after="60"/>
      </w:pPr>
      <w:r>
        <w:rPr>
          <w:rFonts w:ascii="Calibri" w:cs="Calibri" w:eastAsia="Calibri" w:hAnsi="Calibri"/>
          <w:color w:val="1A1512"/>
          <w:sz w:val="21"/>
          <w:szCs w:val="21"/>
        </w:rPr>
        <w:t xml:space="preserve">Sales by hour, to identify true peak trading and staff accordingly.</w:t>
      </w:r>
    </w:p>
    <w:p>
      <w:pPr>
        <w:pStyle w:val="ListParagraph"/>
        <w:numPr>
          <w:ilvl w:val="0"/>
          <w:numId w:val="2"/>
        </w:numPr>
        <w:spacing w:after="60"/>
      </w:pPr>
      <w:r>
        <w:rPr>
          <w:rFonts w:ascii="Calibri" w:cs="Calibri" w:eastAsia="Calibri" w:hAnsi="Calibri"/>
          <w:color w:val="1A1512"/>
          <w:sz w:val="21"/>
          <w:szCs w:val="21"/>
        </w:rPr>
        <w:t xml:space="preserve">Day summary reconciling gross sales, comps, discounts, net sales, service charge, tips, total taken and the ABST component.</w:t>
      </w:r>
    </w:p>
    <w:p>
      <w:pPr>
        <w:pStyle w:val="ListParagraph"/>
        <w:numPr>
          <w:ilvl w:val="0"/>
          <w:numId w:val="2"/>
        </w:numPr>
        <w:spacing w:after="60"/>
      </w:pPr>
      <w:r>
        <w:rPr>
          <w:rFonts w:ascii="Calibri" w:cs="Calibri" w:eastAsia="Calibri" w:hAnsi="Calibri"/>
          <w:color w:val="1A1512"/>
          <w:sz w:val="21"/>
          <w:szCs w:val="21"/>
        </w:rPr>
        <w:t xml:space="preserve">Sales split by payment method.</w:t>
      </w:r>
    </w:p>
    <w:p>
      <w:pPr>
        <w:pStyle w:val="ListParagraph"/>
        <w:numPr>
          <w:ilvl w:val="0"/>
          <w:numId w:val="2"/>
        </w:numPr>
        <w:spacing w:after="60"/>
      </w:pPr>
      <w:r>
        <w:rPr>
          <w:rFonts w:ascii="Calibri" w:cs="Calibri" w:eastAsia="Calibri" w:hAnsi="Calibri"/>
          <w:color w:val="1A1512"/>
          <w:sz w:val="21"/>
          <w:szCs w:val="21"/>
        </w:rPr>
        <w:t xml:space="preserve">Best-selling items by quantity and by value.</w:t>
      </w:r>
    </w:p>
    <w:p>
      <w:pPr>
        <w:pStyle w:val="ListParagraph"/>
        <w:numPr>
          <w:ilvl w:val="0"/>
          <w:numId w:val="2"/>
        </w:numPr>
        <w:spacing w:after="60"/>
      </w:pPr>
      <w:r>
        <w:rPr>
          <w:rFonts w:ascii="Calibri" w:cs="Calibri" w:eastAsia="Calibri" w:hAnsi="Calibri"/>
          <w:color w:val="1A1512"/>
          <w:sz w:val="21"/>
          <w:szCs w:val="21"/>
        </w:rPr>
        <w:t xml:space="preserve">Category mix across starters, mains, sushi and drinks.</w:t>
      </w:r>
    </w:p>
    <w:p>
      <w:pPr>
        <w:pStyle w:val="ListParagraph"/>
        <w:numPr>
          <w:ilvl w:val="0"/>
          <w:numId w:val="2"/>
        </w:numPr>
        <w:spacing w:after="60"/>
      </w:pPr>
      <w:r>
        <w:rPr>
          <w:rFonts w:ascii="Calibri" w:cs="Calibri" w:eastAsia="Calibri" w:hAnsi="Calibri"/>
          <w:color w:val="1A1512"/>
          <w:sz w:val="21"/>
          <w:szCs w:val="21"/>
        </w:rPr>
        <w:t xml:space="preserve">Performance by server — bills, covers and value.</w:t>
      </w:r>
    </w:p>
    <w:p>
      <w:pPr>
        <w:pStyle w:val="ListParagraph"/>
        <w:numPr>
          <w:ilvl w:val="0"/>
          <w:numId w:val="2"/>
        </w:numPr>
        <w:spacing w:after="60"/>
      </w:pPr>
      <w:r>
        <w:rPr>
          <w:rFonts w:ascii="Calibri" w:cs="Calibri" w:eastAsia="Calibri" w:hAnsi="Calibri"/>
          <w:color w:val="1A1512"/>
          <w:sz w:val="21"/>
          <w:szCs w:val="21"/>
        </w:rPr>
        <w:t xml:space="preserve">Voids, comps and discounts report showing the reason, the staff member who requested it and the manager who approved it.</w:t>
      </w:r>
    </w:p>
    <w:p>
      <w:pPr>
        <w:pStyle w:val="ListParagraph"/>
        <w:numPr>
          <w:ilvl w:val="0"/>
          <w:numId w:val="2"/>
        </w:numPr>
        <w:spacing w:after="60"/>
      </w:pPr>
      <w:r>
        <w:rPr>
          <w:rFonts w:ascii="Calibri" w:cs="Calibri" w:eastAsia="Calibri" w:hAnsi="Calibri"/>
          <w:color w:val="1A1512"/>
          <w:sz w:val="21"/>
          <w:szCs w:val="21"/>
        </w:rPr>
        <w:t xml:space="preserve">Printable end-of-day sales summary.</w:t>
      </w:r>
    </w:p>
    <w:p>
      <w:pPr>
        <w:pStyle w:val="Heading2"/>
        <w:spacing w:after="100" w:before="220"/>
      </w:pPr>
      <w:r>
        <w:rPr>
          <w:rFonts w:ascii="Calibri" w:cs="Calibri" w:eastAsia="Calibri" w:hAnsi="Calibri"/>
          <w:b/>
          <w:bCs/>
          <w:color w:val="1A1512"/>
          <w:sz w:val="23"/>
          <w:szCs w:val="23"/>
        </w:rPr>
        <w:t xml:space="preserve">3.7 Menu and staff management</w:t>
      </w:r>
    </w:p>
    <w:p>
      <w:pPr>
        <w:pStyle w:val="ListParagraph"/>
        <w:numPr>
          <w:ilvl w:val="0"/>
          <w:numId w:val="2"/>
        </w:numPr>
        <w:spacing w:after="60"/>
      </w:pPr>
      <w:r>
        <w:rPr>
          <w:rFonts w:ascii="Calibri" w:cs="Calibri" w:eastAsia="Calibri" w:hAnsi="Calibri"/>
          <w:color w:val="1A1512"/>
          <w:sz w:val="21"/>
          <w:szCs w:val="21"/>
        </w:rPr>
        <w:t xml:space="preserve">Complete menu loaded from Asian Voyage’s existing menu — 162 items across 22 categories, with prices, descriptions, vegetarian and spicy markers, and item variants.</w:t>
      </w:r>
    </w:p>
    <w:p>
      <w:pPr>
        <w:pStyle w:val="ListParagraph"/>
        <w:numPr>
          <w:ilvl w:val="0"/>
          <w:numId w:val="2"/>
        </w:numPr>
        <w:spacing w:after="60"/>
      </w:pPr>
      <w:r>
        <w:rPr>
          <w:rFonts w:ascii="Calibri" w:cs="Calibri" w:eastAsia="Calibri" w:hAnsi="Calibri"/>
          <w:color w:val="1A1512"/>
          <w:sz w:val="21"/>
          <w:szCs w:val="21"/>
        </w:rPr>
        <w:t xml:space="preserve">Menu items and prices editable by the client without developer involvement.</w:t>
      </w:r>
    </w:p>
    <w:p>
      <w:pPr>
        <w:pStyle w:val="ListParagraph"/>
        <w:numPr>
          <w:ilvl w:val="0"/>
          <w:numId w:val="2"/>
        </w:numPr>
        <w:spacing w:after="60"/>
      </w:pPr>
      <w:r>
        <w:rPr>
          <w:rFonts w:ascii="Calibri" w:cs="Calibri" w:eastAsia="Calibri" w:hAnsi="Calibri"/>
          <w:color w:val="1A1512"/>
          <w:sz w:val="21"/>
          <w:szCs w:val="21"/>
        </w:rPr>
        <w:t xml:space="preserve">Item availability toggle for items sold out during service.</w:t>
      </w:r>
    </w:p>
    <w:p>
      <w:pPr>
        <w:pStyle w:val="ListParagraph"/>
        <w:numPr>
          <w:ilvl w:val="0"/>
          <w:numId w:val="2"/>
        </w:numPr>
        <w:spacing w:after="60"/>
      </w:pPr>
      <w:r>
        <w:rPr>
          <w:rFonts w:ascii="Calibri" w:cs="Calibri" w:eastAsia="Calibri" w:hAnsi="Calibri"/>
          <w:color w:val="1A1512"/>
          <w:sz w:val="21"/>
          <w:szCs w:val="21"/>
        </w:rPr>
        <w:t xml:space="preserve">Staff accounts with PIN sign-in and three roles — waiter, cashier and manager.</w:t>
      </w:r>
    </w:p>
    <w:p>
      <w:pPr>
        <w:pStyle w:val="ListParagraph"/>
        <w:numPr>
          <w:ilvl w:val="0"/>
          <w:numId w:val="2"/>
        </w:numPr>
        <w:spacing w:after="60"/>
      </w:pPr>
      <w:r>
        <w:rPr>
          <w:rFonts w:ascii="Calibri" w:cs="Calibri" w:eastAsia="Calibri" w:hAnsi="Calibri"/>
          <w:color w:val="1A1512"/>
          <w:sz w:val="21"/>
          <w:szCs w:val="21"/>
        </w:rPr>
        <w:t xml:space="preserve">Manager-only actions: voiding a sent item, comping an item, applying a discount, voiding a bill and reopening a settled bill.</w:t>
      </w:r>
    </w:p>
    <w:p>
      <w:pPr>
        <w:pStyle w:val="Heading1"/>
        <w:spacing w:after="160" w:before="320"/>
      </w:pPr>
      <w:r>
        <w:rPr>
          <w:rFonts w:ascii="Calibri" w:cs="Calibri" w:eastAsia="Calibri" w:hAnsi="Calibri"/>
          <w:b/>
          <w:bCs/>
          <w:color w:val="B8531B"/>
          <w:sz w:val="30"/>
          <w:szCs w:val="30"/>
        </w:rPr>
        <w:t xml:space="preserve">4. Out of Scope</w:t>
      </w:r>
    </w:p>
    <w:p>
      <w:pPr>
        <w:spacing w:after="120" w:before="0"/>
      </w:pPr>
      <w:r>
        <w:rPr>
          <w:rFonts w:ascii="Calibri" w:cs="Calibri" w:eastAsia="Calibri" w:hAnsi="Calibri"/>
          <w:color w:val="1A1512"/>
          <w:sz w:val="21"/>
          <w:szCs w:val="21"/>
        </w:rPr>
        <w:t xml:space="preserve">The following are deliberately excluded from this proposal. Any of them can be quoted separately if required later.</w:t>
      </w:r>
    </w:p>
    <w:p>
      <w:pPr>
        <w:pStyle w:val="ListParagraph"/>
        <w:numPr>
          <w:ilvl w:val="0"/>
          <w:numId w:val="2"/>
        </w:numPr>
        <w:spacing w:after="60"/>
      </w:pPr>
      <w:r>
        <w:rPr>
          <w:rFonts w:ascii="Calibri" w:cs="Calibri" w:eastAsia="Calibri" w:hAnsi="Calibri"/>
          <w:color w:val="1A1512"/>
          <w:sz w:val="21"/>
          <w:szCs w:val="21"/>
        </w:rPr>
        <w:t xml:space="preserve">Card payment processing. The system records the payment method and amount; it does not connect to a card terminal or payment gateway. Antigua falls outside the coverage of most international gateways, so live card integration requires a local acquiring bank and is quoted separately once their technical documentation is available.</w:t>
      </w:r>
    </w:p>
    <w:p>
      <w:pPr>
        <w:pStyle w:val="ListParagraph"/>
        <w:numPr>
          <w:ilvl w:val="0"/>
          <w:numId w:val="2"/>
        </w:numPr>
        <w:spacing w:after="60"/>
      </w:pPr>
      <w:r>
        <w:rPr>
          <w:rFonts w:ascii="Calibri" w:cs="Calibri" w:eastAsia="Calibri" w:hAnsi="Calibri"/>
          <w:color w:val="1A1512"/>
          <w:sz w:val="21"/>
          <w:szCs w:val="21"/>
        </w:rPr>
        <w:t xml:space="preserve">Inventory and stock management, recipe-level depletion, wastage tracking and purchase orders.</w:t>
      </w:r>
    </w:p>
    <w:p>
      <w:pPr>
        <w:pStyle w:val="ListParagraph"/>
        <w:numPr>
          <w:ilvl w:val="0"/>
          <w:numId w:val="2"/>
        </w:numPr>
        <w:spacing w:after="60"/>
      </w:pPr>
      <w:r>
        <w:rPr>
          <w:rFonts w:ascii="Calibri" w:cs="Calibri" w:eastAsia="Calibri" w:hAnsi="Calibri"/>
          <w:color w:val="1A1512"/>
          <w:sz w:val="21"/>
          <w:szCs w:val="21"/>
        </w:rPr>
        <w:t xml:space="preserve">Customer loyalty programme, points or membership.</w:t>
      </w:r>
    </w:p>
    <w:p>
      <w:pPr>
        <w:pStyle w:val="ListParagraph"/>
        <w:numPr>
          <w:ilvl w:val="0"/>
          <w:numId w:val="2"/>
        </w:numPr>
        <w:spacing w:after="60"/>
      </w:pPr>
      <w:r>
        <w:rPr>
          <w:rFonts w:ascii="Calibri" w:cs="Calibri" w:eastAsia="Calibri" w:hAnsi="Calibri"/>
          <w:color w:val="1A1512"/>
          <w:sz w:val="21"/>
          <w:szCs w:val="21"/>
        </w:rPr>
        <w:t xml:space="preserve">Customer-facing mobile applications for iOS or Android.</w:t>
      </w:r>
    </w:p>
    <w:p>
      <w:pPr>
        <w:pStyle w:val="ListParagraph"/>
        <w:numPr>
          <w:ilvl w:val="0"/>
          <w:numId w:val="2"/>
        </w:numPr>
        <w:spacing w:after="60"/>
      </w:pPr>
      <w:r>
        <w:rPr>
          <w:rFonts w:ascii="Calibri" w:cs="Calibri" w:eastAsia="Calibri" w:hAnsi="Calibri"/>
          <w:color w:val="1A1512"/>
          <w:sz w:val="21"/>
          <w:szCs w:val="21"/>
        </w:rPr>
        <w:t xml:space="preserve">Customer-facing QR code menu or online ordering.</w:t>
      </w:r>
    </w:p>
    <w:p>
      <w:pPr>
        <w:pStyle w:val="ListParagraph"/>
        <w:numPr>
          <w:ilvl w:val="0"/>
          <w:numId w:val="2"/>
        </w:numPr>
        <w:spacing w:after="60"/>
      </w:pPr>
      <w:r>
        <w:rPr>
          <w:rFonts w:ascii="Calibri" w:cs="Calibri" w:eastAsia="Calibri" w:hAnsi="Calibri"/>
          <w:color w:val="1A1512"/>
          <w:sz w:val="21"/>
          <w:szCs w:val="21"/>
        </w:rPr>
        <w:t xml:space="preserve">Multi-branch or second-location support.</w:t>
      </w:r>
    </w:p>
    <w:p>
      <w:pPr>
        <w:pStyle w:val="ListParagraph"/>
        <w:numPr>
          <w:ilvl w:val="0"/>
          <w:numId w:val="2"/>
        </w:numPr>
        <w:spacing w:after="60"/>
      </w:pPr>
      <w:r>
        <w:rPr>
          <w:rFonts w:ascii="Calibri" w:cs="Calibri" w:eastAsia="Calibri" w:hAnsi="Calibri"/>
          <w:color w:val="1A1512"/>
          <w:sz w:val="21"/>
          <w:szCs w:val="21"/>
        </w:rPr>
        <w:t xml:space="preserve">Integration with accounting packages or payroll systems.</w:t>
      </w:r>
    </w:p>
    <w:p>
      <w:pPr>
        <w:pStyle w:val="ListParagraph"/>
        <w:numPr>
          <w:ilvl w:val="0"/>
          <w:numId w:val="2"/>
        </w:numPr>
        <w:spacing w:after="60"/>
      </w:pPr>
      <w:r>
        <w:rPr>
          <w:rFonts w:ascii="Calibri" w:cs="Calibri" w:eastAsia="Calibri" w:hAnsi="Calibri"/>
          <w:color w:val="1A1512"/>
          <w:sz w:val="21"/>
          <w:szCs w:val="21"/>
        </w:rPr>
        <w:t xml:space="preserve">Table reservations and booking management.</w:t>
      </w:r>
    </w:p>
    <w:p>
      <w:pPr>
        <w:pStyle w:val="ListParagraph"/>
        <w:numPr>
          <w:ilvl w:val="0"/>
          <w:numId w:val="2"/>
        </w:numPr>
        <w:spacing w:after="60"/>
      </w:pPr>
      <w:r>
        <w:rPr>
          <w:rFonts w:ascii="Calibri" w:cs="Calibri" w:eastAsia="Calibri" w:hAnsi="Calibri"/>
          <w:color w:val="1A1512"/>
          <w:sz w:val="21"/>
          <w:szCs w:val="21"/>
        </w:rPr>
        <w:t xml:space="preserve">Supply of hardware — tablets, touchscreen, printers and networking.</w:t>
      </w:r>
    </w:p>
    <w:p>
      <w:pPr>
        <w:pStyle w:val="ListParagraph"/>
        <w:numPr>
          <w:ilvl w:val="0"/>
          <w:numId w:val="2"/>
        </w:numPr>
        <w:spacing w:after="60"/>
      </w:pPr>
      <w:r>
        <w:rPr>
          <w:rFonts w:ascii="Calibri" w:cs="Calibri" w:eastAsia="Calibri" w:hAnsi="Calibri"/>
          <w:color w:val="1A1512"/>
          <w:sz w:val="21"/>
          <w:szCs w:val="21"/>
        </w:rPr>
        <w:t xml:space="preserve">Menu photography and content writing.</w:t>
      </w:r>
    </w:p>
    <w:p>
      <w:pPr>
        <w:pStyle w:val="Heading1"/>
        <w:spacing w:after="160" w:before="320"/>
      </w:pPr>
      <w:r>
        <w:rPr>
          <w:rFonts w:ascii="Calibri" w:cs="Calibri" w:eastAsia="Calibri" w:hAnsi="Calibri"/>
          <w:b/>
          <w:bCs/>
          <w:color w:val="B8531B"/>
          <w:sz w:val="30"/>
          <w:szCs w:val="30"/>
        </w:rPr>
        <w:t xml:space="preserve">5. Deliverables</w:t>
      </w: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3200"/>
        <w:gridCol w:w="5826"/>
      </w:tblGrid>
      <w:tr>
        <w:tc>
          <w:tcPr>
            <w:tcW w:type="dxa" w:w="32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Deliverable</w:t>
            </w:r>
          </w:p>
        </w:tc>
        <w:tc>
          <w:tcPr>
            <w:tcW w:type="dxa" w:w="5826"/>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Description</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Waiter interface</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Tablet-optimised ordering application with PIN sign-in</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Admin interface</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Counter application covering orders, billing, kitchen and reports</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KOT printing</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Kitchen ticket generation and printing, including amendments and cancellations</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Bill printing</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80mm thermal bill layout with service charge and ABST presentation</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Reporting dashboard</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Sales, covers, hourly trend, item and category analysis, exceptions</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Menu data</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All 162 items loaded, categorised and priced</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Deployment</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Installation, configuration and go-live support on site</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Training</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Staff training for waiters, cashiers and management</w:t>
            </w:r>
          </w:p>
        </w:tc>
      </w:tr>
      <w:tr>
        <w:tc>
          <w:tcPr>
            <w:tcW w:type="dxa" w:w="32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Documentation</w:t>
            </w:r>
          </w:p>
        </w:tc>
        <w:tc>
          <w:tcPr>
            <w:tcW w:type="dxa" w:w="5826"/>
            <w:tcMar>
              <w:top w:type="dxa" w:w="90"/>
              <w:left w:type="dxa" w:w="130"/>
              <w:bottom w:type="dxa" w:w="90"/>
              <w:right w:type="dxa" w:w="130"/>
            </w:tcMar>
          </w:tcPr>
          <w:p>
            <w:pPr>
              <w:spacing w:after="0"/>
            </w:pPr>
            <w:r>
              <w:rPr>
                <w:rFonts w:ascii="Calibri" w:cs="Calibri" w:eastAsia="Calibri" w:hAnsi="Calibri"/>
                <w:color w:val="1A1512"/>
                <w:sz w:val="20"/>
                <w:szCs w:val="20"/>
              </w:rPr>
              <w:t xml:space="preserve">User guide and administrator handbook</w:t>
            </w:r>
          </w:p>
        </w:tc>
      </w:tr>
    </w:tbl>
    <w:p>
      <w:r>
        <w:br w:type="page"/>
      </w:r>
    </w:p>
    <w:p>
      <w:pPr>
        <w:pStyle w:val="Heading1"/>
        <w:spacing w:after="160" w:before="320"/>
      </w:pPr>
      <w:r>
        <w:rPr>
          <w:rFonts w:ascii="Calibri" w:cs="Calibri" w:eastAsia="Calibri" w:hAnsi="Calibri"/>
          <w:b/>
          <w:bCs/>
          <w:color w:val="B8531B"/>
          <w:sz w:val="30"/>
          <w:szCs w:val="30"/>
        </w:rPr>
        <w:t xml:space="preserve">6. Hardware and Environment</w:t>
      </w:r>
    </w:p>
    <w:p>
      <w:pPr>
        <w:spacing w:after="120" w:before="0"/>
      </w:pPr>
      <w:r>
        <w:rPr>
          <w:rFonts w:ascii="Calibri" w:cs="Calibri" w:eastAsia="Calibri" w:hAnsi="Calibri"/>
          <w:color w:val="1A1512"/>
          <w:sz w:val="21"/>
          <w:szCs w:val="21"/>
        </w:rPr>
        <w:t xml:space="preserve">Hardware is supplied by the client. The following is the recommended minimum; we will advise on specific models and can assist with procurement at cost.</w:t>
      </w: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3200"/>
        <w:gridCol w:w="1400"/>
        <w:gridCol w:w="4426"/>
      </w:tblGrid>
      <w:tr>
        <w:tc>
          <w:tcPr>
            <w:tcW w:type="dxa" w:w="32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Item</w:t>
            </w:r>
          </w:p>
        </w:tc>
        <w:tc>
          <w:tcPr>
            <w:tcW w:type="dxa" w:w="14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Quantity</w:t>
            </w:r>
          </w:p>
        </w:tc>
        <w:tc>
          <w:tcPr>
            <w:tcW w:type="dxa" w:w="4426"/>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Notes</w:t>
            </w:r>
          </w:p>
        </w:tc>
      </w:tr>
      <w:tr>
        <w:tc>
          <w:tcPr>
            <w:tcW w:type="dxa" w:w="3200"/>
            <w:tcMar>
              <w:top w:type="dxa" w:w="90"/>
              <w:left w:type="dxa" w:w="130"/>
              <w:bottom w:type="dxa" w:w="90"/>
              <w:right w:type="dxa" w:w="130"/>
            </w:tcMar>
          </w:tcPr>
          <w:p>
            <w:pPr>
              <w:spacing w:after="0"/>
            </w:pPr>
            <w:r>
              <w:rPr>
                <w:rFonts w:ascii="Calibri" w:cs="Calibri" w:eastAsia="Calibri" w:hAnsi="Calibri"/>
                <w:color w:val="1A1512"/>
                <w:sz w:val="20"/>
                <w:szCs w:val="20"/>
              </w:rPr>
              <w:t xml:space="preserve">Counter touchscreen or PC</w:t>
            </w:r>
          </w:p>
        </w:tc>
        <w:tc>
          <w:tcPr>
            <w:tcW w:type="dxa" w:w="1400"/>
            <w:tcMar>
              <w:top w:type="dxa" w:w="90"/>
              <w:left w:type="dxa" w:w="130"/>
              <w:bottom w:type="dxa" w:w="90"/>
              <w:right w:type="dxa" w:w="130"/>
            </w:tcMar>
          </w:tcPr>
          <w:p>
            <w:pPr>
              <w:spacing w:after="0"/>
            </w:pPr>
            <w:r>
              <w:rPr>
                <w:rFonts w:ascii="Calibri" w:cs="Calibri" w:eastAsia="Calibri" w:hAnsi="Calibri"/>
                <w:color w:val="1A1512"/>
                <w:sz w:val="20"/>
                <w:szCs w:val="20"/>
              </w:rPr>
              <w:t xml:space="preserve">1</w:t>
            </w:r>
          </w:p>
        </w:tc>
        <w:tc>
          <w:tcPr>
            <w:tcW w:type="dxa" w:w="4426"/>
            <w:tcMar>
              <w:top w:type="dxa" w:w="90"/>
              <w:left w:type="dxa" w:w="130"/>
              <w:bottom w:type="dxa" w:w="90"/>
              <w:right w:type="dxa" w:w="130"/>
            </w:tcMar>
          </w:tcPr>
          <w:p>
            <w:pPr>
              <w:spacing w:after="0"/>
            </w:pPr>
            <w:r>
              <w:rPr>
                <w:rFonts w:ascii="Calibri" w:cs="Calibri" w:eastAsia="Calibri" w:hAnsi="Calibri"/>
                <w:color w:val="1A1512"/>
                <w:sz w:val="20"/>
                <w:szCs w:val="20"/>
              </w:rPr>
              <w:t xml:space="preserve">Billing counter workstation</w:t>
            </w:r>
          </w:p>
        </w:tc>
      </w:tr>
      <w:tr>
        <w:tc>
          <w:tcPr>
            <w:tcW w:type="dxa" w:w="3200"/>
            <w:tcMar>
              <w:top w:type="dxa" w:w="90"/>
              <w:left w:type="dxa" w:w="130"/>
              <w:bottom w:type="dxa" w:w="90"/>
              <w:right w:type="dxa" w:w="130"/>
            </w:tcMar>
          </w:tcPr>
          <w:p>
            <w:pPr>
              <w:spacing w:after="0"/>
            </w:pPr>
            <w:r>
              <w:rPr>
                <w:rFonts w:ascii="Calibri" w:cs="Calibri" w:eastAsia="Calibri" w:hAnsi="Calibri"/>
                <w:color w:val="1A1512"/>
                <w:sz w:val="20"/>
                <w:szCs w:val="20"/>
              </w:rPr>
              <w:t xml:space="preserve">Tablets (10-inch)</w:t>
            </w:r>
          </w:p>
        </w:tc>
        <w:tc>
          <w:tcPr>
            <w:tcW w:type="dxa" w:w="1400"/>
            <w:tcMar>
              <w:top w:type="dxa" w:w="90"/>
              <w:left w:type="dxa" w:w="130"/>
              <w:bottom w:type="dxa" w:w="90"/>
              <w:right w:type="dxa" w:w="130"/>
            </w:tcMar>
          </w:tcPr>
          <w:p>
            <w:pPr>
              <w:spacing w:after="0"/>
            </w:pPr>
            <w:r>
              <w:rPr>
                <w:rFonts w:ascii="Calibri" w:cs="Calibri" w:eastAsia="Calibri" w:hAnsi="Calibri"/>
                <w:color w:val="1A1512"/>
                <w:sz w:val="20"/>
                <w:szCs w:val="20"/>
              </w:rPr>
              <w:t xml:space="preserve">2 – 3</w:t>
            </w:r>
          </w:p>
        </w:tc>
        <w:tc>
          <w:tcPr>
            <w:tcW w:type="dxa" w:w="4426"/>
            <w:tcMar>
              <w:top w:type="dxa" w:w="90"/>
              <w:left w:type="dxa" w:w="130"/>
              <w:bottom w:type="dxa" w:w="90"/>
              <w:right w:type="dxa" w:w="130"/>
            </w:tcMar>
          </w:tcPr>
          <w:p>
            <w:pPr>
              <w:spacing w:after="0"/>
            </w:pPr>
            <w:r>
              <w:rPr>
                <w:rFonts w:ascii="Calibri" w:cs="Calibri" w:eastAsia="Calibri" w:hAnsi="Calibri"/>
                <w:color w:val="1A1512"/>
                <w:sz w:val="20"/>
                <w:szCs w:val="20"/>
              </w:rPr>
              <w:t xml:space="preserve">Waiter interface; Android or iPad</w:t>
            </w:r>
          </w:p>
        </w:tc>
      </w:tr>
      <w:tr>
        <w:tc>
          <w:tcPr>
            <w:tcW w:type="dxa" w:w="3200"/>
            <w:tcMar>
              <w:top w:type="dxa" w:w="90"/>
              <w:left w:type="dxa" w:w="130"/>
              <w:bottom w:type="dxa" w:w="90"/>
              <w:right w:type="dxa" w:w="130"/>
            </w:tcMar>
          </w:tcPr>
          <w:p>
            <w:pPr>
              <w:spacing w:after="0"/>
            </w:pPr>
            <w:r>
              <w:rPr>
                <w:rFonts w:ascii="Calibri" w:cs="Calibri" w:eastAsia="Calibri" w:hAnsi="Calibri"/>
                <w:color w:val="1A1512"/>
                <w:sz w:val="20"/>
                <w:szCs w:val="20"/>
              </w:rPr>
              <w:t xml:space="preserve">Thermal printer, 80mm</w:t>
            </w:r>
          </w:p>
        </w:tc>
        <w:tc>
          <w:tcPr>
            <w:tcW w:type="dxa" w:w="1400"/>
            <w:tcMar>
              <w:top w:type="dxa" w:w="90"/>
              <w:left w:type="dxa" w:w="130"/>
              <w:bottom w:type="dxa" w:w="90"/>
              <w:right w:type="dxa" w:w="130"/>
            </w:tcMar>
          </w:tcPr>
          <w:p>
            <w:pPr>
              <w:spacing w:after="0"/>
            </w:pPr>
            <w:r>
              <w:rPr>
                <w:rFonts w:ascii="Calibri" w:cs="Calibri" w:eastAsia="Calibri" w:hAnsi="Calibri"/>
                <w:color w:val="1A1512"/>
                <w:sz w:val="20"/>
                <w:szCs w:val="20"/>
              </w:rPr>
              <w:t xml:space="preserve">2</w:t>
            </w:r>
          </w:p>
        </w:tc>
        <w:tc>
          <w:tcPr>
            <w:tcW w:type="dxa" w:w="4426"/>
            <w:tcMar>
              <w:top w:type="dxa" w:w="90"/>
              <w:left w:type="dxa" w:w="130"/>
              <w:bottom w:type="dxa" w:w="90"/>
              <w:right w:type="dxa" w:w="130"/>
            </w:tcMar>
          </w:tcPr>
          <w:p>
            <w:pPr>
              <w:spacing w:after="0"/>
            </w:pPr>
            <w:r>
              <w:rPr>
                <w:rFonts w:ascii="Calibri" w:cs="Calibri" w:eastAsia="Calibri" w:hAnsi="Calibri"/>
                <w:color w:val="1A1512"/>
                <w:sz w:val="20"/>
                <w:szCs w:val="20"/>
              </w:rPr>
              <w:t xml:space="preserve">One at the kitchen pass, one at the billing counter</w:t>
            </w:r>
          </w:p>
        </w:tc>
      </w:tr>
      <w:tr>
        <w:tc>
          <w:tcPr>
            <w:tcW w:type="dxa" w:w="3200"/>
            <w:tcMar>
              <w:top w:type="dxa" w:w="90"/>
              <w:left w:type="dxa" w:w="130"/>
              <w:bottom w:type="dxa" w:w="90"/>
              <w:right w:type="dxa" w:w="130"/>
            </w:tcMar>
          </w:tcPr>
          <w:p>
            <w:pPr>
              <w:spacing w:after="0"/>
            </w:pPr>
            <w:r>
              <w:rPr>
                <w:rFonts w:ascii="Calibri" w:cs="Calibri" w:eastAsia="Calibri" w:hAnsi="Calibri"/>
                <w:color w:val="1A1512"/>
                <w:sz w:val="20"/>
                <w:szCs w:val="20"/>
              </w:rPr>
              <w:t xml:space="preserve">Wi-Fi network</w:t>
            </w:r>
          </w:p>
        </w:tc>
        <w:tc>
          <w:tcPr>
            <w:tcW w:type="dxa" w:w="1400"/>
            <w:tcMar>
              <w:top w:type="dxa" w:w="90"/>
              <w:left w:type="dxa" w:w="130"/>
              <w:bottom w:type="dxa" w:w="90"/>
              <w:right w:type="dxa" w:w="130"/>
            </w:tcMar>
          </w:tcPr>
          <w:p>
            <w:pPr>
              <w:spacing w:after="0"/>
            </w:pPr>
            <w:r>
              <w:rPr>
                <w:rFonts w:ascii="Calibri" w:cs="Calibri" w:eastAsia="Calibri" w:hAnsi="Calibri"/>
                <w:color w:val="1A1512"/>
                <w:sz w:val="20"/>
                <w:szCs w:val="20"/>
              </w:rPr>
              <w:t xml:space="preserve">1</w:t>
            </w:r>
          </w:p>
        </w:tc>
        <w:tc>
          <w:tcPr>
            <w:tcW w:type="dxa" w:w="4426"/>
            <w:tcMar>
              <w:top w:type="dxa" w:w="90"/>
              <w:left w:type="dxa" w:w="130"/>
              <w:bottom w:type="dxa" w:w="90"/>
              <w:right w:type="dxa" w:w="130"/>
            </w:tcMar>
          </w:tcPr>
          <w:p>
            <w:pPr>
              <w:spacing w:after="0"/>
            </w:pPr>
            <w:r>
              <w:rPr>
                <w:rFonts w:ascii="Calibri" w:cs="Calibri" w:eastAsia="Calibri" w:hAnsi="Calibri"/>
                <w:color w:val="1A1512"/>
                <w:sz w:val="20"/>
                <w:szCs w:val="20"/>
              </w:rPr>
              <w:t xml:space="preserve">Reliable coverage across the floor and kitchen</w:t>
            </w:r>
          </w:p>
        </w:tc>
      </w:tr>
      <w:tr>
        <w:tc>
          <w:tcPr>
            <w:tcW w:type="dxa" w:w="3200"/>
            <w:tcMar>
              <w:top w:type="dxa" w:w="90"/>
              <w:left w:type="dxa" w:w="130"/>
              <w:bottom w:type="dxa" w:w="90"/>
              <w:right w:type="dxa" w:w="130"/>
            </w:tcMar>
          </w:tcPr>
          <w:p>
            <w:pPr>
              <w:spacing w:after="0"/>
            </w:pPr>
            <w:r>
              <w:rPr>
                <w:rFonts w:ascii="Calibri" w:cs="Calibri" w:eastAsia="Calibri" w:hAnsi="Calibri"/>
                <w:color w:val="1A1512"/>
                <w:sz w:val="20"/>
                <w:szCs w:val="20"/>
              </w:rPr>
              <w:t xml:space="preserve">Cash drawer</w:t>
            </w:r>
          </w:p>
        </w:tc>
        <w:tc>
          <w:tcPr>
            <w:tcW w:type="dxa" w:w="1400"/>
            <w:tcMar>
              <w:top w:type="dxa" w:w="90"/>
              <w:left w:type="dxa" w:w="130"/>
              <w:bottom w:type="dxa" w:w="90"/>
              <w:right w:type="dxa" w:w="130"/>
            </w:tcMar>
          </w:tcPr>
          <w:p>
            <w:pPr>
              <w:spacing w:after="0"/>
            </w:pPr>
            <w:r>
              <w:rPr>
                <w:rFonts w:ascii="Calibri" w:cs="Calibri" w:eastAsia="Calibri" w:hAnsi="Calibri"/>
                <w:color w:val="1A1512"/>
                <w:sz w:val="20"/>
                <w:szCs w:val="20"/>
              </w:rPr>
              <w:t xml:space="preserve">1</w:t>
            </w:r>
          </w:p>
        </w:tc>
        <w:tc>
          <w:tcPr>
            <w:tcW w:type="dxa" w:w="4426"/>
            <w:tcMar>
              <w:top w:type="dxa" w:w="90"/>
              <w:left w:type="dxa" w:w="130"/>
              <w:bottom w:type="dxa" w:w="90"/>
              <w:right w:type="dxa" w:w="130"/>
            </w:tcMar>
          </w:tcPr>
          <w:p>
            <w:pPr>
              <w:spacing w:after="0"/>
            </w:pPr>
            <w:r>
              <w:rPr>
                <w:rFonts w:ascii="Calibri" w:cs="Calibri" w:eastAsia="Calibri" w:hAnsi="Calibri"/>
                <w:color w:val="1A1512"/>
                <w:sz w:val="20"/>
                <w:szCs w:val="20"/>
              </w:rPr>
              <w:t xml:space="preserve">Optional; printer-triggered</w:t>
            </w:r>
          </w:p>
        </w:tc>
      </w:tr>
    </w:tbl>
    <w:p>
      <w:pPr>
        <w:pStyle w:val="Heading1"/>
        <w:spacing w:after="160" w:before="320"/>
      </w:pPr>
      <w:r>
        <w:rPr>
          <w:rFonts w:ascii="Calibri" w:cs="Calibri" w:eastAsia="Calibri" w:hAnsi="Calibri"/>
          <w:b/>
          <w:bCs/>
          <w:color w:val="B8531B"/>
          <w:sz w:val="30"/>
          <w:szCs w:val="30"/>
        </w:rPr>
        <w:t xml:space="preserve">7. Approach and Timeline</w:t>
      </w:r>
    </w:p>
    <w:p>
      <w:pPr>
        <w:spacing w:after="120" w:before="0"/>
      </w:pPr>
      <w:r>
        <w:rPr>
          <w:rFonts w:ascii="Calibri" w:cs="Calibri" w:eastAsia="Calibri" w:hAnsi="Calibri"/>
          <w:color w:val="1A1512"/>
          <w:sz w:val="21"/>
          <w:szCs w:val="21"/>
        </w:rPr>
        <w:t xml:space="preserve">Indicative duration is ten to twelve weeks from receipt of the deposit, subject to the client’s availability for review and sign-off at each stage.</w:t>
      </w: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1500"/>
        <w:gridCol w:w="2400"/>
        <w:gridCol w:w="1500"/>
        <w:gridCol w:w="3626"/>
      </w:tblGrid>
      <w:tr>
        <w:tc>
          <w:tcPr>
            <w:tcW w:type="dxa" w:w="15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Phase</w:t>
            </w:r>
          </w:p>
        </w:tc>
        <w:tc>
          <w:tcPr>
            <w:tcW w:type="dxa" w:w="24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Stage</w:t>
            </w:r>
          </w:p>
        </w:tc>
        <w:tc>
          <w:tcPr>
            <w:tcW w:type="dxa" w:w="15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Duration</w:t>
            </w:r>
          </w:p>
        </w:tc>
        <w:tc>
          <w:tcPr>
            <w:tcW w:type="dxa" w:w="3626"/>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Output</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1</w:t>
            </w:r>
          </w:p>
        </w:tc>
        <w:tc>
          <w:tcPr>
            <w:tcW w:type="dxa" w:w="2400"/>
            <w:tcMar>
              <w:top w:type="dxa" w:w="90"/>
              <w:left w:type="dxa" w:w="130"/>
              <w:bottom w:type="dxa" w:w="90"/>
              <w:right w:type="dxa" w:w="130"/>
            </w:tcMar>
          </w:tcPr>
          <w:p>
            <w:pPr>
              <w:spacing w:after="0"/>
            </w:pPr>
            <w:r>
              <w:rPr>
                <w:rFonts w:ascii="Calibri" w:cs="Calibri" w:eastAsia="Calibri" w:hAnsi="Calibri"/>
                <w:color w:val="1A1512"/>
                <w:sz w:val="20"/>
                <w:szCs w:val="20"/>
              </w:rPr>
              <w:t xml:space="preserve">Discovery and design</w:t>
            </w:r>
          </w:p>
        </w:tc>
        <w:tc>
          <w:tcPr>
            <w:tcW w:type="dxa" w:w="1500"/>
            <w:tcMar>
              <w:top w:type="dxa" w:w="90"/>
              <w:left w:type="dxa" w:w="130"/>
              <w:bottom w:type="dxa" w:w="90"/>
              <w:right w:type="dxa" w:w="130"/>
            </w:tcMar>
          </w:tcPr>
          <w:p>
            <w:pPr>
              <w:spacing w:after="0"/>
            </w:pPr>
            <w:r>
              <w:rPr>
                <w:rFonts w:ascii="Calibri" w:cs="Calibri" w:eastAsia="Calibri" w:hAnsi="Calibri"/>
                <w:color w:val="1A1512"/>
                <w:sz w:val="20"/>
                <w:szCs w:val="20"/>
              </w:rPr>
              <w:t xml:space="preserve">2 weeks</w:t>
            </w:r>
          </w:p>
        </w:tc>
        <w:tc>
          <w:tcPr>
            <w:tcW w:type="dxa" w:w="3626"/>
            <w:tcMar>
              <w:top w:type="dxa" w:w="90"/>
              <w:left w:type="dxa" w:w="130"/>
              <w:bottom w:type="dxa" w:w="90"/>
              <w:right w:type="dxa" w:w="130"/>
            </w:tcMar>
          </w:tcPr>
          <w:p>
            <w:pPr>
              <w:spacing w:after="0"/>
            </w:pPr>
            <w:r>
              <w:rPr>
                <w:rFonts w:ascii="Calibri" w:cs="Calibri" w:eastAsia="Calibri" w:hAnsi="Calibri"/>
                <w:color w:val="1A1512"/>
                <w:sz w:val="20"/>
                <w:szCs w:val="20"/>
              </w:rPr>
              <w:t xml:space="preserve">Confirmed workflows, screen designs, menu and tax configuration, signed off by the client</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2</w:t>
            </w:r>
          </w:p>
        </w:tc>
        <w:tc>
          <w:tcPr>
            <w:tcW w:type="dxa" w:w="2400"/>
            <w:tcMar>
              <w:top w:type="dxa" w:w="90"/>
              <w:left w:type="dxa" w:w="130"/>
              <w:bottom w:type="dxa" w:w="90"/>
              <w:right w:type="dxa" w:w="130"/>
            </w:tcMar>
          </w:tcPr>
          <w:p>
            <w:pPr>
              <w:spacing w:after="0"/>
            </w:pPr>
            <w:r>
              <w:rPr>
                <w:rFonts w:ascii="Calibri" w:cs="Calibri" w:eastAsia="Calibri" w:hAnsi="Calibri"/>
                <w:color w:val="1A1512"/>
                <w:sz w:val="20"/>
                <w:szCs w:val="20"/>
              </w:rPr>
              <w:t xml:space="preserve">Development</w:t>
            </w:r>
          </w:p>
        </w:tc>
        <w:tc>
          <w:tcPr>
            <w:tcW w:type="dxa" w:w="1500"/>
            <w:tcMar>
              <w:top w:type="dxa" w:w="90"/>
              <w:left w:type="dxa" w:w="130"/>
              <w:bottom w:type="dxa" w:w="90"/>
              <w:right w:type="dxa" w:w="130"/>
            </w:tcMar>
          </w:tcPr>
          <w:p>
            <w:pPr>
              <w:spacing w:after="0"/>
            </w:pPr>
            <w:r>
              <w:rPr>
                <w:rFonts w:ascii="Calibri" w:cs="Calibri" w:eastAsia="Calibri" w:hAnsi="Calibri"/>
                <w:color w:val="1A1512"/>
                <w:sz w:val="20"/>
                <w:szCs w:val="20"/>
              </w:rPr>
              <w:t xml:space="preserve">5 – 6 weeks</w:t>
            </w:r>
          </w:p>
        </w:tc>
        <w:tc>
          <w:tcPr>
            <w:tcW w:type="dxa" w:w="3626"/>
            <w:tcMar>
              <w:top w:type="dxa" w:w="90"/>
              <w:left w:type="dxa" w:w="130"/>
              <w:bottom w:type="dxa" w:w="90"/>
              <w:right w:type="dxa" w:w="130"/>
            </w:tcMar>
          </w:tcPr>
          <w:p>
            <w:pPr>
              <w:spacing w:after="0"/>
            </w:pPr>
            <w:r>
              <w:rPr>
                <w:rFonts w:ascii="Calibri" w:cs="Calibri" w:eastAsia="Calibri" w:hAnsi="Calibri"/>
                <w:color w:val="1A1512"/>
                <w:sz w:val="20"/>
                <w:szCs w:val="20"/>
              </w:rPr>
              <w:t xml:space="preserve">Both interfaces, KOT printing, billing and reporting built and internally tested</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3</w:t>
            </w:r>
          </w:p>
        </w:tc>
        <w:tc>
          <w:tcPr>
            <w:tcW w:type="dxa" w:w="2400"/>
            <w:tcMar>
              <w:top w:type="dxa" w:w="90"/>
              <w:left w:type="dxa" w:w="130"/>
              <w:bottom w:type="dxa" w:w="90"/>
              <w:right w:type="dxa" w:w="130"/>
            </w:tcMar>
          </w:tcPr>
          <w:p>
            <w:pPr>
              <w:spacing w:after="0"/>
            </w:pPr>
            <w:r>
              <w:rPr>
                <w:rFonts w:ascii="Calibri" w:cs="Calibri" w:eastAsia="Calibri" w:hAnsi="Calibri"/>
                <w:color w:val="1A1512"/>
                <w:sz w:val="20"/>
                <w:szCs w:val="20"/>
              </w:rPr>
              <w:t xml:space="preserve">Testing and UAT</w:t>
            </w:r>
          </w:p>
        </w:tc>
        <w:tc>
          <w:tcPr>
            <w:tcW w:type="dxa" w:w="1500"/>
            <w:tcMar>
              <w:top w:type="dxa" w:w="90"/>
              <w:left w:type="dxa" w:w="130"/>
              <w:bottom w:type="dxa" w:w="90"/>
              <w:right w:type="dxa" w:w="130"/>
            </w:tcMar>
          </w:tcPr>
          <w:p>
            <w:pPr>
              <w:spacing w:after="0"/>
            </w:pPr>
            <w:r>
              <w:rPr>
                <w:rFonts w:ascii="Calibri" w:cs="Calibri" w:eastAsia="Calibri" w:hAnsi="Calibri"/>
                <w:color w:val="1A1512"/>
                <w:sz w:val="20"/>
                <w:szCs w:val="20"/>
              </w:rPr>
              <w:t xml:space="preserve">2 weeks</w:t>
            </w:r>
          </w:p>
        </w:tc>
        <w:tc>
          <w:tcPr>
            <w:tcW w:type="dxa" w:w="3626"/>
            <w:tcMar>
              <w:top w:type="dxa" w:w="90"/>
              <w:left w:type="dxa" w:w="130"/>
              <w:bottom w:type="dxa" w:w="90"/>
              <w:right w:type="dxa" w:w="130"/>
            </w:tcMar>
          </w:tcPr>
          <w:p>
            <w:pPr>
              <w:spacing w:after="0"/>
            </w:pPr>
            <w:r>
              <w:rPr>
                <w:rFonts w:ascii="Calibri" w:cs="Calibri" w:eastAsia="Calibri" w:hAnsi="Calibri"/>
                <w:color w:val="1A1512"/>
                <w:sz w:val="20"/>
                <w:szCs w:val="20"/>
              </w:rPr>
              <w:t xml:space="preserve">Hardware integration, printer testing, client acceptance testing and corrections</w:t>
            </w:r>
          </w:p>
        </w:tc>
      </w:tr>
      <w:tr>
        <w:tc>
          <w:tcPr>
            <w:tcW w:type="dxa" w:w="1500"/>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4</w:t>
            </w:r>
          </w:p>
        </w:tc>
        <w:tc>
          <w:tcPr>
            <w:tcW w:type="dxa" w:w="2400"/>
            <w:tcMar>
              <w:top w:type="dxa" w:w="90"/>
              <w:left w:type="dxa" w:w="130"/>
              <w:bottom w:type="dxa" w:w="90"/>
              <w:right w:type="dxa" w:w="130"/>
            </w:tcMar>
          </w:tcPr>
          <w:p>
            <w:pPr>
              <w:spacing w:after="0"/>
            </w:pPr>
            <w:r>
              <w:rPr>
                <w:rFonts w:ascii="Calibri" w:cs="Calibri" w:eastAsia="Calibri" w:hAnsi="Calibri"/>
                <w:color w:val="1A1512"/>
                <w:sz w:val="20"/>
                <w:szCs w:val="20"/>
              </w:rPr>
              <w:t xml:space="preserve">Deployment and go-live</w:t>
            </w:r>
          </w:p>
        </w:tc>
        <w:tc>
          <w:tcPr>
            <w:tcW w:type="dxa" w:w="1500"/>
            <w:tcMar>
              <w:top w:type="dxa" w:w="90"/>
              <w:left w:type="dxa" w:w="130"/>
              <w:bottom w:type="dxa" w:w="90"/>
              <w:right w:type="dxa" w:w="130"/>
            </w:tcMar>
          </w:tcPr>
          <w:p>
            <w:pPr>
              <w:spacing w:after="0"/>
            </w:pPr>
            <w:r>
              <w:rPr>
                <w:rFonts w:ascii="Calibri" w:cs="Calibri" w:eastAsia="Calibri" w:hAnsi="Calibri"/>
                <w:color w:val="1A1512"/>
                <w:sz w:val="20"/>
                <w:szCs w:val="20"/>
              </w:rPr>
              <w:t xml:space="preserve">1 – 2 weeks</w:t>
            </w:r>
          </w:p>
        </w:tc>
        <w:tc>
          <w:tcPr>
            <w:tcW w:type="dxa" w:w="3626"/>
            <w:tcMar>
              <w:top w:type="dxa" w:w="90"/>
              <w:left w:type="dxa" w:w="130"/>
              <w:bottom w:type="dxa" w:w="90"/>
              <w:right w:type="dxa" w:w="130"/>
            </w:tcMar>
          </w:tcPr>
          <w:p>
            <w:pPr>
              <w:spacing w:after="0"/>
            </w:pPr>
            <w:r>
              <w:rPr>
                <w:rFonts w:ascii="Calibri" w:cs="Calibri" w:eastAsia="Calibri" w:hAnsi="Calibri"/>
                <w:color w:val="1A1512"/>
                <w:sz w:val="20"/>
                <w:szCs w:val="20"/>
              </w:rPr>
              <w:t xml:space="preserve">Installation on site, staff training, supervised first service, handover</w:t>
            </w:r>
          </w:p>
        </w:tc>
      </w:tr>
    </w:tbl>
    <w:p>
      <w:pPr>
        <w:pStyle w:val="Heading1"/>
        <w:spacing w:after="160" w:before="320"/>
      </w:pPr>
      <w:r>
        <w:rPr>
          <w:rFonts w:ascii="Calibri" w:cs="Calibri" w:eastAsia="Calibri" w:hAnsi="Calibri"/>
          <w:b/>
          <w:bCs/>
          <w:color w:val="B8531B"/>
          <w:sz w:val="30"/>
          <w:szCs w:val="30"/>
        </w:rPr>
        <w:t xml:space="preserve">8. Commercial Terms</w:t>
      </w:r>
    </w:p>
    <w:p>
      <w:pPr>
        <w:spacing w:after="120" w:before="0"/>
      </w:pPr>
      <w:r>
        <w:rPr>
          <w:rFonts w:ascii="Calibri" w:cs="Calibri" w:eastAsia="Calibri" w:hAnsi="Calibri"/>
          <w:color w:val="1A1512"/>
          <w:sz w:val="21"/>
          <w:szCs w:val="21"/>
        </w:rPr>
        <w:t xml:space="preserve">Total investment for the scope described in Section 3:</w:t>
      </w:r>
    </w:p>
    <w:p>
      <w:pPr>
        <w:spacing w:after="200" w:before="100"/>
      </w:pPr>
      <w:r>
        <w:rPr>
          <w:rFonts w:ascii="Calibri" w:cs="Calibri" w:eastAsia="Calibri" w:hAnsi="Calibri"/>
          <w:b/>
          <w:bCs/>
          <w:color w:val="B8531B"/>
          <w:sz w:val="40"/>
          <w:szCs w:val="40"/>
        </w:rPr>
        <w:t xml:space="preserve">USD 7,000</w:t>
      </w:r>
    </w:p>
    <w:p>
      <w:pPr>
        <w:spacing w:after="120" w:before="0"/>
      </w:pPr>
      <w:r>
        <w:rPr>
          <w:rFonts w:ascii="Calibri" w:cs="Calibri" w:eastAsia="Calibri" w:hAnsi="Calibri"/>
          <w:color w:val="1A1512"/>
          <w:sz w:val="21"/>
          <w:szCs w:val="21"/>
        </w:rPr>
        <w:t xml:space="preserve">Payment is staged against delivery milestones as follows:</w:t>
      </w: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1300"/>
        <w:gridCol w:w="3600"/>
        <w:gridCol w:w="1600"/>
        <w:gridCol w:w="2526"/>
      </w:tblGrid>
      <w:tr>
        <w:tc>
          <w:tcPr>
            <w:tcW w:type="dxa" w:w="13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Stage</w:t>
            </w:r>
          </w:p>
        </w:tc>
        <w:tc>
          <w:tcPr>
            <w:tcW w:type="dxa" w:w="3600"/>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Milestone</w:t>
            </w:r>
          </w:p>
        </w:tc>
        <w:tc>
          <w:tcPr>
            <w:tcW w:type="dxa" w:w="1600"/>
            <w:shd w:fill="FBF0E8" w:color="auto" w:val="clear"/>
            <w:tcMar>
              <w:top w:type="dxa" w:w="90"/>
              <w:left w:type="dxa" w:w="130"/>
              <w:bottom w:type="dxa" w:w="90"/>
              <w:right w:type="dxa" w:w="130"/>
            </w:tcMar>
          </w:tcPr>
          <w:p>
            <w:pPr>
              <w:spacing w:after="0"/>
              <w:jc w:val="right"/>
            </w:pPr>
            <w:r>
              <w:rPr>
                <w:rFonts w:ascii="Calibri" w:cs="Calibri" w:eastAsia="Calibri" w:hAnsi="Calibri"/>
                <w:b/>
                <w:bCs/>
                <w:color w:val="B8531B"/>
                <w:sz w:val="20"/>
                <w:szCs w:val="20"/>
              </w:rPr>
              <w:t xml:space="preserve">Share</w:t>
            </w:r>
          </w:p>
        </w:tc>
        <w:tc>
          <w:tcPr>
            <w:tcW w:type="dxa" w:w="2526"/>
            <w:shd w:fill="FBF0E8" w:color="auto" w:val="clear"/>
            <w:tcMar>
              <w:top w:type="dxa" w:w="90"/>
              <w:left w:type="dxa" w:w="130"/>
              <w:bottom w:type="dxa" w:w="90"/>
              <w:right w:type="dxa" w:w="130"/>
            </w:tcMar>
          </w:tcPr>
          <w:p>
            <w:pPr>
              <w:spacing w:after="0"/>
              <w:jc w:val="right"/>
            </w:pPr>
            <w:r>
              <w:rPr>
                <w:rFonts w:ascii="Calibri" w:cs="Calibri" w:eastAsia="Calibri" w:hAnsi="Calibri"/>
                <w:b/>
                <w:bCs/>
                <w:color w:val="B8531B"/>
                <w:sz w:val="20"/>
                <w:szCs w:val="20"/>
              </w:rPr>
              <w:t xml:space="preserve">Amount (USD)</w:t>
            </w:r>
          </w:p>
        </w:tc>
      </w:tr>
      <w:tr>
        <w:tc>
          <w:tcPr>
            <w:tcW w:type="dxa" w:w="1300"/>
            <w:tcMar>
              <w:top w:type="dxa" w:w="90"/>
              <w:left w:type="dxa" w:w="130"/>
              <w:bottom w:type="dxa" w:w="90"/>
              <w:right w:type="dxa" w:w="130"/>
            </w:tcMar>
          </w:tcPr>
          <w:p>
            <w:pPr>
              <w:spacing w:after="0"/>
            </w:pPr>
            <w:r>
              <w:rPr>
                <w:rFonts w:ascii="Calibri" w:cs="Calibri" w:eastAsia="Calibri" w:hAnsi="Calibri"/>
                <w:color w:val="1A1512"/>
                <w:sz w:val="20"/>
                <w:szCs w:val="20"/>
              </w:rPr>
              <w:t xml:space="preserve">1</w:t>
            </w:r>
          </w:p>
        </w:tc>
        <w:tc>
          <w:tcPr>
            <w:tcW w:type="dxa" w:w="3600"/>
            <w:tcMar>
              <w:top w:type="dxa" w:w="90"/>
              <w:left w:type="dxa" w:w="130"/>
              <w:bottom w:type="dxa" w:w="90"/>
              <w:right w:type="dxa" w:w="130"/>
            </w:tcMar>
          </w:tcPr>
          <w:p>
            <w:pPr>
              <w:spacing w:after="0"/>
            </w:pPr>
            <w:r>
              <w:rPr>
                <w:rFonts w:ascii="Calibri" w:cs="Calibri" w:eastAsia="Calibri" w:hAnsi="Calibri"/>
                <w:color w:val="1A1512"/>
                <w:sz w:val="20"/>
                <w:szCs w:val="20"/>
              </w:rPr>
              <w:t xml:space="preserve">Deposit, on acceptance of this proposal</w:t>
            </w:r>
          </w:p>
        </w:tc>
        <w:tc>
          <w:tcPr>
            <w:tcW w:type="dxa" w:w="1600"/>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30%</w:t>
            </w:r>
          </w:p>
        </w:tc>
        <w:tc>
          <w:tcPr>
            <w:tcW w:type="dxa" w:w="2526"/>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2,100</w:t>
            </w:r>
          </w:p>
        </w:tc>
      </w:tr>
      <w:tr>
        <w:tc>
          <w:tcPr>
            <w:tcW w:type="dxa" w:w="1300"/>
            <w:tcMar>
              <w:top w:type="dxa" w:w="90"/>
              <w:left w:type="dxa" w:w="130"/>
              <w:bottom w:type="dxa" w:w="90"/>
              <w:right w:type="dxa" w:w="130"/>
            </w:tcMar>
          </w:tcPr>
          <w:p>
            <w:pPr>
              <w:spacing w:after="0"/>
            </w:pPr>
            <w:r>
              <w:rPr>
                <w:rFonts w:ascii="Calibri" w:cs="Calibri" w:eastAsia="Calibri" w:hAnsi="Calibri"/>
                <w:color w:val="1A1512"/>
                <w:sz w:val="20"/>
                <w:szCs w:val="20"/>
              </w:rPr>
              <w:t xml:space="preserve">2</w:t>
            </w:r>
          </w:p>
        </w:tc>
        <w:tc>
          <w:tcPr>
            <w:tcW w:type="dxa" w:w="3600"/>
            <w:tcMar>
              <w:top w:type="dxa" w:w="90"/>
              <w:left w:type="dxa" w:w="130"/>
              <w:bottom w:type="dxa" w:w="90"/>
              <w:right w:type="dxa" w:w="130"/>
            </w:tcMar>
          </w:tcPr>
          <w:p>
            <w:pPr>
              <w:spacing w:after="0"/>
            </w:pPr>
            <w:r>
              <w:rPr>
                <w:rFonts w:ascii="Calibri" w:cs="Calibri" w:eastAsia="Calibri" w:hAnsi="Calibri"/>
                <w:color w:val="1A1512"/>
                <w:sz w:val="20"/>
                <w:szCs w:val="20"/>
              </w:rPr>
              <w:t xml:space="preserve">Design completion and sign-off</w:t>
            </w:r>
          </w:p>
        </w:tc>
        <w:tc>
          <w:tcPr>
            <w:tcW w:type="dxa" w:w="1600"/>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30%</w:t>
            </w:r>
          </w:p>
        </w:tc>
        <w:tc>
          <w:tcPr>
            <w:tcW w:type="dxa" w:w="2526"/>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2,100</w:t>
            </w:r>
          </w:p>
        </w:tc>
      </w:tr>
      <w:tr>
        <w:tc>
          <w:tcPr>
            <w:tcW w:type="dxa" w:w="1300"/>
            <w:tcMar>
              <w:top w:type="dxa" w:w="90"/>
              <w:left w:type="dxa" w:w="130"/>
              <w:bottom w:type="dxa" w:w="90"/>
              <w:right w:type="dxa" w:w="130"/>
            </w:tcMar>
          </w:tcPr>
          <w:p>
            <w:pPr>
              <w:spacing w:after="0"/>
            </w:pPr>
            <w:r>
              <w:rPr>
                <w:rFonts w:ascii="Calibri" w:cs="Calibri" w:eastAsia="Calibri" w:hAnsi="Calibri"/>
                <w:color w:val="1A1512"/>
                <w:sz w:val="20"/>
                <w:szCs w:val="20"/>
              </w:rPr>
              <w:t xml:space="preserve">3</w:t>
            </w:r>
          </w:p>
        </w:tc>
        <w:tc>
          <w:tcPr>
            <w:tcW w:type="dxa" w:w="3600"/>
            <w:tcMar>
              <w:top w:type="dxa" w:w="90"/>
              <w:left w:type="dxa" w:w="130"/>
              <w:bottom w:type="dxa" w:w="90"/>
              <w:right w:type="dxa" w:w="130"/>
            </w:tcMar>
          </w:tcPr>
          <w:p>
            <w:pPr>
              <w:spacing w:after="0"/>
            </w:pPr>
            <w:r>
              <w:rPr>
                <w:rFonts w:ascii="Calibri" w:cs="Calibri" w:eastAsia="Calibri" w:hAnsi="Calibri"/>
                <w:color w:val="1A1512"/>
                <w:sz w:val="20"/>
                <w:szCs w:val="20"/>
              </w:rPr>
              <w:t xml:space="preserve">Development completion and testing</w:t>
            </w:r>
          </w:p>
        </w:tc>
        <w:tc>
          <w:tcPr>
            <w:tcW w:type="dxa" w:w="1600"/>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30%</w:t>
            </w:r>
          </w:p>
        </w:tc>
        <w:tc>
          <w:tcPr>
            <w:tcW w:type="dxa" w:w="2526"/>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2,100</w:t>
            </w:r>
          </w:p>
        </w:tc>
      </w:tr>
      <w:tr>
        <w:tc>
          <w:tcPr>
            <w:tcW w:type="dxa" w:w="1300"/>
            <w:tcMar>
              <w:top w:type="dxa" w:w="90"/>
              <w:left w:type="dxa" w:w="130"/>
              <w:bottom w:type="dxa" w:w="90"/>
              <w:right w:type="dxa" w:w="130"/>
            </w:tcMar>
          </w:tcPr>
          <w:p>
            <w:pPr>
              <w:spacing w:after="0"/>
            </w:pPr>
            <w:r>
              <w:rPr>
                <w:rFonts w:ascii="Calibri" w:cs="Calibri" w:eastAsia="Calibri" w:hAnsi="Calibri"/>
                <w:color w:val="1A1512"/>
                <w:sz w:val="20"/>
                <w:szCs w:val="20"/>
              </w:rPr>
              <w:t xml:space="preserve">4</w:t>
            </w:r>
          </w:p>
        </w:tc>
        <w:tc>
          <w:tcPr>
            <w:tcW w:type="dxa" w:w="3600"/>
            <w:tcMar>
              <w:top w:type="dxa" w:w="90"/>
              <w:left w:type="dxa" w:w="130"/>
              <w:bottom w:type="dxa" w:w="90"/>
              <w:right w:type="dxa" w:w="130"/>
            </w:tcMar>
          </w:tcPr>
          <w:p>
            <w:pPr>
              <w:spacing w:after="0"/>
            </w:pPr>
            <w:r>
              <w:rPr>
                <w:rFonts w:ascii="Calibri" w:cs="Calibri" w:eastAsia="Calibri" w:hAnsi="Calibri"/>
                <w:color w:val="1A1512"/>
                <w:sz w:val="20"/>
                <w:szCs w:val="20"/>
              </w:rPr>
              <w:t xml:space="preserve">Go live</w:t>
            </w:r>
          </w:p>
        </w:tc>
        <w:tc>
          <w:tcPr>
            <w:tcW w:type="dxa" w:w="1600"/>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10%</w:t>
            </w:r>
          </w:p>
        </w:tc>
        <w:tc>
          <w:tcPr>
            <w:tcW w:type="dxa" w:w="2526"/>
            <w:tcMar>
              <w:top w:type="dxa" w:w="90"/>
              <w:left w:type="dxa" w:w="130"/>
              <w:bottom w:type="dxa" w:w="90"/>
              <w:right w:type="dxa" w:w="130"/>
            </w:tcMar>
          </w:tcPr>
          <w:p>
            <w:pPr>
              <w:spacing w:after="0"/>
              <w:jc w:val="right"/>
            </w:pPr>
            <w:r>
              <w:rPr>
                <w:rFonts w:ascii="Calibri" w:cs="Calibri" w:eastAsia="Calibri" w:hAnsi="Calibri"/>
                <w:color w:val="1A1512"/>
                <w:sz w:val="20"/>
                <w:szCs w:val="20"/>
              </w:rPr>
              <w:t xml:space="preserve">700</w:t>
            </w:r>
          </w:p>
        </w:tc>
      </w:tr>
      <w:tr>
        <w:tc>
          <w:tcPr>
            <w:tcW w:type="dxa" w:w="1300"/>
            <w:shd w:fill="FBF0E8" w:color="auto" w:val="clear"/>
            <w:tcMar>
              <w:top w:type="dxa" w:w="90"/>
              <w:left w:type="dxa" w:w="130"/>
              <w:bottom w:type="dxa" w:w="90"/>
              <w:right w:type="dxa" w:w="130"/>
            </w:tcMar>
          </w:tcPr>
          <w:p>
            <w:pPr>
              <w:spacing w:after="0"/>
            </w:pPr>
            <w:r>
              <w:rPr>
                <w:rFonts w:ascii="Calibri" w:cs="Calibri" w:eastAsia="Calibri" w:hAnsi="Calibri"/>
                <w:color w:val="1A1512"/>
                <w:sz w:val="20"/>
                <w:szCs w:val="20"/>
              </w:rPr>
              <w:t xml:space="preserve"/>
            </w:r>
          </w:p>
        </w:tc>
        <w:tc>
          <w:tcPr>
            <w:tcW w:type="dxa" w:w="3600"/>
            <w:shd w:fill="FBF0E8" w:color="auto" w:val="clear"/>
            <w:tcMar>
              <w:top w:type="dxa" w:w="90"/>
              <w:left w:type="dxa" w:w="130"/>
              <w:bottom w:type="dxa" w:w="90"/>
              <w:right w:type="dxa" w:w="130"/>
            </w:tcMar>
          </w:tcPr>
          <w:p>
            <w:pPr>
              <w:spacing w:after="0"/>
            </w:pPr>
            <w:r>
              <w:rPr>
                <w:rFonts w:ascii="Calibri" w:cs="Calibri" w:eastAsia="Calibri" w:hAnsi="Calibri"/>
                <w:b/>
                <w:bCs/>
                <w:color w:val="1A1512"/>
                <w:sz w:val="20"/>
                <w:szCs w:val="20"/>
              </w:rPr>
              <w:t xml:space="preserve">Total</w:t>
            </w:r>
          </w:p>
        </w:tc>
        <w:tc>
          <w:tcPr>
            <w:tcW w:type="dxa" w:w="1600"/>
            <w:shd w:fill="FBF0E8" w:color="auto" w:val="clear"/>
            <w:tcMar>
              <w:top w:type="dxa" w:w="90"/>
              <w:left w:type="dxa" w:w="130"/>
              <w:bottom w:type="dxa" w:w="90"/>
              <w:right w:type="dxa" w:w="130"/>
            </w:tcMar>
          </w:tcPr>
          <w:p>
            <w:pPr>
              <w:spacing w:after="0"/>
              <w:jc w:val="right"/>
            </w:pPr>
            <w:r>
              <w:rPr>
                <w:rFonts w:ascii="Calibri" w:cs="Calibri" w:eastAsia="Calibri" w:hAnsi="Calibri"/>
                <w:b/>
                <w:bCs/>
                <w:color w:val="1A1512"/>
                <w:sz w:val="20"/>
                <w:szCs w:val="20"/>
              </w:rPr>
              <w:t xml:space="preserve">100%</w:t>
            </w:r>
          </w:p>
        </w:tc>
        <w:tc>
          <w:tcPr>
            <w:tcW w:type="dxa" w:w="2526"/>
            <w:shd w:fill="FBF0E8" w:color="auto" w:val="clear"/>
            <w:tcMar>
              <w:top w:type="dxa" w:w="90"/>
              <w:left w:type="dxa" w:w="130"/>
              <w:bottom w:type="dxa" w:w="90"/>
              <w:right w:type="dxa" w:w="130"/>
            </w:tcMar>
          </w:tcPr>
          <w:p>
            <w:pPr>
              <w:spacing w:after="0"/>
              <w:jc w:val="right"/>
            </w:pPr>
            <w:r>
              <w:rPr>
                <w:rFonts w:ascii="Calibri" w:cs="Calibri" w:eastAsia="Calibri" w:hAnsi="Calibri"/>
                <w:b/>
                <w:bCs/>
                <w:color w:val="B8531B"/>
                <w:sz w:val="20"/>
                <w:szCs w:val="20"/>
              </w:rPr>
              <w:t xml:space="preserve">7,000</w:t>
            </w:r>
          </w:p>
        </w:tc>
      </w:tr>
    </w:tbl>
    <w:p>
      <w:pPr>
        <w:spacing w:after="120" w:before="160"/>
      </w:pPr>
      <w:r>
        <w:rPr>
          <w:rFonts w:ascii="Calibri" w:cs="Calibri" w:eastAsia="Calibri" w:hAnsi="Calibri"/>
          <w:color w:val="6B5F58"/>
          <w:sz w:val="21"/>
          <w:szCs w:val="21"/>
        </w:rPr>
        <w:t xml:space="preserve">All amounts are in United States Dollars and exclude any local taxes, bank charges or transfer fees, which are for the client’s account. Invoices are payable within seven days of issue. Hardware is not included in the above and is procured separately by the client.</w:t>
      </w:r>
    </w:p>
    <w:p>
      <w:pPr>
        <w:pStyle w:val="Heading1"/>
        <w:spacing w:after="160" w:before="320"/>
      </w:pPr>
      <w:r>
        <w:rPr>
          <w:rFonts w:ascii="Calibri" w:cs="Calibri" w:eastAsia="Calibri" w:hAnsi="Calibri"/>
          <w:b/>
          <w:bCs/>
          <w:color w:val="B8531B"/>
          <w:sz w:val="30"/>
          <w:szCs w:val="30"/>
        </w:rPr>
        <w:t xml:space="preserve">9. Client Responsibilities and Assumptions</w:t>
      </w:r>
    </w:p>
    <w:p>
      <w:pPr>
        <w:pStyle w:val="ListParagraph"/>
        <w:numPr>
          <w:ilvl w:val="0"/>
          <w:numId w:val="2"/>
        </w:numPr>
        <w:spacing w:after="60"/>
      </w:pPr>
      <w:r>
        <w:rPr>
          <w:rFonts w:ascii="Calibri" w:cs="Calibri" w:eastAsia="Calibri" w:hAnsi="Calibri"/>
          <w:color w:val="1A1512"/>
          <w:sz w:val="21"/>
          <w:szCs w:val="21"/>
        </w:rPr>
        <w:t xml:space="preserve">A single point of contact is nominated with authority to approve designs and sign off milestones.</w:t>
      </w:r>
    </w:p>
    <w:p>
      <w:pPr>
        <w:pStyle w:val="ListParagraph"/>
        <w:numPr>
          <w:ilvl w:val="0"/>
          <w:numId w:val="2"/>
        </w:numPr>
        <w:spacing w:after="60"/>
      </w:pPr>
      <w:r>
        <w:rPr>
          <w:rFonts w:ascii="Calibri" w:cs="Calibri" w:eastAsia="Calibri" w:hAnsi="Calibri"/>
          <w:color w:val="1A1512"/>
          <w:sz w:val="21"/>
          <w:szCs w:val="21"/>
        </w:rPr>
        <w:t xml:space="preserve">Feedback and sign-off at each stage are provided within five working days; delays beyond this shift the schedule accordingly.</w:t>
      </w:r>
    </w:p>
    <w:p>
      <w:pPr>
        <w:pStyle w:val="ListParagraph"/>
        <w:numPr>
          <w:ilvl w:val="0"/>
          <w:numId w:val="2"/>
        </w:numPr>
        <w:spacing w:after="60"/>
      </w:pPr>
      <w:r>
        <w:rPr>
          <w:rFonts w:ascii="Calibri" w:cs="Calibri" w:eastAsia="Calibri" w:hAnsi="Calibri"/>
          <w:color w:val="1A1512"/>
          <w:sz w:val="21"/>
          <w:szCs w:val="21"/>
        </w:rPr>
        <w:t xml:space="preserve">Hardware, network and internet connectivity are in place before Phase 4 begins.</w:t>
      </w:r>
    </w:p>
    <w:p>
      <w:pPr>
        <w:pStyle w:val="ListParagraph"/>
        <w:numPr>
          <w:ilvl w:val="0"/>
          <w:numId w:val="2"/>
        </w:numPr>
        <w:spacing w:after="60"/>
      </w:pPr>
      <w:r>
        <w:rPr>
          <w:rFonts w:ascii="Calibri" w:cs="Calibri" w:eastAsia="Calibri" w:hAnsi="Calibri"/>
          <w:color w:val="1A1512"/>
          <w:sz w:val="21"/>
          <w:szCs w:val="21"/>
        </w:rPr>
        <w:t xml:space="preserve">The final menu, prices and the applicable ABST rate are confirmed in writing during Phase 1.</w:t>
      </w:r>
    </w:p>
    <w:p>
      <w:pPr>
        <w:pStyle w:val="ListParagraph"/>
        <w:numPr>
          <w:ilvl w:val="0"/>
          <w:numId w:val="2"/>
        </w:numPr>
        <w:spacing w:after="60"/>
      </w:pPr>
      <w:r>
        <w:rPr>
          <w:rFonts w:ascii="Calibri" w:cs="Calibri" w:eastAsia="Calibri" w:hAnsi="Calibri"/>
          <w:color w:val="1A1512"/>
          <w:sz w:val="21"/>
          <w:szCs w:val="21"/>
        </w:rPr>
        <w:t xml:space="preserve">Staff are made available for training and for acceptance testing at agreed times.</w:t>
      </w:r>
    </w:p>
    <w:p>
      <w:pPr>
        <w:pStyle w:val="ListParagraph"/>
        <w:numPr>
          <w:ilvl w:val="0"/>
          <w:numId w:val="2"/>
        </w:numPr>
        <w:spacing w:after="60"/>
      </w:pPr>
      <w:r>
        <w:rPr>
          <w:rFonts w:ascii="Calibri" w:cs="Calibri" w:eastAsia="Calibri" w:hAnsi="Calibri"/>
          <w:color w:val="1A1512"/>
          <w:sz w:val="21"/>
          <w:szCs w:val="21"/>
        </w:rPr>
        <w:t xml:space="preserve">Access to the premises is provided for installation and for supervision of the first live service.</w:t>
      </w:r>
    </w:p>
    <w:p>
      <w:pPr>
        <w:pStyle w:val="ListParagraph"/>
        <w:numPr>
          <w:ilvl w:val="0"/>
          <w:numId w:val="2"/>
        </w:numPr>
        <w:spacing w:after="60"/>
      </w:pPr>
      <w:r>
        <w:rPr>
          <w:rFonts w:ascii="Calibri" w:cs="Calibri" w:eastAsia="Calibri" w:hAnsi="Calibri"/>
          <w:color w:val="1A1512"/>
          <w:sz w:val="21"/>
          <w:szCs w:val="21"/>
        </w:rPr>
        <w:t xml:space="preserve">The system is delivered as described in Section 3; changes requested after design sign-off are handled as a change request and quoted separately.</w:t>
      </w:r>
    </w:p>
    <w:p>
      <w:pPr>
        <w:pStyle w:val="Heading1"/>
        <w:spacing w:after="160" w:before="320"/>
      </w:pPr>
      <w:r>
        <w:rPr>
          <w:rFonts w:ascii="Calibri" w:cs="Calibri" w:eastAsia="Calibri" w:hAnsi="Calibri"/>
          <w:b/>
          <w:bCs/>
          <w:color w:val="B8531B"/>
          <w:sz w:val="30"/>
          <w:szCs w:val="30"/>
        </w:rPr>
        <w:t xml:space="preserve">10. Warranty and Support</w:t>
      </w:r>
    </w:p>
    <w:p>
      <w:pPr>
        <w:pStyle w:val="ListParagraph"/>
        <w:numPr>
          <w:ilvl w:val="0"/>
          <w:numId w:val="2"/>
        </w:numPr>
        <w:spacing w:after="60"/>
      </w:pPr>
      <w:r>
        <w:rPr>
          <w:rFonts w:ascii="Calibri" w:cs="Calibri" w:eastAsia="Calibri" w:hAnsi="Calibri"/>
          <w:color w:val="1A1512"/>
          <w:sz w:val="21"/>
          <w:szCs w:val="21"/>
        </w:rPr>
        <w:t xml:space="preserve">Ninety days of defect support from the go-live date, covering correction of faults in the delivered scope at no additional cost.</w:t>
      </w:r>
    </w:p>
    <w:p>
      <w:pPr>
        <w:pStyle w:val="ListParagraph"/>
        <w:numPr>
          <w:ilvl w:val="0"/>
          <w:numId w:val="2"/>
        </w:numPr>
        <w:spacing w:after="60"/>
      </w:pPr>
      <w:r>
        <w:rPr>
          <w:rFonts w:ascii="Calibri" w:cs="Calibri" w:eastAsia="Calibri" w:hAnsi="Calibri"/>
          <w:color w:val="1A1512"/>
          <w:sz w:val="21"/>
          <w:szCs w:val="21"/>
        </w:rPr>
        <w:t xml:space="preserve">Remote support during Antigua business hours, with response within one working day.</w:t>
      </w:r>
    </w:p>
    <w:p>
      <w:pPr>
        <w:pStyle w:val="ListParagraph"/>
        <w:numPr>
          <w:ilvl w:val="0"/>
          <w:numId w:val="2"/>
        </w:numPr>
        <w:spacing w:after="60"/>
      </w:pPr>
      <w:r>
        <w:rPr>
          <w:rFonts w:ascii="Calibri" w:cs="Calibri" w:eastAsia="Calibri" w:hAnsi="Calibri"/>
          <w:color w:val="1A1512"/>
          <w:sz w:val="21"/>
          <w:szCs w:val="21"/>
        </w:rPr>
        <w:t xml:space="preserve">On-site attendance during the first live service is included in Phase 4.</w:t>
      </w:r>
    </w:p>
    <w:p>
      <w:pPr>
        <w:pStyle w:val="ListParagraph"/>
        <w:numPr>
          <w:ilvl w:val="0"/>
          <w:numId w:val="2"/>
        </w:numPr>
        <w:spacing w:after="60"/>
      </w:pPr>
      <w:r>
        <w:rPr>
          <w:rFonts w:ascii="Calibri" w:cs="Calibri" w:eastAsia="Calibri" w:hAnsi="Calibri"/>
          <w:color w:val="1A1512"/>
          <w:sz w:val="21"/>
          <w:szCs w:val="21"/>
        </w:rPr>
        <w:t xml:space="preserve">Ongoing annual maintenance, hosting and enhancement support is available under a separate agreement, quoted on request.</w:t>
      </w:r>
    </w:p>
    <w:p>
      <w:pPr>
        <w:pStyle w:val="ListParagraph"/>
        <w:numPr>
          <w:ilvl w:val="0"/>
          <w:numId w:val="2"/>
        </w:numPr>
        <w:spacing w:after="60"/>
      </w:pPr>
      <w:r>
        <w:rPr>
          <w:rFonts w:ascii="Calibri" w:cs="Calibri" w:eastAsia="Calibri" w:hAnsi="Calibri"/>
          <w:color w:val="1A1512"/>
          <w:sz w:val="21"/>
          <w:szCs w:val="21"/>
        </w:rPr>
        <w:t xml:space="preserve">Source code and all data remain the property of the client on final payment.</w:t>
      </w:r>
    </w:p>
    <w:p>
      <w:pPr>
        <w:pStyle w:val="Heading1"/>
        <w:spacing w:after="160" w:before="320"/>
      </w:pPr>
      <w:r>
        <w:rPr>
          <w:rFonts w:ascii="Calibri" w:cs="Calibri" w:eastAsia="Calibri" w:hAnsi="Calibri"/>
          <w:b/>
          <w:bCs/>
          <w:color w:val="B8531B"/>
          <w:sz w:val="30"/>
          <w:szCs w:val="30"/>
        </w:rPr>
        <w:t xml:space="preserve">11. Why This Proposal</w:t>
      </w:r>
    </w:p>
    <w:p>
      <w:pPr>
        <w:pStyle w:val="ListParagraph"/>
        <w:numPr>
          <w:ilvl w:val="0"/>
          <w:numId w:val="2"/>
        </w:numPr>
        <w:spacing w:after="60"/>
      </w:pPr>
      <w:r>
        <w:rPr>
          <w:rFonts w:ascii="Calibri" w:cs="Calibri" w:eastAsia="Calibri" w:hAnsi="Calibri"/>
          <w:color w:val="1A1512"/>
          <w:sz w:val="21"/>
          <w:szCs w:val="21"/>
        </w:rPr>
        <w:t xml:space="preserve">A working prototype has already been built and demonstrated on Asian Voyage’s own menu, so the scope is proven rather than assumed.</w:t>
      </w:r>
    </w:p>
    <w:p>
      <w:pPr>
        <w:pStyle w:val="ListParagraph"/>
        <w:numPr>
          <w:ilvl w:val="0"/>
          <w:numId w:val="2"/>
        </w:numPr>
        <w:spacing w:after="60"/>
      </w:pPr>
      <w:r>
        <w:rPr>
          <w:rFonts w:ascii="Calibri" w:cs="Calibri" w:eastAsia="Calibri" w:hAnsi="Calibri"/>
          <w:color w:val="1A1512"/>
          <w:sz w:val="21"/>
          <w:szCs w:val="21"/>
        </w:rPr>
        <w:t xml:space="preserve">The system is designed around how the restaurant actually trades — sharp tourist peaks, a mix of seated and takeaway trade, and EC dollar pricing with ABST already included.</w:t>
      </w:r>
    </w:p>
    <w:p>
      <w:pPr>
        <w:pStyle w:val="ListParagraph"/>
        <w:numPr>
          <w:ilvl w:val="0"/>
          <w:numId w:val="2"/>
        </w:numPr>
        <w:spacing w:after="60"/>
      </w:pPr>
      <w:r>
        <w:rPr>
          <w:rFonts w:ascii="Calibri" w:cs="Calibri" w:eastAsia="Calibri" w:hAnsi="Calibri"/>
          <w:color w:val="1A1512"/>
          <w:sz w:val="21"/>
          <w:szCs w:val="21"/>
        </w:rPr>
        <w:t xml:space="preserve">Operational detail is handled properly: amendment tickets rather than reprints, authorised voids and comps, and reporting that shows the owner where the money went.</w:t>
      </w:r>
    </w:p>
    <w:p>
      <w:pPr>
        <w:pStyle w:val="ListParagraph"/>
        <w:numPr>
          <w:ilvl w:val="0"/>
          <w:numId w:val="2"/>
        </w:numPr>
        <w:spacing w:after="60"/>
      </w:pPr>
      <w:r>
        <w:rPr>
          <w:rFonts w:ascii="Calibri" w:cs="Calibri" w:eastAsia="Calibri" w:hAnsi="Calibri"/>
          <w:color w:val="1A1512"/>
          <w:sz w:val="21"/>
          <w:szCs w:val="21"/>
        </w:rPr>
        <w:t xml:space="preserve">Staged payments tied to delivered milestones keep commercial risk on both sides low.</w:t>
      </w:r>
    </w:p>
    <w:p>
      <w:pPr>
        <w:pStyle w:val="Heading1"/>
        <w:spacing w:after="160" w:before="320"/>
      </w:pPr>
      <w:r>
        <w:rPr>
          <w:rFonts w:ascii="Calibri" w:cs="Calibri" w:eastAsia="Calibri" w:hAnsi="Calibri"/>
          <w:b/>
          <w:bCs/>
          <w:color w:val="B8531B"/>
          <w:sz w:val="30"/>
          <w:szCs w:val="30"/>
        </w:rPr>
        <w:t xml:space="preserve">12. Acceptance</w:t>
      </w:r>
    </w:p>
    <w:p>
      <w:pPr>
        <w:spacing w:after="120" w:before="0"/>
      </w:pPr>
      <w:r>
        <w:rPr>
          <w:rFonts w:ascii="Calibri" w:cs="Calibri" w:eastAsia="Calibri" w:hAnsi="Calibri"/>
          <w:color w:val="1A1512"/>
          <w:sz w:val="21"/>
          <w:szCs w:val="21"/>
        </w:rPr>
        <w:t xml:space="preserve">Signature below constitutes acceptance of this proposal and the scope, timeline and commercial terms set out within it.</w:t>
      </w:r>
    </w:p>
    <w:p>
      <w:pPr>
        <w:spacing w:before="400"/>
      </w:pPr>
    </w:p>
    <w:tbl>
      <w:tblPr>
        <w:tblW w:type="dxa" w:w="9026"/>
        <w:tblBorders>
          <w:top w:val="single" w:color="D9CFC7" w:sz="4"/>
          <w:left w:val="single" w:color="D9CFC7" w:sz="4"/>
          <w:bottom w:val="single" w:color="D9CFC7" w:sz="4"/>
          <w:right w:val="single" w:color="D9CFC7" w:sz="4"/>
          <w:insideH w:val="single" w:color="D9CFC7" w:sz="4"/>
          <w:insideV w:val="single" w:color="D9CFC7" w:sz="4"/>
        </w:tblBorders>
      </w:tblPr>
      <w:tblGrid>
        <w:gridCol w:w="4513"/>
        <w:gridCol w:w="4513"/>
      </w:tblGrid>
      <w:tr>
        <w:tc>
          <w:tcPr>
            <w:tcW w:type="dxa" w:w="4513"/>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For Asian Voyage / Hospitality Guru Ltd</w:t>
            </w:r>
          </w:p>
        </w:tc>
        <w:tc>
          <w:tcPr>
            <w:tcW w:type="dxa" w:w="4513"/>
            <w:shd w:fill="FBF0E8" w:color="auto" w:val="clear"/>
            <w:tcMar>
              <w:top w:type="dxa" w:w="90"/>
              <w:left w:type="dxa" w:w="130"/>
              <w:bottom w:type="dxa" w:w="90"/>
              <w:right w:type="dxa" w:w="130"/>
            </w:tcMar>
          </w:tcPr>
          <w:p>
            <w:pPr>
              <w:spacing w:after="0"/>
            </w:pPr>
            <w:r>
              <w:rPr>
                <w:rFonts w:ascii="Calibri" w:cs="Calibri" w:eastAsia="Calibri" w:hAnsi="Calibri"/>
                <w:b/>
                <w:bCs/>
                <w:color w:val="B8531B"/>
                <w:sz w:val="20"/>
                <w:szCs w:val="20"/>
              </w:rPr>
              <w:t xml:space="preserve">For [Your Company Name]</w:t>
            </w:r>
          </w:p>
        </w:tc>
      </w:tr>
      <w:tr>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 Signature: ______________________</w:t>
            </w:r>
          </w:p>
        </w:tc>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 Signature: ______________________</w:t>
            </w:r>
          </w:p>
        </w:tc>
      </w:tr>
      <w:tr>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Name: ______________________</w:t>
            </w:r>
          </w:p>
        </w:tc>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Name: ______________________</w:t>
            </w:r>
          </w:p>
        </w:tc>
      </w:tr>
      <w:tr>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Position: ______________________</w:t>
            </w:r>
          </w:p>
        </w:tc>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Position: ______________________</w:t>
            </w:r>
          </w:p>
        </w:tc>
      </w:tr>
      <w:tr>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Date: ______________________</w:t>
            </w:r>
          </w:p>
        </w:tc>
        <w:tc>
          <w:tcPr>
            <w:tcW w:type="dxa" w:w="4513"/>
            <w:tcMar>
              <w:top w:type="dxa" w:w="90"/>
              <w:left w:type="dxa" w:w="130"/>
              <w:bottom w:type="dxa" w:w="90"/>
              <w:right w:type="dxa" w:w="130"/>
            </w:tcMar>
          </w:tcPr>
          <w:p>
            <w:pPr>
              <w:spacing w:after="0"/>
            </w:pPr>
            <w:r>
              <w:rPr>
                <w:rFonts w:ascii="Calibri" w:cs="Calibri" w:eastAsia="Calibri" w:hAnsi="Calibri"/>
                <w:color w:val="1A1512"/>
                <w:sz w:val="20"/>
                <w:szCs w:val="20"/>
              </w:rPr>
              <w:t xml:space="preserve">Date: 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Asian Voyage — Restaurant POS Proposal</dc:title>
  <dc:creator>[Your Company Name]</dc:creator>
  <dc:description>Proposal for a restaurant point of sale system</dc:description>
  <cp:lastModifiedBy>Un-named</cp:lastModifiedBy>
  <cp:revision>1</cp:revision>
  <dcterms:created xsi:type="dcterms:W3CDTF">2026-08-18T21:53:40.933Z</dcterms:created>
  <dcterms:modified xsi:type="dcterms:W3CDTF">2026-08-18T21:53:40.934Z</dcterms:modified>
</cp:coreProperties>
</file>

<file path=docProps/custom.xml><?xml version="1.0" encoding="utf-8"?>
<Properties xmlns="http://schemas.openxmlformats.org/officeDocument/2006/custom-properties" xmlns:vt="http://schemas.openxmlformats.org/officeDocument/2006/docPropsVTypes"/>
</file>