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drawing>
          <wp:inline distT="0" distB="0" distL="0" distR="0">
            <wp:extent cx="13239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1"/>
          <w:szCs w:val="21"/>
        </w:rPr>
        <w:t xml:space="preserve">      </w:t>
      </w:r>
      <w:r>
        <w:drawing>
          <wp:inline distT="0" distB="0" distL="0" distR="0">
            <wp:extent cx="17811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98945" w:sz="8"/>
        </w:pBdr>
        <w:spacing w:after="240"/>
        <w:jc w:val="center"/>
      </w:pPr>
      <w:r>
        <w:rPr>
          <w:rFonts w:ascii="Arial" w:cs="Arial" w:eastAsia="Arial" w:hAnsi="Arial"/>
          <w:color w:val="5C5C5C"/>
          <w:sz w:val="14"/>
          <w:szCs w:val="14"/>
        </w:rPr>
        <w:t xml:space="preserve">T W O   P U B L I C A T I O N S   ·   O N E   P U B L I S H I N G   E N G I N 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Focus Mobile Apps</w:t>
      </w:r>
    </w:p>
    <w:p>
      <w:pPr>
        <w:spacing w:after="5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Proposal — prepared for Frank Cahill, Focus Publications</w:t>
      </w:r>
    </w:p>
    <w:p>
      <w:pPr>
        <w:spacing w:after="190"/>
      </w:pPr>
      <w:r>
        <w:rPr>
          <w:rFonts w:ascii="Arial" w:cs="Arial" w:eastAsia="Arial" w:hAnsi="Arial"/>
          <w:color w:val="5C5C5C"/>
          <w:sz w:val="18"/>
          <w:szCs w:val="18"/>
        </w:rPr>
        <w:t xml:space="preserve">From Aaditya Kapoor, Nile   ·   August 2026   ·   Valid for 30 days</w:t>
      </w:r>
    </w:p>
    <w:p>
      <w:pPr>
        <w:spacing w:after="11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Parsippany Focus and Morris Focus have earned readers’ trust over decades — around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400,000 visits a month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parsippanyfocus.com alone. This proposal puts each publication on readers’ phones as its own app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tap on a Focus icon and they are reading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with breaking-news alerts no other local outlet offers.</w:t>
      </w:r>
    </w:p>
    <w:p>
      <w:pPr>
        <w:pBdr>
          <w:bottom w:val="single" w:color="DDDDDD" w:sz="6"/>
        </w:pBdr>
        <w:spacing w:after="80" w:before="200"/>
      </w:pPr>
      <w:r>
        <w:rPr>
          <w:rFonts w:ascii="Arial" w:cs="Arial" w:eastAsia="Arial" w:hAnsi="Arial"/>
          <w:b/>
          <w:bCs/>
          <w:color w:val="098945"/>
          <w:spacing w:val="30"/>
          <w:sz w:val="20"/>
          <w:szCs w:val="20"/>
        </w:rPr>
        <w:t xml:space="preserve">SCOPE OF WORK — PER APP</w:t>
      </w:r>
    </w:p>
    <w:p>
      <w:pPr>
        <w:spacing w:after="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app is a complete, store-published mobile edition of its website. Everything below is included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each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 iPhone app and an Android app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published on the Apple App Store and Google Play under the publication’s own name.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Exactly the design you saw in the demo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the publication’s logo, colors, and sections. Parsippany Focus keeps its Local News, Business, Police and Fire, and School News; Morris Focus keeps its towns — Hanover, Dover, Boonton, Jefferson, and the rest.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Breaking-news notifications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when a big story is published, it appears on readers’ phones within seconds, even when the app is closed. Morris Focus readers can pick alerts for just their own towns.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Your advertisers, carried 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the same banners that run on each website run in its app. Nothing about your ad revenue model changes; advertisers simply reach readers on more screens.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Reader features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search, videos, article sharing, Submit an Article, and Place an Ad, built into the app.</w:t>
      </w:r>
    </w:p>
    <w:p>
      <w:pPr>
        <w:pBdr>
          <w:bottom w:val="single" w:color="DDDDDD" w:sz="6"/>
        </w:pBdr>
        <w:spacing w:after="80" w:before="200"/>
      </w:pPr>
      <w:r>
        <w:rPr>
          <w:rFonts w:ascii="Arial" w:cs="Arial" w:eastAsia="Arial" w:hAnsi="Arial"/>
          <w:b/>
          <w:bCs/>
          <w:color w:val="098945"/>
          <w:spacing w:val="30"/>
          <w:sz w:val="20"/>
          <w:szCs w:val="20"/>
        </w:rPr>
        <w:t xml:space="preserve">HOW PUBLISHING WORKS — NOTHING CHANGES</w:t>
      </w:r>
    </w:p>
    <w:p>
      <w:pPr>
        <w:spacing w:after="11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publish today through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WordPress Admin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That stays exactly the same. The app reads directly from the same WordPress system: when your team publishes a story in WordPress Admin, it appears on the website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the app at the same moment — same photos, same sections, same ads.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second system, no extra steps, no new work for the newsroom. Publish once in WordPress; it appears everywhere.</w:t>
      </w:r>
    </w:p>
    <w:p>
      <w:pPr>
        <w:spacing w:after="11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shared engine is also why the two-app price is possible: both apps run on the same machinery, each connected to its own website.</w:t>
      </w:r>
    </w:p>
    <w:p>
      <w:r>
        <w:br w:type="page"/>
      </w:r>
    </w:p>
    <w:p>
      <w:pPr>
        <w:pBdr>
          <w:bottom w:val="single" w:color="DDDDDD" w:sz="6"/>
        </w:pBdr>
        <w:spacing w:after="90" w:before="40"/>
      </w:pPr>
      <w:r>
        <w:rPr>
          <w:rFonts w:ascii="Arial" w:cs="Arial" w:eastAsia="Arial" w:hAnsi="Arial"/>
          <w:b/>
          <w:bCs/>
          <w:color w:val="098945"/>
          <w:spacing w:val="30"/>
          <w:sz w:val="20"/>
          <w:szCs w:val="20"/>
        </w:rPr>
        <w:t xml:space="preserve">YOUR INVESTMENT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6A36"/>
          <w:sz w:val="30"/>
          <w:szCs w:val="30"/>
        </w:rPr>
        <w:t xml:space="preserve">Any one app: $7,900</w:t>
      </w:r>
      <w:r>
        <w:rPr>
          <w:rFonts w:ascii="Arial" w:cs="Arial" w:eastAsia="Arial" w:hAnsi="Arial"/>
          <w:color w:val="5C5C5C"/>
          <w:sz w:val="30"/>
          <w:szCs w:val="30"/>
        </w:rPr>
        <w:t xml:space="preserve">   ·   </w:t>
      </w:r>
      <w:r>
        <w:rPr>
          <w:rFonts w:ascii="Arial" w:cs="Arial" w:eastAsia="Arial" w:hAnsi="Arial"/>
          <w:b/>
          <w:bCs/>
          <w:color w:val="076A36"/>
          <w:sz w:val="30"/>
          <w:szCs w:val="30"/>
        </w:rPr>
        <w:t xml:space="preserve">Both apps: $11,000</w:t>
      </w:r>
    </w:p>
    <w:p>
      <w:pPr>
        <w:spacing w:after="1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Fixed prices — everything in the scope above, per app. Taking both saves $4,800 against the one-by-one price.</w:t>
      </w:r>
    </w:p>
    <w:tbl>
      <w:tblPr>
        <w:tblW w:type="dxa" w:w="10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40"/>
        <w:gridCol w:w="3000"/>
        <w:gridCol w:w="3000"/>
      </w:tblGrid>
      <w:tr>
        <w:tc>
          <w:tcPr>
            <w:tcW w:type="dxa" w:w="43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076A36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 SCHEDULE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076A36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 APP — $7,900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076A36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BOTH APPS — $11,000</w:t>
            </w:r>
          </w:p>
        </w:tc>
      </w:tr>
      <w:tr>
        <w:tc>
          <w:tcPr>
            <w:tcW w:type="dxa" w:w="43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 — Deposit. Reserves your project slot and starts the work.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$2,370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$3,300</w:t>
            </w:r>
          </w:p>
        </w:tc>
      </w:tr>
      <w:tr>
        <w:tc>
          <w:tcPr>
            <w:tcW w:type="dxa" w:w="43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EFF7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 — Design complete. You have seen and approved every screen (UI &amp; UX).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EFF7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$2,370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EFF7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$3,300</w:t>
            </w:r>
          </w:p>
        </w:tc>
      </w:tr>
      <w:tr>
        <w:tc>
          <w:tcPr>
            <w:tcW w:type="dxa" w:w="43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 — Development complete. The working app is submitted to Apple and Google for testing.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$2,370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$3,300</w:t>
            </w:r>
          </w:p>
        </w:tc>
      </w:tr>
      <w:tr>
        <w:tc>
          <w:tcPr>
            <w:tcW w:type="dxa" w:w="43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EFF7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— Go-live. The app is publicly available on the App Store and Google Play.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EFF7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$790</w:t>
            </w:r>
          </w:p>
        </w:tc>
        <w:tc>
          <w:tcPr>
            <w:tcW w:type="dxa" w:w="30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EFF7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$1,100</w:t>
            </w:r>
          </w:p>
        </w:tc>
      </w:tr>
    </w:tbl>
    <w:p>
      <w:pPr>
        <w:spacing w:after="40" w:before="13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The only other costs are Apple’s and Google’s own store fees — $99/year to Apple and a one-time $25 to Google — billed at cost, with the accounts registered in your name so </w:t>
      </w:r>
      <w:r>
        <w:rPr>
          <w:rFonts w:ascii="Arial" w:cs="Arial" w:eastAsia="Arial" w:hAnsi="Arial"/>
          <w:b/>
          <w:bCs/>
          <w:color w:val="5C5C5C"/>
          <w:sz w:val="19"/>
          <w:szCs w:val="19"/>
        </w:rPr>
        <w:t xml:space="preserve">you own your apps outright.</w:t>
      </w:r>
      <w:r>
        <w:rPr>
          <w:rFonts w:ascii="Arial" w:cs="Arial" w:eastAsia="Arial" w:hAnsi="Arial"/>
          <w:color w:val="5C5C5C"/>
          <w:sz w:val="19"/>
          <w:szCs w:val="19"/>
        </w:rPr>
        <w:t xml:space="preserve"> One developer account covers both apps — the fees are the same whether you launch one app or two.</w:t>
      </w:r>
    </w:p>
    <w:p>
      <w:pPr>
        <w:pBdr>
          <w:bottom w:val="single" w:color="DDDDDD" w:sz="6"/>
        </w:pBdr>
        <w:spacing w:after="80" w:before="200"/>
      </w:pPr>
      <w:r>
        <w:rPr>
          <w:rFonts w:ascii="Arial" w:cs="Arial" w:eastAsia="Arial" w:hAnsi="Arial"/>
          <w:b/>
          <w:bCs/>
          <w:color w:val="098945"/>
          <w:spacing w:val="30"/>
          <w:sz w:val="20"/>
          <w:szCs w:val="20"/>
        </w:rPr>
        <w:t xml:space="preserve">TIMELINE</w:t>
      </w:r>
    </w:p>
    <w:p>
      <w:pPr>
        <w:spacing w:after="11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(about 2 weeks) → Development (about 4–5 weeks) → Apple &amp; Google review (1–2 weeks).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app is live roughly 8 weeks after the deposit; the second app follows about 2 weeks later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the shared engine does the heavy lifting. You approve every screen before development begins, and you will see each working app on a phone before it is submitted to the stores.</w:t>
      </w:r>
    </w:p>
    <w:p>
      <w:pPr>
        <w:pBdr>
          <w:bottom w:val="single" w:color="DDDDDD" w:sz="6"/>
        </w:pBdr>
        <w:spacing w:after="80" w:before="200"/>
      </w:pPr>
      <w:r>
        <w:rPr>
          <w:rFonts w:ascii="Arial" w:cs="Arial" w:eastAsia="Arial" w:hAnsi="Arial"/>
          <w:b/>
          <w:bCs/>
          <w:color w:val="098945"/>
          <w:spacing w:val="30"/>
          <w:sz w:val="20"/>
          <w:szCs w:val="20"/>
        </w:rPr>
        <w:t xml:space="preserve">THE NILE PROMISE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price is the price.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Fixed. If something takes us longer than planned, that is our problem, not your bill.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 own everything.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apps, the store accounts, and the code are yours — you are never locked in to us.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Plain English, always.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No technical homework. You look at screens and say “yes” or “change this.” We handle the rest.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 approve before we build.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Every screen is shown to you first — just like the demos — so there are no surprises at the end.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 direct line.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You deal with Aaditya directly — one phone call, not a ticket queue.</w:t>
      </w:r>
    </w:p>
    <w:p>
      <w:pPr>
        <w:pBdr>
          <w:bottom w:val="single" w:color="DDDDDD" w:sz="6"/>
        </w:pBdr>
        <w:spacing w:after="80" w:before="200"/>
      </w:pPr>
      <w:r>
        <w:rPr>
          <w:rFonts w:ascii="Arial" w:cs="Arial" w:eastAsia="Arial" w:hAnsi="Arial"/>
          <w:b/>
          <w:bCs/>
          <w:color w:val="098945"/>
          <w:spacing w:val="30"/>
          <w:sz w:val="20"/>
          <w:szCs w:val="20"/>
        </w:rPr>
        <w:t xml:space="preserve">ACCEPTANCE</w:t>
      </w:r>
    </w:p>
    <w:p>
      <w:pPr>
        <w:spacing w:after="11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Mark your choice, sign below, and return one copy with the 30% deposit. Work starts the same week.</w:t>
      </w:r>
    </w:p>
    <w:p>
      <w:pPr>
        <w:spacing w:after="70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Parsippany Focus app</w:t>
      </w:r>
      <w:r>
        <w:rPr>
          <w:rFonts w:ascii="Arial" w:cs="Arial" w:eastAsia="Arial" w:hAnsi="Arial"/>
          <w:color w:val="5C5C5C"/>
          <w:sz w:val="21"/>
          <w:szCs w:val="21"/>
        </w:rPr>
        <w:t xml:space="preserve">  —  $7,900  (deposit $2,370)</w:t>
      </w:r>
    </w:p>
    <w:p>
      <w:pPr>
        <w:spacing w:after="70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Morris Focus app</w:t>
      </w:r>
      <w:r>
        <w:rPr>
          <w:rFonts w:ascii="Arial" w:cs="Arial" w:eastAsia="Arial" w:hAnsi="Arial"/>
          <w:color w:val="5C5C5C"/>
          <w:sz w:val="21"/>
          <w:szCs w:val="21"/>
        </w:rPr>
        <w:t xml:space="preserve">  —  $7,900  (deposit $2,370)</w:t>
      </w:r>
    </w:p>
    <w:p>
      <w:pPr>
        <w:spacing w:after="70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Both apps</w:t>
      </w:r>
      <w:r>
        <w:rPr>
          <w:rFonts w:ascii="Arial" w:cs="Arial" w:eastAsia="Arial" w:hAnsi="Arial"/>
          <w:color w:val="5C5C5C"/>
          <w:sz w:val="21"/>
          <w:szCs w:val="21"/>
        </w:rPr>
        <w:t xml:space="preserve">  —  $11,000  (deposit $3,300)</w:t>
      </w:r>
    </w:p>
    <w:tbl>
      <w:tblPr>
        <w:tblW w:type="dxa" w:w="10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0"/>
        <w:gridCol w:w="60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6"/>
              </w:pBdr>
              <w:spacing w:after="40" w:before="3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Frank Cahill — Focus Publications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Date: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6"/>
              </w:pBdr>
              <w:spacing w:after="40" w:before="3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Aaditya Kapoor — Nile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Date:</w:t>
            </w:r>
          </w:p>
        </w:tc>
      </w:tr>
    </w:tbl>
    <w:sectPr>
      <w:pgSz w:w="12240" w:h="15840" w:orient="portrait"/>
      <w:pgMar w:top="850" w:right="9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00"/>
      </w:pPr>
      <w:rPr>
        <w:rFonts w:ascii="Arial" w:cs="Arial" w:eastAsia="Arial" w:hAnsi="Arial"/>
        <w:color w:val="09894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00"/>
      </w:pPr>
      <w:rPr>
        <w:rFonts w:ascii="Arial" w:cs="Arial" w:eastAsia="Arial" w:hAnsi="Arial"/>
        <w:color w:val="09894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353a8754a4287d04bbf38432ea8e60aa31f712.png"/><Relationship Id="rId8" Type="http://schemas.openxmlformats.org/officeDocument/2006/relationships/image" Target="media/79e05920f9b522bc6fb4e94ed873abf736d5cf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2026-08-17T15:30:59.578Z</dcterms:created>
  <dcterms:modified xsi:type="dcterms:W3CDTF">2026-08-17T15:30:59.578Z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