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6223E"/>
          <w:sz w:val="44"/>
          <w:szCs w:val="44"/>
        </w:rPr>
        <w:t xml:space="preserve">CHEETAHS CAREER HUB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7395F"/>
          <w:sz w:val="28"/>
          <w:szCs w:val="28"/>
        </w:rPr>
        <w:t xml:space="preserve">Recruitment &amp; Placement Platform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D88C00"/>
          <w:sz w:val="24"/>
          <w:szCs w:val="24"/>
        </w:rPr>
        <w:t xml:space="preserve">SCOPE  &amp;  PRICING  PROPOSAL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5F6A83"/>
          <w:sz w:val="21"/>
          <w:szCs w:val="21"/>
        </w:rPr>
        <w:t xml:space="preserve">Prepared for Mr. Stephenson Sander, Founder — Cheetahs Career Hub</w:t>
      </w:r>
      <w:r>
        <w:rPr>
          <w:rFonts w:ascii="Calibri" w:cs="Calibri" w:eastAsia="Calibri" w:hAnsi="Calibri"/>
          <w:color w:val="5F6A83"/>
          <w:sz w:val="21"/>
          <w:szCs w:val="21"/>
        </w:rPr>
        <w:br/>
        <w:t xml:space="preserve">Prepared by Nile Technologies  ·  August 2026  ·  Ref: NT-CCH-2026-01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1.  Overview</w:t>
      </w:r>
    </w:p>
    <w:p>
      <w:pPr>
        <w:spacing w:after="14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Cheetahs Career Hub runs a high-touch recruitment and placement service: employers request talent, the Cheetahs team personally vets candidates from its pool, and employers meet only interview-ready people. Today this process runs on calls, email and paperwork.</w:t>
      </w:r>
    </w:p>
    <w:p>
      <w:pPr>
        <w:spacing w:after="14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Nile Technologies proposes a single web platform that carries this exact workflow end to end — from an employer’s job request through vetting, shortlisting, interviews and final placement, to the contract and invoice — across three connected interfaces: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Employer Portal</w:t>
      </w:r>
      <w:r>
        <w:rPr>
          <w:rFonts w:ascii="Calibri" w:cs="Calibri" w:eastAsia="Calibri" w:hAnsi="Calibri"/>
          <w:color w:val="333B4F"/>
          <w:sz w:val="21"/>
          <w:szCs w:val="21"/>
        </w:rPr>
        <w:t xml:space="preserve"> — Every employer posts requests, reviews vetted shortlists and confirms hires from one dashboard — free to register, paying only on success.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Candidate Portal</w:t>
      </w:r>
      <w:r>
        <w:rPr>
          <w:rFonts w:ascii="Calibri" w:cs="Calibri" w:eastAsia="Calibri" w:hAnsi="Calibri"/>
          <w:color w:val="333B4F"/>
          <w:sz w:val="21"/>
          <w:szCs w:val="21"/>
        </w:rPr>
        <w:t xml:space="preserve"> — Candidates register to a program, build their profile, apply to openings and track their interviews and selection status.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Admin Console</w:t>
      </w:r>
      <w:r>
        <w:rPr>
          <w:rFonts w:ascii="Calibri" w:cs="Calibri" w:eastAsia="Calibri" w:hAnsi="Calibri"/>
          <w:color w:val="333B4F"/>
          <w:sz w:val="21"/>
          <w:szCs w:val="21"/>
        </w:rPr>
        <w:t xml:space="preserve"> — The command centre: case files, smart matching, vetting notes, interview scheduling, automatic fee calculation, billing and reports.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F6A83"/>
          <w:sz w:val="21"/>
          <w:szCs w:val="21"/>
        </w:rPr>
        <w:t xml:space="preserve">A fully interactive visual demo of the proposed platform has been built and presented alongside this document.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2.  The Core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Employer creates an account and e-signs the service agreement generated for their industry and hire type (15% local / 20% international of the first three months’ salary).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Employer posts a job request through a form tailored to their category, with positions and hiring timeline. Posting is always free.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Admin receives the request as a case file and runs smart matching against the candidate pool.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Admin personally vets the matches — calls, notes, references — and assigns a shortlist to the employer’s request (contact details masked).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Employer reviews profiles, keeps private notes, and selects candidates for interview.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Admin confirms interview times with the candidates; candidates see their schedule in their portal.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Employer records the final hires from their portal; admin closes the case — the placement fee is calculated automatically, the contract is sent and the invoice issued.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3.  Core System — Scope &amp; Pricing</w:t>
      </w:r>
    </w:p>
    <w:tbl>
      <w:tblPr>
        <w:tblW w:type="dxa" w:w="9360"/>
        <w:tblBorders>
          <w:top w:val="single" w:color="D8D4C6" w:sz="4"/>
          <w:left w:val="single" w:color="D8D4C6" w:sz="4"/>
          <w:bottom w:val="single" w:color="D8D4C6" w:sz="4"/>
          <w:right w:val="single" w:color="D8D4C6" w:sz="4"/>
          <w:insideH w:val="single" w:color="D8D4C6" w:sz="4"/>
          <w:insideV w:val="single" w:color="D8D4C6" w:sz="4"/>
        </w:tblBorders>
      </w:tblPr>
      <w:tblGrid>
        <w:gridCol w:w="7460"/>
        <w:gridCol w:w="1900"/>
      </w:tblGrid>
      <w:tr>
        <w:trPr>
          <w:tblHeader/>
        </w:trPr>
        <w:tc>
          <w:tcPr>
            <w:tcW w:type="dxa" w:w="7460"/>
            <w:shd w:fill="1622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6C64B"/>
                <w:sz w:val="20"/>
                <w:szCs w:val="20"/>
              </w:rPr>
              <w:t xml:space="preserve">Module</w:t>
            </w:r>
          </w:p>
        </w:tc>
        <w:tc>
          <w:tcPr>
            <w:tcW w:type="dxa" w:w="1900"/>
            <w:shd w:fill="1622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6C64B"/>
                <w:sz w:val="20"/>
                <w:szCs w:val="20"/>
              </w:rPr>
              <w:t xml:space="preserve">Price (USD)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1. Public Website &amp; Branding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Marketing site with the five placement programs, portal sign-ins, company pages and full Cheetahs branding.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746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2. Employer Portal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Free registration with admin approval; auto-generated service agreement by industry and hire type (15% local / 20% international) with electronic signature; industry-tailored job request forms; case tracking; shortlist review with private notes; interview selection; final hire confirmation.</w:t>
            </w:r>
          </w:p>
        </w:tc>
        <w:tc>
          <w:tcPr>
            <w:tcW w:type="dxa" w:w="190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3. Candidate Portal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Program registration with per-program fees (incl. online payment gateway); profile builder with document uploads; job applications; interview schedule and selection status tracking.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746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4. Admin Console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Case files for every employer request; smart matching against the candidate pool; vetting board with call notes; shortlist assignment to employers; interview scheduling; case closure with automatic fee calculation.</w:t>
            </w:r>
          </w:p>
        </w:tc>
        <w:tc>
          <w:tcPr>
            <w:tcW w:type="dxa" w:w="190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$1,650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5. Billing &amp; Invoicing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Invoice generation to employers, payment recording and a consolidated revenue ledger.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746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6. Notifications Engine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Email/SMS alerts at every workflow hand-off (request received, shortlist shared, interview confirmed, placement closed).</w:t>
            </w:r>
          </w:p>
        </w:tc>
        <w:tc>
          <w:tcPr>
            <w:tcW w:type="dxa" w:w="190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7. Testing, Deployment &amp; Go-Live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Full QA across all portals, production deployment and launch support.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$300</w:t>
            </w:r>
          </w:p>
        </w:tc>
      </w:tr>
      <w:tr>
        <w:tc>
          <w:tcPr>
            <w:tcW w:type="dxa" w:w="7460"/>
            <w:shd w:fill="FCF1D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CORE SYSTEM TOTAL</w:t>
            </w:r>
          </w:p>
        </w:tc>
        <w:tc>
          <w:tcPr>
            <w:tcW w:type="dxa" w:w="1900"/>
            <w:shd w:fill="FCF1D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$5,500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F6A83"/>
          <w:sz w:val="21"/>
          <w:szCs w:val="21"/>
        </w:rPr>
        <w:t xml:space="preserve">Smart candidate matching, dynamic service agreements and candidate registration fee collection are included in the core system.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4.  Optional Add-On Modules</w:t>
      </w:r>
    </w:p>
    <w:p>
      <w:pPr>
        <w:spacing w:after="14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Each module below can be commissioned with the core build or added in a later phase. All are shown working in the demo.</w:t>
      </w:r>
    </w:p>
    <w:tbl>
      <w:tblPr>
        <w:tblW w:type="dxa" w:w="9360"/>
        <w:tblBorders>
          <w:top w:val="single" w:color="D8D4C6" w:sz="4"/>
          <w:left w:val="single" w:color="D8D4C6" w:sz="4"/>
          <w:bottom w:val="single" w:color="D8D4C6" w:sz="4"/>
          <w:right w:val="single" w:color="D8D4C6" w:sz="4"/>
          <w:insideH w:val="single" w:color="D8D4C6" w:sz="4"/>
          <w:insideV w:val="single" w:color="D8D4C6" w:sz="4"/>
        </w:tblBorders>
      </w:tblPr>
      <w:tblGrid>
        <w:gridCol w:w="7460"/>
        <w:gridCol w:w="1900"/>
      </w:tblGrid>
      <w:tr>
        <w:trPr>
          <w:tblHeader/>
        </w:trPr>
        <w:tc>
          <w:tcPr>
            <w:tcW w:type="dxa" w:w="7460"/>
            <w:shd w:fill="1622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6C64B"/>
                <w:sz w:val="20"/>
                <w:szCs w:val="20"/>
              </w:rPr>
              <w:t xml:space="preserve">Module</w:t>
            </w:r>
          </w:p>
        </w:tc>
        <w:tc>
          <w:tcPr>
            <w:tcW w:type="dxa" w:w="1900"/>
            <w:shd w:fill="16223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6C64B"/>
                <w:sz w:val="20"/>
                <w:szCs w:val="20"/>
              </w:rPr>
              <w:t xml:space="preserve">Price (USD)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A1. Role-Based Admin Access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Master admin plus limited staff roles (e.g. domestic-only or international-only). Each staff member sees only their assigned programs; billing and settings remain master-only.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$950</w:t>
            </w:r>
          </w:p>
        </w:tc>
      </w:tr>
      <w:tr>
        <w:tc>
          <w:tcPr>
            <w:tcW w:type="dxa" w:w="746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A2. Resource Suggesting Module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Admin curates guides, checklists, courses and videos, and pushes them to whole programs or hand-picked candidates; items appear as "suggested for you" in the candidate portal.</w:t>
            </w:r>
          </w:p>
        </w:tc>
        <w:tc>
          <w:tcPr>
            <w:tcW w:type="dxa" w:w="190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$700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A3. Internal Job Posting Module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Cheetahs posts its own roles (cruise partners, overseas programs); pool candidates apply directly and applicants flow straight into vetting.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$950</w:t>
            </w:r>
          </w:p>
        </w:tc>
      </w:tr>
      <w:tr>
        <w:tc>
          <w:tcPr>
            <w:tcW w:type="dxa" w:w="746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A4. Advertiser Network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Sellable advertising slots across the candidate and employer portals with campaign management, creative previews, slot inventory and monthly ad invoicing — a recurring revenue stream managed entirely from the admin console.</w:t>
            </w:r>
          </w:p>
        </w:tc>
        <w:tc>
          <w:tcPr>
            <w:tcW w:type="dxa" w:w="190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A5. AI CV Studio</w:t>
            </w:r>
          </w:p>
          <w:p>
            <w:r>
              <w:rPr>
                <w:rFonts w:ascii="Calibri" w:cs="Calibri" w:eastAsia="Calibri" w:hAnsi="Calibri"/>
                <w:color w:val="5F6A83"/>
                <w:sz w:val="18"/>
                <w:szCs w:val="18"/>
              </w:rPr>
              <w:t xml:space="preserve">Paid AI-generated CVs and cover letters built from the candidate profile ($3–5 per document) — a new candidate-side revenue stream. (AI usage fees passed through at cost.)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$1,100</w:t>
            </w:r>
          </w:p>
        </w:tc>
      </w:tr>
      <w:tr>
        <w:tc>
          <w:tcPr>
            <w:tcW w:type="dxa" w:w="7460"/>
            <w:shd w:fill="FCF1D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ALL ADD-ONS TOTAL</w:t>
            </w:r>
          </w:p>
        </w:tc>
        <w:tc>
          <w:tcPr>
            <w:tcW w:type="dxa" w:w="1900"/>
            <w:shd w:fill="FCF1D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$4,950</w:t>
            </w:r>
          </w:p>
        </w:tc>
      </w:tr>
    </w:tbl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5.  Commercial Summary</w:t>
      </w:r>
    </w:p>
    <w:tbl>
      <w:tblPr>
        <w:tblW w:type="dxa" w:w="9360"/>
        <w:tblBorders>
          <w:top w:val="single" w:color="D8D4C6" w:sz="4"/>
          <w:left w:val="single" w:color="D8D4C6" w:sz="4"/>
          <w:bottom w:val="single" w:color="D8D4C6" w:sz="4"/>
          <w:right w:val="single" w:color="D8D4C6" w:sz="4"/>
          <w:insideH w:val="single" w:color="D8D4C6" w:sz="4"/>
          <w:insideV w:val="single" w:color="D8D4C6" w:sz="4"/>
        </w:tblBorders>
      </w:tblPr>
      <w:tblGrid>
        <w:gridCol w:w="7460"/>
        <w:gridCol w:w="1900"/>
      </w:tblGrid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B4F"/>
                <w:sz w:val="20"/>
                <w:szCs w:val="20"/>
              </w:rPr>
              <w:t xml:space="preserve">Core system (modules 1–7)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B4F"/>
                <w:sz w:val="20"/>
                <w:szCs w:val="20"/>
              </w:rPr>
              <w:t xml:space="preserve">$5,500</w:t>
            </w:r>
          </w:p>
        </w:tc>
      </w:tr>
      <w:tr>
        <w:tc>
          <w:tcPr>
            <w:tcW w:type="dxa" w:w="746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B4F"/>
                <w:sz w:val="20"/>
                <w:szCs w:val="20"/>
              </w:rPr>
              <w:t xml:space="preserve">All five add-on modules (A1–A5)</w:t>
            </w:r>
          </w:p>
        </w:tc>
        <w:tc>
          <w:tcPr>
            <w:tcW w:type="dxa" w:w="1900"/>
            <w:shd w:fill="F7F5E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B4F"/>
                <w:sz w:val="20"/>
                <w:szCs w:val="20"/>
              </w:rPr>
              <w:t xml:space="preserve">$4,950</w:t>
            </w:r>
          </w:p>
        </w:tc>
      </w:tr>
      <w:tr>
        <w:tc>
          <w:tcPr>
            <w:tcW w:type="dxa" w:w="74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color w:val="333B4F"/>
                <w:sz w:val="20"/>
                <w:szCs w:val="20"/>
              </w:rPr>
              <w:t xml:space="preserve">Full platform — itemised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33B4F"/>
                <w:sz w:val="20"/>
                <w:szCs w:val="20"/>
              </w:rPr>
              <w:t xml:space="preserve">$10,450</w:t>
            </w:r>
          </w:p>
        </w:tc>
      </w:tr>
      <w:tr>
        <w:tc>
          <w:tcPr>
            <w:tcW w:type="dxa" w:w="7460"/>
            <w:shd w:fill="E9ED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FULL PLATFORM — BUNDLE OFFER (commissioned together)</w:t>
            </w:r>
          </w:p>
        </w:tc>
        <w:tc>
          <w:tcPr>
            <w:tcW w:type="dxa" w:w="1900"/>
            <w:shd w:fill="E9ED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6223E"/>
                <w:sz w:val="20"/>
                <w:szCs w:val="20"/>
              </w:rPr>
              <w:t xml:space="preserve">$9,500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/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6.  Delivery Timeline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Core system</w:t>
      </w:r>
      <w:r>
        <w:rPr>
          <w:rFonts w:ascii="Calibri" w:cs="Calibri" w:eastAsia="Calibri" w:hAnsi="Calibri"/>
          <w:color w:val="333B4F"/>
          <w:sz w:val="21"/>
          <w:szCs w:val="21"/>
        </w:rPr>
        <w:t xml:space="preserve"> — 10–12 weeks from kick-off to go-live, including testing and deployment.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Add-on modules</w:t>
      </w:r>
      <w:r>
        <w:rPr>
          <w:rFonts w:ascii="Calibri" w:cs="Calibri" w:eastAsia="Calibri" w:hAnsi="Calibri"/>
          <w:color w:val="333B4F"/>
          <w:sz w:val="21"/>
          <w:szCs w:val="21"/>
        </w:rPr>
        <w:t xml:space="preserve"> — approximately 3–4 additional weeks when commissioned together with the core build (work runs largely in parallel).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Milestones</w:t>
      </w:r>
      <w:r>
        <w:rPr>
          <w:rFonts w:ascii="Calibri" w:cs="Calibri" w:eastAsia="Calibri" w:hAnsi="Calibri"/>
          <w:color w:val="333B4F"/>
          <w:sz w:val="21"/>
          <w:szCs w:val="21"/>
        </w:rPr>
        <w:t xml:space="preserve"> — design sign-off in week 2, working staging preview from week 6, weekly progress updates throughout.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7.  Payment Schedule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40% on signing — project kick-off.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40% on staging demo — the full workflow working on a private staging link.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20% on go-live.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8.  Inclusions &amp; Assumptions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Web application only (fully responsive on phones and tablets); no native mobile app in this phase.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Includes 60 days of post-launch support for fixes at no charge.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Hosting, domain and SSL are arranged in the client’s name; typical running cost is modest and billed directly by the providers. An optional care plan (hosting management, maintenance and minor tweaks) is available at $60–80/month.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Payment gateway transaction fees are charged by the gateway provider; AI usage fees for CV Studio are passed through at cost.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Placement fee payments from employers are collected offline by Cheetahs and recorded in the system, as discussed.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Prices are in USD and valid for 90 days from the date of this proposal.</w:t>
      </w:r>
    </w:p>
    <w:p>
      <w:pPr>
        <w:pStyle w:val="Heading1"/>
        <w:pBdr>
          <w:bottom w:val="single" w:color="D88C00" w:sz="12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6223E"/>
          <w:sz w:val="30"/>
          <w:szCs w:val="30"/>
        </w:rPr>
        <w:t xml:space="preserve">9.  Next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Choose the core system alone, or the bundle with your preferred add-on modules.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We issue the agreement and invoice for the kick-off payment.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>Build begins — design sign-off within two weeks, staging preview from week six.</w:t>
      </w:r>
    </w:p>
    <w:p>
      <w:pPr>
        <w:spacing w:after="140"/>
      </w:pPr>
      <w:r>
        <w:rPr>
          <w:rFonts w:ascii="Calibri" w:cs="Calibri" w:eastAsia="Calibri" w:hAnsi="Calibri"/>
          <w:color w:val="333B4F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16223E"/>
          <w:sz w:val="21"/>
          <w:szCs w:val="21"/>
        </w:rPr>
        <w:t xml:space="preserve">We look forward to building the platform that takes Cheetahs Career Hub to its next stage — in time for your public office opening.</w:t>
      </w:r>
    </w:p>
    <w:p>
      <w:pPr>
        <w:spacing w:after="0"/>
      </w:pPr>
      <w:r>
        <w:rPr>
          <w:rFonts w:ascii="Calibri" w:cs="Calibri" w:eastAsia="Calibri" w:hAnsi="Calibri"/>
          <w:color w:val="5F6A83"/>
          <w:sz w:val="21"/>
          <w:szCs w:val="21"/>
        </w:rPr>
        <w:t xml:space="preserve">Aaditya Kapoor  ·  Nile Technologies  ·  aadityakapoor.nile@gmail.com</w:t>
      </w:r>
    </w:p>
    <w:sectPr>
      <w:footerReference w:type="default" r:id="rId7"/>
      <w:pgSz w:w="12240" w:h="15840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6" w:sz="4" w:space="4"/>
      </w:pBdr>
      <w:jc w:val="center"/>
    </w:pPr>
    <w:r>
      <w:rPr>
        <w:rFonts w:ascii="Calibri" w:cs="Calibri" w:eastAsia="Calibri" w:hAnsi="Calibri"/>
        <w:color w:val="5F6A83"/>
        <w:sz w:val="16"/>
        <w:szCs w:val="16"/>
      </w:rPr>
      <w:t xml:space="preserve">Nile Technologies  ·  Scope &amp; Pricing — Cheetahs Career Hub Platform  ·  Page </w:t>
    </w:r>
    <w:r>
      <w:rPr>
        <w:rFonts w:ascii="Calibri" w:cs="Calibri" w:eastAsia="Calibri" w:hAnsi="Calibri"/>
        <w:color w:val="5F6A8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8abe52f67a5eba83f576f92f26700e1423ca4a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2026-08-13T15:34:33.308Z</dcterms:created>
  <dcterms:modified xsi:type="dcterms:W3CDTF">2026-08-13T15:34:33.309Z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