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09550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568829" w:sz="8"/>
        </w:pBdr>
        <w:spacing w:after="260"/>
        <w:jc w:val="center"/>
      </w:pPr>
      <w:r>
        <w:rPr>
          <w:rFonts w:ascii="Arial" w:cs="Arial" w:eastAsia="Arial" w:hAnsi="Arial"/>
          <w:color w:val="5C5C5C"/>
          <w:sz w:val="14"/>
          <w:szCs w:val="14"/>
        </w:rPr>
        <w:t xml:space="preserve">A L L   L O C A L ,   A L L   P A R S I P P A N 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Parsippany Focus Mobile App</w:t>
      </w:r>
    </w:p>
    <w:p>
      <w:pPr>
        <w:spacing w:after="6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Proposal — prepared for Frank Cahill, Parsippany Focus</w:t>
      </w:r>
    </w:p>
    <w:p>
      <w:pPr>
        <w:spacing w:after="200"/>
      </w:pPr>
      <w:r>
        <w:rPr>
          <w:rFonts w:ascii="Arial" w:cs="Arial" w:eastAsia="Arial" w:hAnsi="Arial"/>
          <w:color w:val="5C5C5C"/>
          <w:sz w:val="18"/>
          <w:szCs w:val="18"/>
        </w:rPr>
        <w:t xml:space="preserve">From Aaditya Kapoor, Nile   ·   August 13, 2026   ·   Valid for 30 days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Parsippany Focus has been the town’s trusted news source since 1989, and today around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400,000 visits a month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come through the website. This proposal puts that same news on every reader’s phone as a single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Parsippany Focus app icon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no browsers, no bookmarks, no confusion. One tap and they are reading Focus.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 iPhone app and an Android app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published on the Apple App Store and Google Play under the Parsippany Focus name.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Exactly the design you saw in the demo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your logo, your green, your sections: Local News, Business News, Police and Fire, School News, Videos, and Letters to the Editor.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Breaking-news notifications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when you publish a big story, it appears on readers’ phones within seconds, even when the app is closed. No other outlet in Parsippany can do this.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Your advertisers, carried 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the same banners that run on the website run in the app. More screens in front of readers strengthens what you already sell; nothing about your revenue model changes.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Submit an Article, Letters, and Place an Ad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the forms your community already uses, built into the app.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HOW IT CONNECTS TO YOUR WEBSITE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app reads directly from your existing website. You and your team keep publishing exactly as you do today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nothing about the website, the WordPress system, or your daily routine changes.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 a story goes up on parsippanyfocus.com, it appears in the app automatically, with the same photos, the same sections, and the same ads. Publish once; it appears everywhere.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TIMELINE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(about 2 weeks) → Development (about 4–5 weeks) → Apple &amp; Google review (1–2 weeks).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Your app should be live roughly 8 weeks after the deposit.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You approve the finished design before a single line of the app is built, and you will see the working app on a phone before it is submitted to the stores.</w:t>
      </w:r>
    </w:p>
    <w:p>
      <w:r>
        <w:br w:type="page"/>
      </w:r>
    </w:p>
    <w:p>
      <w:pPr>
        <w:pBdr>
          <w:bottom w:val="single" w:color="DDDDDD" w:sz="6"/>
        </w:pBdr>
        <w:spacing w:after="100" w:before="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YOUR INVESTMENT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41661F"/>
          <w:sz w:val="48"/>
          <w:szCs w:val="48"/>
        </w:rPr>
        <w:t xml:space="preserve">$7,900</w:t>
      </w:r>
      <w:r>
        <w:rPr>
          <w:rFonts w:ascii="Arial" w:cs="Arial" w:eastAsia="Arial" w:hAnsi="Arial"/>
          <w:color w:val="5C5C5C"/>
          <w:sz w:val="20"/>
          <w:szCs w:val="20"/>
        </w:rPr>
        <w:t xml:space="preserve">   fixed — one price, both apps, everything listed above</w:t>
      </w:r>
    </w:p>
    <w:tbl>
      <w:tblPr>
        <w:tblW w:type="dxa" w:w="10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6540"/>
        <w:gridCol w:w="2100"/>
      </w:tblGrid>
      <w:tr>
        <w:tc>
          <w:tcPr>
            <w:tcW w:type="dxa" w:w="17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41661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</w:t>
            </w:r>
          </w:p>
        </w:tc>
        <w:tc>
          <w:tcPr>
            <w:tcW w:type="dxa" w:w="65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41661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WHEN</w:t>
            </w:r>
          </w:p>
        </w:tc>
        <w:tc>
          <w:tcPr>
            <w:tcW w:type="dxa" w:w="21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41661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65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Deposit — reserves your project slot and starts the work</w:t>
            </w:r>
          </w:p>
        </w:tc>
        <w:tc>
          <w:tcPr>
            <w:tcW w:type="dxa" w:w="21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65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complete — you have seen and approved every screen of the app (UI &amp; UX)</w:t>
            </w:r>
          </w:p>
        </w:tc>
        <w:tc>
          <w:tcPr>
            <w:tcW w:type="dxa" w:w="21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65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complete — the working app is submitted to Apple and Google for testing</w:t>
            </w:r>
          </w:p>
        </w:tc>
        <w:tc>
          <w:tcPr>
            <w:tcW w:type="dxa" w:w="21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$2,370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654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Go-live — the app is publicly available on the App Store and Google Play</w:t>
            </w:r>
          </w:p>
        </w:tc>
        <w:tc>
          <w:tcPr>
            <w:tcW w:type="dxa" w:w="2100"/>
            <w:tcBorders>
              <w:top w:val="single" w:color="DDDDDD" w:sz="4"/>
              <w:left w:val="none" w:color="FFFFFF" w:sz="0"/>
              <w:bottom w:val="single" w:color="DDDDDD" w:sz="4"/>
              <w:right w:val="none" w:color="FFFFFF" w:sz="0"/>
            </w:tcBorders>
            <w:shd w:fill="F2F6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$790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The only other costs are Apple’s and Google’s own store fees — $99/year to Apple and a one-time $25 to Google — billed at cost, with the accounts registered in your name so </w:t>
      </w:r>
      <w:r>
        <w:rPr>
          <w:rFonts w:ascii="Arial" w:cs="Arial" w:eastAsia="Arial" w:hAnsi="Arial"/>
          <w:b/>
          <w:bCs/>
          <w:color w:val="5C5C5C"/>
          <w:sz w:val="19"/>
          <w:szCs w:val="19"/>
        </w:rPr>
        <w:t xml:space="preserve">you own your app outright.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THE NILE PROMISE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price is the price.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$7,900 is fixed. If something takes us longer than planned, that is our problem, not your bill.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 own everything.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app, the store accounts, and the code are yours — you are never locked in to us.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Plain English, always.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No technical homework. You look at screens and say “yes” or “change this.” We handle the rest.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 approve before we build.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Every screen is shown to you first — just like the demo — so there are no surprises at the end.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 direct line.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You deal with Aaditya directly — one phone call, not a ticket queue.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ALSO PUBLISHER OF MORRIS FOCUS?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system we build reads from your website automatically — which means a second app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Morris Focus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can share the same engine at a fraction of the usual cost. If you would like both platforms in readers’ pockets, we can lock in a combined two-app deal.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Let’s finalise this approach in our meeting on Monday, August 17.</w:t>
      </w:r>
    </w:p>
    <w:p>
      <w:pPr>
        <w:pBdr>
          <w:bottom w:val="single" w:color="DDDDDD" w:sz="6"/>
        </w:pBdr>
        <w:spacing w:after="100" w:before="260"/>
      </w:pPr>
      <w:r>
        <w:rPr>
          <w:rFonts w:ascii="Arial" w:cs="Arial" w:eastAsia="Arial" w:hAnsi="Arial"/>
          <w:b/>
          <w:bCs/>
          <w:color w:val="568829"/>
          <w:spacing w:val="30"/>
          <w:sz w:val="20"/>
          <w:szCs w:val="20"/>
        </w:rPr>
        <w:t xml:space="preserve">ACCEPTANCE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 begin, sign below and return one copy with the 30% deposit ($2,370). Work starts the same week.</w:t>
      </w:r>
    </w:p>
    <w:tbl>
      <w:tblPr>
        <w:tblW w:type="dxa" w:w="10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0"/>
        <w:gridCol w:w="60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6"/>
              </w:pBdr>
              <w:spacing w:after="40" w:before="5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Frank Cahill — Parsippany Focus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Date: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A" w:sz="6"/>
              </w:pBdr>
              <w:spacing w:after="40" w:before="5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Aaditya Kapoor — Nile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Date:</w:t>
            </w:r>
          </w:p>
        </w:tc>
      </w:tr>
    </w:tbl>
    <w:sectPr>
      <w:pgSz w:w="12240" w:h="15840" w:orient="portrait"/>
      <w:pgMar w:top="900" w:right="950" w:bottom="8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  <w:rPr>
        <w:rFonts w:ascii="Arial" w:cs="Arial" w:eastAsia="Arial" w:hAnsi="Arial"/>
        <w:color w:val="56882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  <w:rPr>
        <w:rFonts w:ascii="Arial" w:cs="Arial" w:eastAsia="Arial" w:hAnsi="Arial"/>
        <w:color w:val="56882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e05920f9b522bc6fb4e94ed873abf736d5cf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2026-08-12T19:43:33.962Z</dcterms:created>
  <dcterms:modified xsi:type="dcterms:W3CDTF">2026-08-12T19:43:33.962Z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