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60"/>
      </w:pPr>
      <w:r>
        <w:rPr>
          <w:b/>
          <w:bCs/>
          <w:color w:val="EF5611"/>
          <w:spacing w:val="60"/>
          <w:sz w:val="26"/>
          <w:szCs w:val="26"/>
        </w:rPr>
        <w:t xml:space="preserve">PROJECT PROPOSAL</w:t>
      </w:r>
    </w:p>
    <w:p>
      <w:pPr>
        <w:spacing w:after="6"/>
      </w:pPr>
      <w:r>
        <w:rPr>
          <w:b/>
          <w:bCs/>
          <w:color w:val="16263F"/>
          <w:sz w:val="60"/>
          <w:szCs w:val="60"/>
        </w:rPr>
        <w:t xml:space="preserve">AI Sales Coaching &amp; Roleplay Platform</w:t>
      </w:r>
    </w:p>
    <w:p>
      <w:pPr>
        <w:spacing w:after="4"/>
      </w:pPr>
      <w:r>
        <w:rPr>
          <w:i/>
          <w:iCs/>
          <w:color w:val="3F4A57"/>
          <w:sz w:val="26"/>
          <w:szCs w:val="26"/>
        </w:rPr>
        <w:t xml:space="preserve">A multi-tenant SaaS for pharmaceutical &amp; medical sales training</w:t>
      </w:r>
    </w:p>
    <w:p>
      <w:pPr>
        <w:spacing w:after="240"/>
      </w:pPr>
      <w:r>
        <w:rPr>
          <w:color w:val="3F4A57"/>
          <w:sz w:val="19"/>
          <w:szCs w:val="19"/>
        </w:rPr>
        <w:t xml:space="preserve">Working title — final product name to be decided</w:t>
      </w:r>
    </w:p>
    <w:p>
      <w:pPr>
        <w:pBdr>
          <w:bottom w:val="single" w:color="EF5611" w:sz="12" w:space="6"/>
        </w:pBdr>
        <w:spacing w:after="300"/>
      </w:pPr>
    </w:p>
    <w:p>
      <w:pPr>
        <w:spacing w:after="90"/>
      </w:pPr>
      <w:r>
        <w:rPr>
          <w:b/>
          <w:bCs/>
          <w:color w:val="16263F"/>
          <w:sz w:val="22"/>
          <w:szCs w:val="22"/>
        </w:rPr>
        <w:t xml:space="preserve">Prepared for   </w:t>
      </w:r>
      <w:r>
        <w:rPr>
          <w:color w:val="0B1422"/>
          <w:sz w:val="22"/>
          <w:szCs w:val="22"/>
        </w:rPr>
        <w:t xml:space="preserve">Valentina Kordi — Consultant &amp; Product Owner</w:t>
      </w:r>
    </w:p>
    <w:p>
      <w:pPr>
        <w:spacing w:after="90"/>
      </w:pPr>
      <w:r>
        <w:rPr>
          <w:b/>
          <w:bCs/>
          <w:color w:val="16263F"/>
          <w:sz w:val="22"/>
          <w:szCs w:val="22"/>
        </w:rPr>
        <w:t xml:space="preserve">Prepared by   </w:t>
      </w:r>
      <w:r>
        <w:rPr>
          <w:color w:val="0B1422"/>
          <w:sz w:val="22"/>
          <w:szCs w:val="22"/>
        </w:rPr>
        <w:t xml:space="preserve">Aaditya Kapoor, Nile</w:t>
      </w:r>
    </w:p>
    <w:p>
      <w:pPr>
        <w:spacing w:after="90"/>
      </w:pPr>
      <w:r>
        <w:rPr>
          <w:b/>
          <w:bCs/>
          <w:color w:val="16263F"/>
          <w:sz w:val="22"/>
          <w:szCs w:val="22"/>
        </w:rPr>
        <w:t xml:space="preserve">Industry   </w:t>
      </w:r>
      <w:r>
        <w:rPr>
          <w:color w:val="0B1422"/>
          <w:sz w:val="22"/>
          <w:szCs w:val="22"/>
        </w:rPr>
        <w:t xml:space="preserve">Pharmaceutical / Medical Sales Representatives</w:t>
      </w:r>
    </w:p>
    <w:p>
      <w:pPr>
        <w:spacing w:after="90"/>
      </w:pPr>
      <w:r>
        <w:rPr>
          <w:b/>
          <w:bCs/>
          <w:color w:val="16263F"/>
          <w:sz w:val="22"/>
          <w:szCs w:val="22"/>
        </w:rPr>
        <w:t xml:space="preserve">Date   </w:t>
      </w:r>
      <w:r>
        <w:rPr>
          <w:color w:val="0B1422"/>
          <w:sz w:val="22"/>
          <w:szCs w:val="22"/>
        </w:rPr>
        <w:t xml:space="preserve">June 2026</w:t>
      </w:r>
    </w:p>
    <w:p>
      <w:pPr>
        <w:spacing w:after="90"/>
      </w:pPr>
      <w:r>
        <w:rPr>
          <w:b/>
          <w:bCs/>
          <w:color w:val="16263F"/>
          <w:sz w:val="22"/>
          <w:szCs w:val="22"/>
        </w:rPr>
        <w:t xml:space="preserve">Phase   </w:t>
      </w:r>
      <w:r>
        <w:rPr>
          <w:color w:val="0B1422"/>
          <w:sz w:val="22"/>
          <w:szCs w:val="22"/>
        </w:rPr>
        <w:t xml:space="preserve">Phase 1 (build options detailed in Commercials)</w:t>
      </w:r>
    </w:p>
    <w:p>
      <w:pPr>
        <w:spacing w:before="340"/>
      </w:pPr>
      <w:r>
        <w:rPr>
          <w:i/>
          <w:iCs/>
          <w:color w:val="3F4A57"/>
          <w:sz w:val="18"/>
          <w:szCs w:val="18"/>
        </w:rPr>
        <w:t xml:space="preserve">Commercial in confidence. Prepared exclusively for Valentina Kordi.</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Client brief</w:t>
      </w:r>
    </w:p>
    <w:p>
      <w:pPr>
        <w:spacing w:after="140" w:line="276"/>
      </w:pPr>
      <w:r>
        <w:rPr>
          <w:color w:val="0B1422"/>
          <w:sz w:val="21"/>
          <w:szCs w:val="21"/>
        </w:rPr>
        <w:t xml:space="preserve">Valentina Kordi is a sales-training consultant who wants to productise her expertise into a software platform she can sell to pharmaceutical and medical-device brands. The brief, as discussed, is to build a focused application with two interfaces in its first phase, serving the medical-sales-representative market in English and Greek.</w:t>
      </w:r>
    </w:p>
    <w:p>
      <w:pPr>
        <w:pStyle w:val="Heading2"/>
      </w:pPr>
      <w:r>
        <w:t xml:space="preserve">What Valentina asked for</w:t>
      </w:r>
    </w:p>
    <w:p>
      <w:pPr>
        <w:pStyle w:val="ListParagraph"/>
        <w:numPr>
          <w:ilvl w:val="0"/>
          <w:numId w:val="2"/>
        </w:numPr>
        <w:spacing w:after="70" w:line="270"/>
      </w:pPr>
      <w:r>
        <w:rPr>
          <w:b/>
          <w:bCs/>
          <w:color w:val="16263F"/>
          <w:sz w:val="21"/>
          <w:szCs w:val="21"/>
        </w:rPr>
        <w:t xml:space="preserve">A platform she owns and resells. </w:t>
      </w:r>
      <w:r>
        <w:rPr>
          <w:color w:val="0B1422"/>
          <w:sz w:val="21"/>
          <w:szCs w:val="21"/>
        </w:rPr>
        <w:t xml:space="preserve">Valentina is the product owner; her clients (pharma brands) subscribe, and each brand adds its own sales representatives as users under its account.</w:t>
      </w:r>
    </w:p>
    <w:p>
      <w:pPr>
        <w:pStyle w:val="ListParagraph"/>
        <w:numPr>
          <w:ilvl w:val="0"/>
          <w:numId w:val="2"/>
        </w:numPr>
        <w:spacing w:after="70" w:line="270"/>
      </w:pPr>
      <w:r>
        <w:rPr>
          <w:b/>
          <w:bCs/>
          <w:color w:val="16263F"/>
          <w:sz w:val="21"/>
          <w:szCs w:val="21"/>
        </w:rPr>
        <w:t xml:space="preserve">Interface 1 — AI Guided Coaching. </w:t>
      </w:r>
      <w:r>
        <w:rPr>
          <w:color w:val="0B1422"/>
          <w:sz w:val="21"/>
          <w:szCs w:val="21"/>
        </w:rPr>
        <w:t xml:space="preserve">A brand uploads its product information (PDFs, USPs, benefits, battle cards, FAQs) to create a secure knowledge base. Its reps can then ask that knowledge base anything and get immediate, accurate answers, before or during a real situation in the field.</w:t>
      </w:r>
    </w:p>
    <w:p>
      <w:pPr>
        <w:pStyle w:val="ListParagraph"/>
        <w:numPr>
          <w:ilvl w:val="0"/>
          <w:numId w:val="2"/>
        </w:numPr>
        <w:spacing w:after="70" w:line="270"/>
      </w:pPr>
      <w:r>
        <w:rPr>
          <w:b/>
          <w:bCs/>
          <w:color w:val="16263F"/>
          <w:sz w:val="21"/>
          <w:szCs w:val="21"/>
        </w:rPr>
        <w:t xml:space="preserve">Interface 2 — AI Roleplay for sales training. </w:t>
      </w:r>
      <w:r>
        <w:rPr>
          <w:color w:val="0B1422"/>
          <w:sz w:val="21"/>
          <w:szCs w:val="21"/>
        </w:rPr>
        <w:t xml:space="preserve">Using a library of personality traits that Valentina defines (her intellectual property), a brand configures an AI client persona. That persona draws on the brand's knowledge base and, shaped by the selected traits, presents realistic questions, doubts and objections to the rep — a rehearsal of an actual sales conversation.</w:t>
      </w:r>
    </w:p>
    <w:p>
      <w:pPr>
        <w:pStyle w:val="Heading2"/>
      </w:pPr>
      <w:r>
        <w:t xml:space="preserve">Operating model (confirmed)</w:t>
      </w:r>
    </w:p>
    <w:p>
      <w:pPr>
        <w:spacing w:after="140" w:line="276"/>
      </w:pPr>
      <w:r>
        <w:rPr>
          <w:color w:val="0B1422"/>
          <w:sz w:val="21"/>
          <w:szCs w:val="21"/>
        </w:rPr>
        <w:t xml:space="preserve">Three tiers: Valentina (product owner) → Brand (her client, e.g. “Brand A subscribes for a monthly fee and a number of seats”) → Reps (added under the brand's account). The Brand Admin sets up the knowledge base and builds the personas; each brand's data is private and isolated from every other brand. The personality-trait library is authored only by Valentina and shared across all 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EE7" w:sz="1"/>
              <w:left w:val="single" w:color="16263F" w:sz="18"/>
              <w:bottom w:val="single" w:color="D8DEE7" w:sz="1"/>
              <w:right w:val="single" w:color="D8DEE7" w:sz="1"/>
            </w:tcBorders>
            <w:shd w:fill="FAF8F3" w:val="clear"/>
            <w:tcMar>
              <w:top w:type="dxa" w:w="140"/>
              <w:left w:type="dxa" w:w="180"/>
              <w:bottom w:type="dxa" w:w="140"/>
              <w:right w:type="dxa" w:w="160"/>
            </w:tcMar>
          </w:tcPr>
          <w:p>
            <w:pPr>
              <w:spacing w:after="0" w:line="264"/>
            </w:pPr>
            <w:r>
              <w:rPr>
                <w:b/>
                <w:bCs/>
                <w:color w:val="16263F"/>
                <w:sz w:val="20"/>
                <w:szCs w:val="20"/>
              </w:rPr>
              <w:t xml:space="preserve">Scope of this phase. </w:t>
            </w:r>
            <w:r>
              <w:rPr>
                <w:color w:val="0B1422"/>
                <w:sz w:val="20"/>
                <w:szCs w:val="20"/>
              </w:rPr>
              <w:t xml:space="preserve">Text chat and voice, in English and Greek. Each roleplay is transcribed and given a basic score. Photorealistic video avatars and deeper analytics are explicitly a later phase.</w:t>
            </w:r>
          </w:p>
        </w:tc>
      </w:tr>
    </w:tbl>
    <w:p>
      <w:r>
        <w:br w:type="page"/>
      </w:r>
    </w:p>
    <w:p>
      <w:pPr>
        <w:pStyle w:val="Heading1"/>
      </w:pPr>
      <w:r>
        <w:t xml:space="preserve">2. App concept</w:t>
      </w:r>
    </w:p>
    <w:p>
      <w:pPr>
        <w:spacing w:after="140" w:line="276"/>
      </w:pPr>
      <w:r>
        <w:rPr>
          <w:color w:val="0B1422"/>
          <w:sz w:val="21"/>
          <w:szCs w:val="21"/>
        </w:rPr>
        <w:t xml:space="preserve">The application is a multi-tenant SaaS platform that helps pharma and medical-device brands train their sales reps faster and more cost-effectively, through two AI tools that are grounded strictly in each brand's own approved content.</w:t>
      </w:r>
    </w:p>
    <w:p>
      <w:pPr>
        <w:spacing w:after="140" w:line="276"/>
      </w:pPr>
      <w:r>
        <w:rPr>
          <w:color w:val="0B1422"/>
          <w:sz w:val="21"/>
          <w:szCs w:val="21"/>
        </w:rPr>
        <w:t xml:space="preserve">The same underlying engine powers both tools. A brand's documents are processed into a private, searchable knowledge base. When a rep asks a question, the system retrieves the most relevant passages from that brand's content and uses them to produce an answer — cited, accurate, and never drawn from outside the approved material. In roleplay, the same retrieval feeds an AI persona that argues from the brand's real product facts, filtered through the personality traits the Brand Admin selected.</w:t>
      </w:r>
    </w:p>
    <w:p>
      <w:pPr>
        <w:pStyle w:val="Heading2"/>
      </w:pPr>
      <w:r>
        <w:t xml:space="preserve">Why the concept works</w:t>
      </w:r>
    </w:p>
    <w:p>
      <w:pPr>
        <w:pStyle w:val="ListParagraph"/>
        <w:numPr>
          <w:ilvl w:val="0"/>
          <w:numId w:val="2"/>
        </w:numPr>
        <w:spacing w:after="70" w:line="270"/>
      </w:pPr>
      <w:r>
        <w:rPr>
          <w:b/>
          <w:bCs/>
          <w:color w:val="16263F"/>
          <w:sz w:val="21"/>
          <w:szCs w:val="21"/>
        </w:rPr>
        <w:t xml:space="preserve">Compliance-safe by design. </w:t>
      </w:r>
      <w:r>
        <w:rPr>
          <w:color w:val="0B1422"/>
          <w:sz w:val="21"/>
          <w:szCs w:val="21"/>
        </w:rPr>
        <w:t xml:space="preserve">Answers come only from approved documents, so the product is defensible in a regulated industry.</w:t>
      </w:r>
    </w:p>
    <w:p>
      <w:pPr>
        <w:pStyle w:val="ListParagraph"/>
        <w:numPr>
          <w:ilvl w:val="0"/>
          <w:numId w:val="2"/>
        </w:numPr>
        <w:spacing w:after="70" w:line="270"/>
      </w:pPr>
      <w:r>
        <w:rPr>
          <w:b/>
          <w:bCs/>
          <w:color w:val="16263F"/>
          <w:sz w:val="21"/>
          <w:szCs w:val="21"/>
        </w:rPr>
        <w:t xml:space="preserve">Differentiated IP. </w:t>
      </w:r>
      <w:r>
        <w:rPr>
          <w:color w:val="0B1422"/>
          <w:sz w:val="21"/>
          <w:szCs w:val="21"/>
        </w:rPr>
        <w:t xml:space="preserve">The personality-trait library is Valentina's expertise, productised and reused across every brand.</w:t>
      </w:r>
    </w:p>
    <w:p>
      <w:pPr>
        <w:pStyle w:val="ListParagraph"/>
        <w:numPr>
          <w:ilvl w:val="0"/>
          <w:numId w:val="2"/>
        </w:numPr>
        <w:spacing w:after="70" w:line="270"/>
      </w:pPr>
      <w:r>
        <w:rPr>
          <w:b/>
          <w:bCs/>
          <w:color w:val="16263F"/>
          <w:sz w:val="21"/>
          <w:szCs w:val="21"/>
        </w:rPr>
        <w:t xml:space="preserve">Localised. </w:t>
      </w:r>
      <w:r>
        <w:rPr>
          <w:color w:val="0B1422"/>
          <w:sz w:val="21"/>
          <w:szCs w:val="21"/>
        </w:rPr>
        <w:t xml:space="preserve">English and Greek from day one — a genuine advantage in the target market.</w:t>
      </w:r>
    </w:p>
    <w:p>
      <w:pPr>
        <w:pStyle w:val="ListParagraph"/>
        <w:numPr>
          <w:ilvl w:val="0"/>
          <w:numId w:val="2"/>
        </w:numPr>
        <w:spacing w:after="70" w:line="270"/>
      </w:pPr>
      <w:r>
        <w:rPr>
          <w:b/>
          <w:bCs/>
          <w:color w:val="16263F"/>
          <w:sz w:val="21"/>
          <w:szCs w:val="21"/>
        </w:rPr>
        <w:t xml:space="preserve">Focused, not sprawling. </w:t>
      </w:r>
      <w:r>
        <w:rPr>
          <w:color w:val="0B1422"/>
          <w:sz w:val="21"/>
          <w:szCs w:val="21"/>
        </w:rPr>
        <w:t xml:space="preserve">Two interfaces that do two concrete jobs, rather than an enterprise platform that takes a year to build.</w:t>
      </w:r>
    </w:p>
    <w:p>
      <w:pPr>
        <w:pStyle w:val="Heading2"/>
      </w:pPr>
      <w:r>
        <w:t xml:space="preserve">Who 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Role</w:t>
            </w:r>
          </w:p>
        </w:tc>
        <w:tc>
          <w:tcPr>
            <w:tcW w:type="dxa" w:w="27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Who</w:t>
            </w:r>
          </w:p>
        </w:tc>
        <w:tc>
          <w:tcPr>
            <w:tcW w:type="dxa" w:w="456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What they do</w:t>
            </w:r>
          </w:p>
        </w:tc>
      </w:tr>
      <w:tr>
        <w:tc>
          <w:tcPr>
            <w:tcW w:type="dxa" w:w="21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bCs/>
                <w:color w:val="0B1422"/>
                <w:sz w:val="18"/>
                <w:szCs w:val="18"/>
              </w:rPr>
              <w:t xml:space="preserve">Product Owner</w:t>
            </w:r>
          </w:p>
        </w:tc>
        <w:tc>
          <w:tcPr>
            <w:tcW w:type="dxa" w:w="27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Valentina</w:t>
            </w:r>
          </w:p>
        </w:tc>
        <w:tc>
          <w:tcPr>
            <w:tcW w:type="dxa" w:w="45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Owns the platform and the personality-trait library; onboards brands.</w:t>
            </w:r>
          </w:p>
        </w:tc>
      </w:tr>
      <w:tr>
        <w:tc>
          <w:tcPr>
            <w:tcW w:type="dxa" w:w="21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bCs/>
                <w:color w:val="0B1422"/>
                <w:sz w:val="18"/>
                <w:szCs w:val="18"/>
              </w:rPr>
              <w:t xml:space="preserve">Brand Admin</w:t>
            </w:r>
          </w:p>
        </w:tc>
        <w:tc>
          <w:tcPr>
            <w:tcW w:type="dxa" w:w="27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The client's team lead</w:t>
            </w:r>
          </w:p>
        </w:tc>
        <w:tc>
          <w:tcPr>
            <w:tcW w:type="dxa" w:w="456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Builds the brand's secure knowledge base, creates personas, invites reps.</w:t>
            </w:r>
          </w:p>
        </w:tc>
      </w:tr>
      <w:tr>
        <w:tc>
          <w:tcPr>
            <w:tcW w:type="dxa" w:w="21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bCs/>
                <w:color w:val="0B1422"/>
                <w:sz w:val="18"/>
                <w:szCs w:val="18"/>
              </w:rPr>
              <w:t xml:space="preserve">Medical Rep</w:t>
            </w:r>
          </w:p>
        </w:tc>
        <w:tc>
          <w:tcPr>
            <w:tcW w:type="dxa" w:w="27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Sales representative</w:t>
            </w:r>
          </w:p>
        </w:tc>
        <w:tc>
          <w:tcPr>
            <w:tcW w:type="dxa" w:w="45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Uses the two interfaces daily: asks the Coach and practises roleplays.</w:t>
            </w:r>
          </w:p>
        </w:tc>
      </w:tr>
    </w:tbl>
    <w:p>
      <w:r>
        <w:br w:type="page"/>
      </w:r>
    </w:p>
    <w:p>
      <w:pPr>
        <w:pStyle w:val="Heading1"/>
      </w:pPr>
      <w:r>
        <w:t xml:space="preserve">3. Modules</w:t>
      </w:r>
    </w:p>
    <w:p>
      <w:pPr>
        <w:spacing w:after="140" w:line="276"/>
      </w:pPr>
      <w:r>
        <w:rPr>
          <w:color w:val="0B1422"/>
          <w:sz w:val="21"/>
          <w:szCs w:val="21"/>
        </w:rPr>
        <w:t xml:space="preserve">The platform is built from the following modules. Each is a self-contained part of the system with a clear job.</w:t>
      </w:r>
    </w:p>
    <w:p>
      <w:pPr>
        <w:pStyle w:val="Heading3"/>
      </w:pPr>
      <w:r>
        <w:t xml:space="preserve">3.1. Accounts &amp; multi-tenancy</w:t>
      </w:r>
    </w:p>
    <w:p>
      <w:pPr>
        <w:spacing w:after="140" w:line="276"/>
      </w:pPr>
      <w:r>
        <w:rPr>
          <w:color w:val="0B1422"/>
          <w:sz w:val="21"/>
          <w:szCs w:val="21"/>
        </w:rPr>
        <w:t xml:space="preserve">Handles sign-up, login, roles and the three-tier structure (Owner, Brand, Rep). Every piece of data is tagged to a brand so that brands are fully isolated from one another.</w:t>
      </w:r>
    </w:p>
    <w:p>
      <w:pPr>
        <w:pStyle w:val="ListParagraph"/>
        <w:numPr>
          <w:ilvl w:val="0"/>
          <w:numId w:val="2"/>
        </w:numPr>
        <w:spacing w:after="70" w:line="270"/>
      </w:pPr>
      <w:r>
        <w:rPr>
          <w:color w:val="0B1422"/>
          <w:sz w:val="21"/>
          <w:szCs w:val="21"/>
        </w:rPr>
        <w:t xml:space="preserve">Role-based access (Owner / Brand Admin / Rep).</w:t>
      </w:r>
    </w:p>
    <w:p>
      <w:pPr>
        <w:pStyle w:val="ListParagraph"/>
        <w:numPr>
          <w:ilvl w:val="0"/>
          <w:numId w:val="2"/>
        </w:numPr>
        <w:spacing w:after="70" w:line="270"/>
      </w:pPr>
      <w:r>
        <w:rPr>
          <w:color w:val="0B1422"/>
          <w:sz w:val="21"/>
          <w:szCs w:val="21"/>
        </w:rPr>
        <w:t xml:space="preserve">Per-brand data isolation enforced throughout the system.</w:t>
      </w:r>
    </w:p>
    <w:p>
      <w:pPr>
        <w:pStyle w:val="ListParagraph"/>
        <w:numPr>
          <w:ilvl w:val="0"/>
          <w:numId w:val="2"/>
        </w:numPr>
        <w:spacing w:after="70" w:line="270"/>
      </w:pPr>
      <w:r>
        <w:rPr>
          <w:color w:val="0B1422"/>
          <w:sz w:val="21"/>
          <w:szCs w:val="21"/>
        </w:rPr>
        <w:t xml:space="preserve">Seat management — a brand can only add as many reps as its plan allows.</w:t>
      </w:r>
    </w:p>
    <w:p>
      <w:pPr>
        <w:pStyle w:val="Heading3"/>
      </w:pPr>
      <w:r>
        <w:t xml:space="preserve">3.2. Knowledge Base</w:t>
      </w:r>
    </w:p>
    <w:p>
      <w:pPr>
        <w:spacing w:after="140" w:line="276"/>
      </w:pPr>
      <w:r>
        <w:rPr>
          <w:color w:val="0B1422"/>
          <w:sz w:val="21"/>
          <w:szCs w:val="21"/>
        </w:rPr>
        <w:t xml:space="preserve">Lets a Brand Admin upload documents and turns them into a private, searchable knowledge base. This is the foundation both AI tools rely on.</w:t>
      </w:r>
    </w:p>
    <w:p>
      <w:pPr>
        <w:pStyle w:val="ListParagraph"/>
        <w:numPr>
          <w:ilvl w:val="0"/>
          <w:numId w:val="2"/>
        </w:numPr>
        <w:spacing w:after="70" w:line="270"/>
      </w:pPr>
      <w:r>
        <w:rPr>
          <w:color w:val="0B1422"/>
          <w:sz w:val="21"/>
          <w:szCs w:val="21"/>
        </w:rPr>
        <w:t xml:space="preserve">Drag-and-drop upload of PDFs and documents with visible processing status.</w:t>
      </w:r>
    </w:p>
    <w:p>
      <w:pPr>
        <w:pStyle w:val="ListParagraph"/>
        <w:numPr>
          <w:ilvl w:val="0"/>
          <w:numId w:val="2"/>
        </w:numPr>
        <w:spacing w:after="70" w:line="270"/>
      </w:pPr>
      <w:r>
        <w:rPr>
          <w:color w:val="0B1422"/>
          <w:sz w:val="21"/>
          <w:szCs w:val="21"/>
        </w:rPr>
        <w:t xml:space="preserve">Documents are split, indexed and tagged to the brand.</w:t>
      </w:r>
    </w:p>
    <w:p>
      <w:pPr>
        <w:pStyle w:val="ListParagraph"/>
        <w:numPr>
          <w:ilvl w:val="0"/>
          <w:numId w:val="2"/>
        </w:numPr>
        <w:spacing w:after="70" w:line="270"/>
      </w:pPr>
      <w:r>
        <w:rPr>
          <w:color w:val="0B1422"/>
          <w:sz w:val="21"/>
          <w:szCs w:val="21"/>
        </w:rPr>
        <w:t xml:space="preserve">Search, categorise and manage documents; remove or re-process at any time.</w:t>
      </w:r>
    </w:p>
    <w:p>
      <w:pPr>
        <w:pStyle w:val="Heading3"/>
      </w:pPr>
      <w:r>
        <w:t xml:space="preserve">3.3. Personality-Trait Library</w:t>
      </w:r>
    </w:p>
    <w:p>
      <w:pPr>
        <w:spacing w:after="140" w:line="276"/>
      </w:pPr>
      <w:r>
        <w:rPr>
          <w:color w:val="0B1422"/>
          <w:sz w:val="21"/>
          <w:szCs w:val="21"/>
        </w:rPr>
        <w:t xml:space="preserve">Valentina's intellectual property: a curated set of buyer personality traits (e.g. Skeptical, Time-pressed, Data-driven, Price-sensitive), each with a behavioural definition. Authored only by Valentina and shared across all brands.</w:t>
      </w:r>
    </w:p>
    <w:p>
      <w:pPr>
        <w:pStyle w:val="Heading3"/>
      </w:pPr>
      <w:r>
        <w:t xml:space="preserve">3.4. Persona Builder</w:t>
      </w:r>
    </w:p>
    <w:p>
      <w:pPr>
        <w:spacing w:after="140" w:line="276"/>
      </w:pPr>
      <w:r>
        <w:rPr>
          <w:color w:val="0B1422"/>
          <w:sz w:val="21"/>
          <w:szCs w:val="21"/>
        </w:rPr>
        <w:t xml:space="preserve">Lets a Brand Admin assemble an AI client persona by selecting traits from the library, setting a difficulty level and scenario, and binding the persona to the brand's knowledge base.</w:t>
      </w:r>
    </w:p>
    <w:p>
      <w:pPr>
        <w:pStyle w:val="ListParagraph"/>
        <w:numPr>
          <w:ilvl w:val="0"/>
          <w:numId w:val="2"/>
        </w:numPr>
        <w:spacing w:after="70" w:line="270"/>
      </w:pPr>
      <w:r>
        <w:rPr>
          <w:color w:val="0B1422"/>
          <w:sz w:val="21"/>
          <w:szCs w:val="21"/>
        </w:rPr>
        <w:t xml:space="preserve">Pick traits, role/specialty, difficulty and scenario context.</w:t>
      </w:r>
    </w:p>
    <w:p>
      <w:pPr>
        <w:pStyle w:val="ListParagraph"/>
        <w:numPr>
          <w:ilvl w:val="0"/>
          <w:numId w:val="2"/>
        </w:numPr>
        <w:spacing w:after="70" w:line="270"/>
      </w:pPr>
      <w:r>
        <w:rPr>
          <w:color w:val="0B1422"/>
          <w:sz w:val="21"/>
          <w:szCs w:val="21"/>
        </w:rPr>
        <w:t xml:space="preserve">Live preview of how the persona will open a roleplay.</w:t>
      </w:r>
    </w:p>
    <w:p>
      <w:pPr>
        <w:pStyle w:val="Heading3"/>
      </w:pPr>
      <w:r>
        <w:t xml:space="preserve">3.5. AI Guided Coaching</w:t>
      </w:r>
    </w:p>
    <w:p>
      <w:pPr>
        <w:spacing w:after="140" w:line="276"/>
      </w:pPr>
      <w:r>
        <w:rPr>
          <w:color w:val="0B1422"/>
          <w:sz w:val="21"/>
          <w:szCs w:val="21"/>
        </w:rPr>
        <w:t xml:space="preserve">The rep-facing assistant. Reps ask product questions and receive instant, accurate answers drawn only from their brand's knowledge base, with the source document cited.</w:t>
      </w:r>
    </w:p>
    <w:p>
      <w:pPr>
        <w:pStyle w:val="ListParagraph"/>
        <w:numPr>
          <w:ilvl w:val="0"/>
          <w:numId w:val="2"/>
        </w:numPr>
        <w:spacing w:after="70" w:line="270"/>
      </w:pPr>
      <w:r>
        <w:rPr>
          <w:color w:val="0B1422"/>
          <w:sz w:val="21"/>
          <w:szCs w:val="21"/>
        </w:rPr>
        <w:t xml:space="preserve">Grounded answers with source citations.</w:t>
      </w:r>
    </w:p>
    <w:p>
      <w:pPr>
        <w:pStyle w:val="ListParagraph"/>
        <w:numPr>
          <w:ilvl w:val="0"/>
          <w:numId w:val="2"/>
        </w:numPr>
        <w:spacing w:after="70" w:line="270"/>
      </w:pPr>
      <w:r>
        <w:rPr>
          <w:color w:val="0B1422"/>
          <w:sz w:val="21"/>
          <w:szCs w:val="21"/>
        </w:rPr>
        <w:t xml:space="preserve">Graceful “I don't have that information” when an answer isn't in the knowledge base.</w:t>
      </w:r>
    </w:p>
    <w:p>
      <w:pPr>
        <w:pStyle w:val="ListParagraph"/>
        <w:numPr>
          <w:ilvl w:val="0"/>
          <w:numId w:val="2"/>
        </w:numPr>
        <w:spacing w:after="70" w:line="270"/>
      </w:pPr>
      <w:r>
        <w:rPr>
          <w:color w:val="0B1422"/>
          <w:sz w:val="21"/>
          <w:szCs w:val="21"/>
        </w:rPr>
        <w:t xml:space="preserve">Text and voice input (English and Greek).</w:t>
      </w:r>
    </w:p>
    <w:p>
      <w:pPr>
        <w:pStyle w:val="Heading3"/>
      </w:pPr>
      <w:r>
        <w:t xml:space="preserve">3.6. AI Roleplay</w:t>
      </w:r>
    </w:p>
    <w:p>
      <w:pPr>
        <w:spacing w:after="140" w:line="276"/>
      </w:pPr>
      <w:r>
        <w:rPr>
          <w:color w:val="0B1422"/>
          <w:sz w:val="21"/>
          <w:szCs w:val="21"/>
        </w:rPr>
        <w:t xml:space="preserve">The rehearsal environment. A rep holds a live conversation with a configured persona, which pushes realistic objections built from the brand's real product facts. Text and voice modes.</w:t>
      </w:r>
    </w:p>
    <w:p>
      <w:pPr>
        <w:pStyle w:val="ListParagraph"/>
        <w:numPr>
          <w:ilvl w:val="0"/>
          <w:numId w:val="2"/>
        </w:numPr>
        <w:spacing w:after="70" w:line="270"/>
      </w:pPr>
      <w:r>
        <w:rPr>
          <w:color w:val="0B1422"/>
          <w:sz w:val="21"/>
          <w:szCs w:val="21"/>
        </w:rPr>
        <w:t xml:space="preserve">Live, in-character conversation seeded by the persona and knowledge base.</w:t>
      </w:r>
    </w:p>
    <w:p>
      <w:pPr>
        <w:pStyle w:val="ListParagraph"/>
        <w:numPr>
          <w:ilvl w:val="0"/>
          <w:numId w:val="2"/>
        </w:numPr>
        <w:spacing w:after="70" w:line="270"/>
      </w:pPr>
      <w:r>
        <w:rPr>
          <w:color w:val="0B1422"/>
          <w:sz w:val="21"/>
          <w:szCs w:val="21"/>
        </w:rPr>
        <w:t xml:space="preserve">Full transcript captured for every session.</w:t>
      </w:r>
    </w:p>
    <w:p>
      <w:pPr>
        <w:pStyle w:val="ListParagraph"/>
        <w:numPr>
          <w:ilvl w:val="0"/>
          <w:numId w:val="2"/>
        </w:numPr>
        <w:spacing w:after="70" w:line="270"/>
      </w:pPr>
      <w:r>
        <w:rPr>
          <w:color w:val="0B1422"/>
          <w:sz w:val="21"/>
          <w:szCs w:val="21"/>
        </w:rPr>
        <w:t xml:space="preserve">Text and voice (call-style) modes.</w:t>
      </w:r>
    </w:p>
    <w:p>
      <w:pPr>
        <w:pStyle w:val="Heading3"/>
      </w:pPr>
      <w:r>
        <w:t xml:space="preserve">3.7. Scoring &amp; Feedback</w:t>
      </w:r>
    </w:p>
    <w:p>
      <w:pPr>
        <w:spacing w:after="140" w:line="276"/>
      </w:pPr>
      <w:r>
        <w:rPr>
          <w:color w:val="0B1422"/>
          <w:sz w:val="21"/>
          <w:szCs w:val="21"/>
        </w:rPr>
        <w:t xml:space="preserve">After a roleplay, a second pass over the transcript produces a basic score across a few fixed dimensions plus a short coaching summary.</w:t>
      </w:r>
    </w:p>
    <w:p>
      <w:pPr>
        <w:pStyle w:val="ListParagraph"/>
        <w:numPr>
          <w:ilvl w:val="0"/>
          <w:numId w:val="2"/>
        </w:numPr>
        <w:spacing w:after="70" w:line="270"/>
      </w:pPr>
      <w:r>
        <w:rPr>
          <w:color w:val="0B1422"/>
          <w:sz w:val="21"/>
          <w:szCs w:val="21"/>
        </w:rPr>
        <w:t xml:space="preserve">Rubric: product accuracy, objection handling, compliance, confidence &amp; rapport.</w:t>
      </w:r>
    </w:p>
    <w:p>
      <w:pPr>
        <w:pStyle w:val="ListParagraph"/>
        <w:numPr>
          <w:ilvl w:val="0"/>
          <w:numId w:val="2"/>
        </w:numPr>
        <w:spacing w:after="70" w:line="270"/>
      </w:pPr>
      <w:r>
        <w:rPr>
          <w:color w:val="0B1422"/>
          <w:sz w:val="21"/>
          <w:szCs w:val="21"/>
        </w:rPr>
        <w:t xml:space="preserve">Product accuracy scored against the knowledge base, not general knowledge.</w:t>
      </w:r>
    </w:p>
    <w:p>
      <w:pPr>
        <w:pStyle w:val="ListParagraph"/>
        <w:numPr>
          <w:ilvl w:val="0"/>
          <w:numId w:val="2"/>
        </w:numPr>
        <w:spacing w:after="70" w:line="270"/>
      </w:pPr>
      <w:r>
        <w:rPr>
          <w:color w:val="0B1422"/>
          <w:sz w:val="21"/>
          <w:szCs w:val="21"/>
        </w:rPr>
        <w:t xml:space="preserve">Per-rep history and score trend.</w:t>
      </w:r>
    </w:p>
    <w:p>
      <w:pPr>
        <w:pStyle w:val="Heading3"/>
      </w:pPr>
      <w:r>
        <w:t xml:space="preserve">3.8. Admin, Billing &amp; Analytics</w:t>
      </w:r>
    </w:p>
    <w:p>
      <w:pPr>
        <w:spacing w:after="140" w:line="276"/>
      </w:pPr>
      <w:r>
        <w:rPr>
          <w:color w:val="0B1422"/>
          <w:sz w:val="21"/>
          <w:szCs w:val="21"/>
        </w:rPr>
        <w:t xml:space="preserve">The Brand Admin's control surface: dashboard, team &amp; seats, subscription/billing and (in the higher tier) analytics that connect training activity to outcomes.</w:t>
      </w:r>
    </w:p>
    <w:p>
      <w:r>
        <w:br w:type="page"/>
      </w:r>
    </w:p>
    <w:p>
      <w:pPr>
        <w:pStyle w:val="Heading1"/>
      </w:pPr>
      <w:r>
        <w:t xml:space="preserve">4. App flow &amp; workflow</w:t>
      </w:r>
    </w:p>
    <w:p>
      <w:pPr>
        <w:pStyle w:val="Heading2"/>
      </w:pPr>
      <w:r>
        <w:t xml:space="preserve">4.1 Brand onboarding flow</w:t>
      </w:r>
    </w:p>
    <w:p>
      <w:pPr>
        <w:pStyle w:val="ListParagraph"/>
        <w:numPr>
          <w:ilvl w:val="0"/>
          <w:numId w:val="3"/>
        </w:numPr>
        <w:spacing w:after="80" w:line="270"/>
      </w:pPr>
      <w:r>
        <w:rPr>
          <w:color w:val="0B1422"/>
          <w:sz w:val="21"/>
          <w:szCs w:val="21"/>
        </w:rPr>
        <w:t xml:space="preserve">A brand signs up and subscribes (choosing a plan and seat count).</w:t>
      </w:r>
    </w:p>
    <w:p>
      <w:pPr>
        <w:pStyle w:val="ListParagraph"/>
        <w:numPr>
          <w:ilvl w:val="0"/>
          <w:numId w:val="3"/>
        </w:numPr>
        <w:spacing w:after="80" w:line="270"/>
      </w:pPr>
      <w:r>
        <w:rPr>
          <w:color w:val="0B1422"/>
          <w:sz w:val="21"/>
          <w:szCs w:val="21"/>
        </w:rPr>
        <w:t xml:space="preserve">The Brand Admin uploads documents — the system processes them into the secure knowledge base.</w:t>
      </w:r>
    </w:p>
    <w:p>
      <w:pPr>
        <w:pStyle w:val="ListParagraph"/>
        <w:numPr>
          <w:ilvl w:val="0"/>
          <w:numId w:val="3"/>
        </w:numPr>
        <w:spacing w:after="80" w:line="270"/>
      </w:pPr>
      <w:r>
        <w:rPr>
          <w:color w:val="0B1422"/>
          <w:sz w:val="21"/>
          <w:szCs w:val="21"/>
        </w:rPr>
        <w:t xml:space="preserve">The Brand Admin builds one or more personas by selecting traits from Valentina's library.</w:t>
      </w:r>
    </w:p>
    <w:p>
      <w:pPr>
        <w:pStyle w:val="ListParagraph"/>
        <w:numPr>
          <w:ilvl w:val="0"/>
          <w:numId w:val="3"/>
        </w:numPr>
        <w:spacing w:after="80" w:line="270"/>
      </w:pPr>
      <w:r>
        <w:rPr>
          <w:color w:val="0B1422"/>
          <w:sz w:val="21"/>
          <w:szCs w:val="21"/>
        </w:rPr>
        <w:t xml:space="preserve">The Brand Admin invites reps; each invite consumes a seat.</w:t>
      </w:r>
    </w:p>
    <w:p>
      <w:pPr>
        <w:spacing w:after="140" w:line="276"/>
      </w:pPr>
      <w:r>
        <w:rPr>
          <w:i/>
          <w:iCs/>
          <w:color w:val="3F4A57"/>
          <w:sz w:val="21"/>
          <w:szCs w:val="21"/>
        </w:rPr>
        <w:t xml:space="preserve">Flow: Sign up → Choose plan &amp; seats → Upload knowledge → Build persona → Invite reps → Ready.</w:t>
      </w:r>
    </w:p>
    <w:p>
      <w:pPr>
        <w:pStyle w:val="Heading2"/>
      </w:pPr>
      <w:r>
        <w:t xml:space="preserve">4.2 Rep coaching flow</w:t>
      </w:r>
    </w:p>
    <w:p>
      <w:pPr>
        <w:spacing w:after="140" w:line="276"/>
      </w:pPr>
      <w:r>
        <w:rPr>
          <w:color w:val="0B1422"/>
          <w:sz w:val="21"/>
          <w:szCs w:val="21"/>
        </w:rPr>
        <w:t xml:space="preserve">Rep asks a question → the system converts it to a search and retrieves the most relevant passages from that brand's knowledge base → the language model answers using only those passages → the rep sees the answer with its source cited.</w:t>
      </w:r>
    </w:p>
    <w:p>
      <w:pPr>
        <w:pStyle w:val="Heading2"/>
      </w:pPr>
      <w:r>
        <w:t xml:space="preserve">4.3 Rep roleplay flow</w:t>
      </w:r>
    </w:p>
    <w:p>
      <w:pPr>
        <w:spacing w:after="140" w:line="276"/>
      </w:pPr>
      <w:r>
        <w:rPr>
          <w:color w:val="0B1422"/>
          <w:sz w:val="21"/>
          <w:szCs w:val="21"/>
        </w:rPr>
        <w:t xml:space="preserve">Rep selects a persona → reads a short brief → chooses text or voice → holds the conversation, where the persona objects using the brand's real facts through its traits → ends the session → the transcript is saved → a score and feedback are produced.</w:t>
      </w:r>
    </w:p>
    <w:p>
      <w:pPr>
        <w:pStyle w:val="Heading2"/>
      </w:pPr>
      <w:r>
        <w:t xml:space="preserve">4.4 Data &amp; grounding flow (how an answer is produced)</w:t>
      </w:r>
    </w:p>
    <w:p>
      <w:pPr>
        <w:pStyle w:val="ListParagraph"/>
        <w:numPr>
          <w:ilvl w:val="0"/>
          <w:numId w:val="3"/>
        </w:numPr>
        <w:spacing w:after="80" w:line="270"/>
      </w:pPr>
      <w:r>
        <w:rPr>
          <w:color w:val="0B1422"/>
          <w:sz w:val="21"/>
          <w:szCs w:val="21"/>
        </w:rPr>
        <w:t xml:space="preserve">Ingestion — each uploaded document is split into passages, converted into numeric “embeddings”, and stored in a vector database tagged with the brand's identifier.</w:t>
      </w:r>
    </w:p>
    <w:p>
      <w:pPr>
        <w:pStyle w:val="ListParagraph"/>
        <w:numPr>
          <w:ilvl w:val="0"/>
          <w:numId w:val="3"/>
        </w:numPr>
        <w:spacing w:after="80" w:line="270"/>
      </w:pPr>
      <w:r>
        <w:rPr>
          <w:color w:val="0B1422"/>
          <w:sz w:val="21"/>
          <w:szCs w:val="21"/>
        </w:rPr>
        <w:t xml:space="preserve">Retrieval — a rep's question is embedded and matched against that brand's passages only, returning the most relevant few.</w:t>
      </w:r>
    </w:p>
    <w:p>
      <w:pPr>
        <w:pStyle w:val="ListParagraph"/>
        <w:numPr>
          <w:ilvl w:val="0"/>
          <w:numId w:val="3"/>
        </w:numPr>
        <w:spacing w:after="80" w:line="270"/>
      </w:pPr>
      <w:r>
        <w:rPr>
          <w:color w:val="0B1422"/>
          <w:sz w:val="21"/>
          <w:szCs w:val="21"/>
        </w:rPr>
        <w:t xml:space="preserve">Generation — those passages are given to the language model with a strict instruction to answer using only the supplied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EE7" w:sz="1"/>
              <w:left w:val="single" w:color="EF5611" w:sz="18"/>
              <w:bottom w:val="single" w:color="D8DEE7" w:sz="1"/>
              <w:right w:val="single" w:color="D8DEE7" w:sz="1"/>
            </w:tcBorders>
            <w:shd w:fill="F2F4F8" w:val="clear"/>
            <w:tcMar>
              <w:top w:type="dxa" w:w="140"/>
              <w:left w:type="dxa" w:w="180"/>
              <w:bottom w:type="dxa" w:w="140"/>
              <w:right w:type="dxa" w:w="160"/>
            </w:tcMar>
          </w:tcPr>
          <w:p>
            <w:pPr>
              <w:spacing w:after="0" w:line="264"/>
            </w:pPr>
            <w:r>
              <w:rPr>
                <w:b/>
                <w:bCs/>
                <w:color w:val="16263F"/>
                <w:sz w:val="20"/>
                <w:szCs w:val="20"/>
              </w:rPr>
              <w:t xml:space="preserve">Isolation is enforced twice </w:t>
            </w:r>
            <w:r>
              <w:rPr>
                <w:color w:val="0B1422"/>
                <w:sz w:val="20"/>
                <w:szCs w:val="20"/>
              </w:rPr>
              <w:t xml:space="preserve">— at retrieval (the brand filter) and at generation (the “only use this context” instruction). The model never sees the whole database, only the handful of passages retrieved for that brand and that question. This is what makes the platform compliance-safe and resistant to making things up.</w:t>
            </w:r>
          </w:p>
        </w:tc>
      </w:tr>
    </w:tbl>
    <w:p>
      <w:r>
        <w:br w:type="page"/>
      </w:r>
    </w:p>
    <w:p>
      <w:pPr>
        <w:pStyle w:val="Heading1"/>
      </w:pPr>
      <w:r>
        <w:t xml:space="preserve">5. Technical architecture &amp; dependencies</w:t>
      </w:r>
    </w:p>
    <w:p>
      <w:pPr>
        <w:spacing w:after="140" w:line="276"/>
      </w:pPr>
      <w:r>
        <w:rPr>
          <w:color w:val="0B1422"/>
          <w:sz w:val="21"/>
          <w:szCs w:val="21"/>
        </w:rPr>
        <w:t xml:space="preserve">The platform is a standard multi-tenant retrieval-augmented generation (RAG) application — well-understood, proven technology, not research-grade work. It is organised in four layers:</w:t>
      </w:r>
    </w:p>
    <w:p>
      <w:pPr>
        <w:pStyle w:val="ListParagraph"/>
        <w:numPr>
          <w:ilvl w:val="0"/>
          <w:numId w:val="2"/>
        </w:numPr>
        <w:spacing w:after="70" w:line="270"/>
      </w:pPr>
      <w:r>
        <w:rPr>
          <w:b/>
          <w:bCs/>
          <w:color w:val="16263F"/>
          <w:sz w:val="21"/>
          <w:szCs w:val="21"/>
        </w:rPr>
        <w:t xml:space="preserve">Tenancy layer — </w:t>
      </w:r>
      <w:r>
        <w:rPr>
          <w:color w:val="0B1422"/>
          <w:sz w:val="21"/>
          <w:szCs w:val="21"/>
        </w:rPr>
        <w:t xml:space="preserve">Owner / Brand / Rep, with strict per-brand data isolation.</w:t>
      </w:r>
    </w:p>
    <w:p>
      <w:pPr>
        <w:pStyle w:val="ListParagraph"/>
        <w:numPr>
          <w:ilvl w:val="0"/>
          <w:numId w:val="2"/>
        </w:numPr>
        <w:spacing w:after="70" w:line="270"/>
      </w:pPr>
      <w:r>
        <w:rPr>
          <w:b/>
          <w:bCs/>
          <w:color w:val="16263F"/>
          <w:sz w:val="21"/>
          <w:szCs w:val="21"/>
        </w:rPr>
        <w:t xml:space="preserve">Knowledge layer — </w:t>
      </w:r>
      <w:r>
        <w:rPr>
          <w:color w:val="0B1422"/>
          <w:sz w:val="21"/>
          <w:szCs w:val="21"/>
        </w:rPr>
        <w:t xml:space="preserve">document ingestion, embeddings and a vector database, every record tagged by brand.</w:t>
      </w:r>
    </w:p>
    <w:p>
      <w:pPr>
        <w:pStyle w:val="ListParagraph"/>
        <w:numPr>
          <w:ilvl w:val="0"/>
          <w:numId w:val="2"/>
        </w:numPr>
        <w:spacing w:after="70" w:line="270"/>
      </w:pPr>
      <w:r>
        <w:rPr>
          <w:b/>
          <w:bCs/>
          <w:color w:val="16263F"/>
          <w:sz w:val="21"/>
          <w:szCs w:val="21"/>
        </w:rPr>
        <w:t xml:space="preserve">AI layer — </w:t>
      </w:r>
      <w:r>
        <w:rPr>
          <w:color w:val="0B1422"/>
          <w:sz w:val="21"/>
          <w:szCs w:val="21"/>
        </w:rPr>
        <w:t xml:space="preserve">one engine, two modes (grounded coaching and in-character roleplay), plus transcript scoring.</w:t>
      </w:r>
    </w:p>
    <w:p>
      <w:pPr>
        <w:pStyle w:val="ListParagraph"/>
        <w:numPr>
          <w:ilvl w:val="0"/>
          <w:numId w:val="2"/>
        </w:numPr>
        <w:spacing w:after="70" w:line="270"/>
      </w:pPr>
      <w:r>
        <w:rPr>
          <w:b/>
          <w:bCs/>
          <w:color w:val="16263F"/>
          <w:sz w:val="21"/>
          <w:szCs w:val="21"/>
        </w:rPr>
        <w:t xml:space="preserve">Application layer — </w:t>
      </w:r>
      <w:r>
        <w:rPr>
          <w:color w:val="0B1422"/>
          <w:sz w:val="21"/>
          <w:szCs w:val="21"/>
        </w:rPr>
        <w:t xml:space="preserve">the admin and rep web interfaces, billing and analytics.</w:t>
      </w:r>
    </w:p>
    <w:p>
      <w:pPr>
        <w:pStyle w:val="Heading2"/>
      </w:pPr>
      <w:r>
        <w:t xml:space="preserve">Third-party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Layer</w:t>
            </w:r>
          </w:p>
        </w:tc>
        <w:tc>
          <w:tcPr>
            <w:tcW w:type="dxa" w:w="636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Approach / dependency</w:t>
            </w:r>
          </w:p>
        </w:tc>
      </w:tr>
      <w:tr>
        <w:tc>
          <w:tcPr>
            <w:tcW w:type="dxa" w:w="30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Language model</w:t>
            </w:r>
          </w:p>
        </w:tc>
        <w:tc>
          <w:tcPr>
            <w:tcW w:type="dxa" w:w="63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Claude (Anthropic) for coaching, roleplay and scoring</w:t>
            </w:r>
          </w:p>
        </w:tc>
      </w:tr>
      <w:tr>
        <w:tc>
          <w:tcPr>
            <w:tcW w:type="dxa" w:w="30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Embeddings + vector database</w:t>
            </w:r>
          </w:p>
        </w:tc>
        <w:tc>
          <w:tcPr>
            <w:tcW w:type="dxa" w:w="636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A managed embeddings provider + pgvector or Pinecone for retrieval</w:t>
            </w:r>
          </w:p>
        </w:tc>
      </w:tr>
      <w:tr>
        <w:tc>
          <w:tcPr>
            <w:tcW w:type="dxa" w:w="30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Voice (text-to-speech / speech-to-text)</w:t>
            </w:r>
          </w:p>
        </w:tc>
        <w:tc>
          <w:tcPr>
            <w:tcW w:type="dxa" w:w="63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A provider with Greek support (e.g. ElevenLabs / Azure Speech / Deepgram)</w:t>
            </w:r>
          </w:p>
        </w:tc>
      </w:tr>
      <w:tr>
        <w:tc>
          <w:tcPr>
            <w:tcW w:type="dxa" w:w="30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Authentication</w:t>
            </w:r>
          </w:p>
        </w:tc>
        <w:tc>
          <w:tcPr>
            <w:tcW w:type="dxa" w:w="636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An off-the-shelf provider (Clerk / Auth0 / Supabase) — not custom-built</w:t>
            </w:r>
          </w:p>
        </w:tc>
      </w:tr>
      <w:tr>
        <w:tc>
          <w:tcPr>
            <w:tcW w:type="dxa" w:w="30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Database &amp; file storage</w:t>
            </w:r>
          </w:p>
        </w:tc>
        <w:tc>
          <w:tcPr>
            <w:tcW w:type="dxa" w:w="63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Postgres + object storage for documents and transcripts</w:t>
            </w:r>
          </w:p>
        </w:tc>
      </w:tr>
      <w:tr>
        <w:tc>
          <w:tcPr>
            <w:tcW w:type="dxa" w:w="30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Billing</w:t>
            </w:r>
          </w:p>
        </w:tc>
        <w:tc>
          <w:tcPr>
            <w:tcW w:type="dxa" w:w="636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Stripe — seat-based subscriptions with usage metering</w:t>
            </w:r>
          </w:p>
        </w:tc>
      </w:tr>
      <w:tr>
        <w:tc>
          <w:tcPr>
            <w:tcW w:type="dxa" w:w="30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Hosting</w:t>
            </w:r>
          </w:p>
        </w:tc>
        <w:tc>
          <w:tcPr>
            <w:tcW w:type="dxa" w:w="63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EU region, for GDPR alignment</w:t>
            </w:r>
          </w:p>
        </w:tc>
      </w:tr>
    </w:tbl>
    <w:p>
      <w:pPr>
        <w:spacing w:after="120"/>
      </w:pPr>
    </w:p>
    <w:p>
      <w:pPr>
        <w:spacing w:after="140" w:line="276"/>
      </w:pPr>
      <w:r>
        <w:rPr>
          <w:i/>
          <w:iCs/>
          <w:color w:val="3F4A57"/>
          <w:sz w:val="21"/>
          <w:szCs w:val="21"/>
        </w:rPr>
        <w:t xml:space="preserve">The one dependency worth validating early is Greek voice quality — speech quality varies by provider. Everything else is standard.</w:t>
      </w:r>
    </w:p>
    <w:p>
      <w:r>
        <w:br w:type="page"/>
      </w:r>
    </w:p>
    <w:p>
      <w:pPr>
        <w:pStyle w:val="Heading1"/>
      </w:pPr>
      <w:r>
        <w:t xml:space="preserve">6. Scope of work</w:t>
      </w:r>
    </w:p>
    <w:p>
      <w:pPr>
        <w:pStyle w:val="Heading2"/>
      </w:pPr>
      <w:r>
        <w:t xml:space="preserve">6.1 In scope (Phase 1)</w:t>
      </w:r>
    </w:p>
    <w:p>
      <w:pPr>
        <w:pStyle w:val="ListParagraph"/>
        <w:numPr>
          <w:ilvl w:val="0"/>
          <w:numId w:val="2"/>
        </w:numPr>
        <w:spacing w:after="70" w:line="270"/>
      </w:pPr>
      <w:r>
        <w:rPr>
          <w:color w:val="0B1422"/>
          <w:sz w:val="21"/>
          <w:szCs w:val="21"/>
        </w:rPr>
        <w:t xml:space="preserve">Multi-tenant platform: Owner → Brand → Rep, with secure per-brand knowledge bases.</w:t>
      </w:r>
    </w:p>
    <w:p>
      <w:pPr>
        <w:pStyle w:val="ListParagraph"/>
        <w:numPr>
          <w:ilvl w:val="0"/>
          <w:numId w:val="2"/>
        </w:numPr>
        <w:spacing w:after="70" w:line="270"/>
      </w:pPr>
      <w:r>
        <w:rPr>
          <w:color w:val="0B1422"/>
          <w:sz w:val="21"/>
          <w:szCs w:val="21"/>
        </w:rPr>
        <w:t xml:space="preserve">AI Guided Coaching — grounded question-and-answer with source citations.</w:t>
      </w:r>
    </w:p>
    <w:p>
      <w:pPr>
        <w:pStyle w:val="ListParagraph"/>
        <w:numPr>
          <w:ilvl w:val="0"/>
          <w:numId w:val="2"/>
        </w:numPr>
        <w:spacing w:after="70" w:line="270"/>
      </w:pPr>
      <w:r>
        <w:rPr>
          <w:color w:val="0B1422"/>
          <w:sz w:val="21"/>
          <w:szCs w:val="21"/>
        </w:rPr>
        <w:t xml:space="preserve">AI Roleplay — personas built from Valentina's trait library, drawing on the brand's knowledge base.</w:t>
      </w:r>
    </w:p>
    <w:p>
      <w:pPr>
        <w:pStyle w:val="ListParagraph"/>
        <w:numPr>
          <w:ilvl w:val="0"/>
          <w:numId w:val="2"/>
        </w:numPr>
        <w:spacing w:after="70" w:line="270"/>
      </w:pPr>
      <w:r>
        <w:rPr>
          <w:color w:val="0B1422"/>
          <w:sz w:val="21"/>
          <w:szCs w:val="21"/>
        </w:rPr>
        <w:t xml:space="preserve">Text chat, in English and Greek; full transcripts of every roleplay.</w:t>
      </w:r>
    </w:p>
    <w:p>
      <w:pPr>
        <w:pStyle w:val="ListParagraph"/>
        <w:numPr>
          <w:ilvl w:val="0"/>
          <w:numId w:val="2"/>
        </w:numPr>
        <w:spacing w:after="70" w:line="270"/>
      </w:pPr>
      <w:r>
        <w:rPr>
          <w:color w:val="0B1422"/>
          <w:sz w:val="21"/>
          <w:szCs w:val="21"/>
        </w:rPr>
        <w:t xml:space="preserve">Voice mode and roleplay scoring/feedback (included from the mid tier upward — see Commercials).</w:t>
      </w:r>
    </w:p>
    <w:p>
      <w:pPr>
        <w:pStyle w:val="ListParagraph"/>
        <w:numPr>
          <w:ilvl w:val="0"/>
          <w:numId w:val="2"/>
        </w:numPr>
        <w:spacing w:after="70" w:line="270"/>
      </w:pPr>
      <w:r>
        <w:rPr>
          <w:color w:val="0B1422"/>
          <w:sz w:val="21"/>
          <w:szCs w:val="21"/>
        </w:rPr>
        <w:t xml:space="preserve">Admin workspace (dashboard, knowledge base, persona builder, team &amp; seats, settings) and rep workspace.</w:t>
      </w:r>
    </w:p>
    <w:p>
      <w:pPr>
        <w:pStyle w:val="ListParagraph"/>
        <w:numPr>
          <w:ilvl w:val="0"/>
          <w:numId w:val="2"/>
        </w:numPr>
        <w:spacing w:after="70" w:line="270"/>
      </w:pPr>
      <w:r>
        <w:rPr>
          <w:color w:val="0B1422"/>
          <w:sz w:val="21"/>
          <w:szCs w:val="21"/>
        </w:rPr>
        <w:t xml:space="preserve">Billing and analytics (included in the top tier — see Commercials).</w:t>
      </w:r>
    </w:p>
    <w:p>
      <w:pPr>
        <w:pStyle w:val="Heading2"/>
      </w:pPr>
      <w:r>
        <w:t xml:space="preserve">6.2 Deliverables</w:t>
      </w:r>
    </w:p>
    <w:p>
      <w:pPr>
        <w:pStyle w:val="ListParagraph"/>
        <w:numPr>
          <w:ilvl w:val="0"/>
          <w:numId w:val="2"/>
        </w:numPr>
        <w:spacing w:after="70" w:line="270"/>
      </w:pPr>
      <w:r>
        <w:rPr>
          <w:color w:val="0B1422"/>
          <w:sz w:val="21"/>
          <w:szCs w:val="21"/>
        </w:rPr>
        <w:t xml:space="preserve">The working web application (admin + rep), deployed to an EU-region environment.</w:t>
      </w:r>
    </w:p>
    <w:p>
      <w:pPr>
        <w:pStyle w:val="ListParagraph"/>
        <w:numPr>
          <w:ilvl w:val="0"/>
          <w:numId w:val="2"/>
        </w:numPr>
        <w:spacing w:after="70" w:line="270"/>
      </w:pPr>
      <w:r>
        <w:rPr>
          <w:color w:val="0B1422"/>
          <w:sz w:val="21"/>
          <w:szCs w:val="21"/>
        </w:rPr>
        <w:t xml:space="preserve">The clickable prototype already produced (a faithful preview of the full product).</w:t>
      </w:r>
    </w:p>
    <w:p>
      <w:pPr>
        <w:pStyle w:val="ListParagraph"/>
        <w:numPr>
          <w:ilvl w:val="0"/>
          <w:numId w:val="2"/>
        </w:numPr>
        <w:spacing w:after="70" w:line="270"/>
      </w:pPr>
      <w:r>
        <w:rPr>
          <w:color w:val="0B1422"/>
          <w:sz w:val="21"/>
          <w:szCs w:val="21"/>
        </w:rPr>
        <w:t xml:space="preserve">A screen-by-screen UI design document (already produced).</w:t>
      </w:r>
    </w:p>
    <w:p>
      <w:pPr>
        <w:pStyle w:val="ListParagraph"/>
        <w:numPr>
          <w:ilvl w:val="0"/>
          <w:numId w:val="2"/>
        </w:numPr>
        <w:spacing w:after="70" w:line="270"/>
      </w:pPr>
      <w:r>
        <w:rPr>
          <w:color w:val="0B1422"/>
          <w:sz w:val="21"/>
          <w:szCs w:val="21"/>
        </w:rPr>
        <w:t xml:space="preserve">Handover and basic documentation.</w:t>
      </w:r>
    </w:p>
    <w:p>
      <w:pPr>
        <w:pStyle w:val="Heading2"/>
      </w:pPr>
      <w:r>
        <w:t xml:space="preserve">6.3 Indicative build sequence</w:t>
      </w:r>
    </w:p>
    <w:p>
      <w:pPr>
        <w:pStyle w:val="ListParagraph"/>
        <w:numPr>
          <w:ilvl w:val="0"/>
          <w:numId w:val="3"/>
        </w:numPr>
        <w:spacing w:after="80" w:line="270"/>
      </w:pPr>
      <w:r>
        <w:rPr>
          <w:color w:val="0B1422"/>
          <w:sz w:val="21"/>
          <w:szCs w:val="21"/>
        </w:rPr>
        <w:t xml:space="preserve">Accounts, roles and the application shell.</w:t>
      </w:r>
    </w:p>
    <w:p>
      <w:pPr>
        <w:pStyle w:val="ListParagraph"/>
        <w:numPr>
          <w:ilvl w:val="0"/>
          <w:numId w:val="3"/>
        </w:numPr>
        <w:spacing w:after="80" w:line="270"/>
      </w:pPr>
      <w:r>
        <w:rPr>
          <w:color w:val="0B1422"/>
          <w:sz w:val="21"/>
          <w:szCs w:val="21"/>
        </w:rPr>
        <w:t xml:space="preserve">Knowledge base and the retrieval engine.</w:t>
      </w:r>
    </w:p>
    <w:p>
      <w:pPr>
        <w:pStyle w:val="ListParagraph"/>
        <w:numPr>
          <w:ilvl w:val="0"/>
          <w:numId w:val="3"/>
        </w:numPr>
        <w:spacing w:after="80" w:line="270"/>
      </w:pPr>
      <w:r>
        <w:rPr>
          <w:color w:val="0B1422"/>
          <w:sz w:val="21"/>
          <w:szCs w:val="21"/>
        </w:rPr>
        <w:t xml:space="preserve">AI Guided Coaching.</w:t>
      </w:r>
    </w:p>
    <w:p>
      <w:pPr>
        <w:pStyle w:val="ListParagraph"/>
        <w:numPr>
          <w:ilvl w:val="0"/>
          <w:numId w:val="3"/>
        </w:numPr>
        <w:spacing w:after="80" w:line="270"/>
      </w:pPr>
      <w:r>
        <w:rPr>
          <w:color w:val="0B1422"/>
          <w:sz w:val="21"/>
          <w:szCs w:val="21"/>
        </w:rPr>
        <w:t xml:space="preserve">Persona builder and AI Roleplay (with transcripts).</w:t>
      </w:r>
    </w:p>
    <w:p>
      <w:pPr>
        <w:pStyle w:val="ListParagraph"/>
        <w:numPr>
          <w:ilvl w:val="0"/>
          <w:numId w:val="3"/>
        </w:numPr>
        <w:spacing w:after="80" w:line="270"/>
      </w:pPr>
      <w:r>
        <w:rPr>
          <w:color w:val="0B1422"/>
          <w:sz w:val="21"/>
          <w:szCs w:val="21"/>
        </w:rPr>
        <w:t xml:space="preserve">Team &amp; seats and onboarding.</w:t>
      </w:r>
    </w:p>
    <w:p>
      <w:pPr>
        <w:pStyle w:val="ListParagraph"/>
        <w:numPr>
          <w:ilvl w:val="0"/>
          <w:numId w:val="3"/>
        </w:numPr>
        <w:spacing w:after="80" w:line="270"/>
      </w:pPr>
      <w:r>
        <w:rPr>
          <w:color w:val="0B1422"/>
          <w:sz w:val="21"/>
          <w:szCs w:val="21"/>
        </w:rPr>
        <w:t xml:space="preserve">Scoring, then voice (mid tier); then billing and analytics (top tier).</w:t>
      </w:r>
    </w:p>
    <w:p>
      <w:pPr>
        <w:pStyle w:val="Heading2"/>
      </w:pPr>
      <w:r>
        <w:t xml:space="preserve">6.4 Not included in Phase 1</w:t>
      </w:r>
    </w:p>
    <w:p>
      <w:pPr>
        <w:pStyle w:val="ListParagraph"/>
        <w:numPr>
          <w:ilvl w:val="0"/>
          <w:numId w:val="2"/>
        </w:numPr>
        <w:spacing w:after="70" w:line="270"/>
      </w:pPr>
      <w:r>
        <w:rPr>
          <w:color w:val="0B1422"/>
          <w:sz w:val="21"/>
          <w:szCs w:val="21"/>
        </w:rPr>
        <w:t xml:space="preserve">Photorealistic video avatars and facial / emotion analysis (a later phase).</w:t>
      </w:r>
    </w:p>
    <w:p>
      <w:pPr>
        <w:pStyle w:val="ListParagraph"/>
        <w:numPr>
          <w:ilvl w:val="0"/>
          <w:numId w:val="2"/>
        </w:numPr>
        <w:spacing w:after="70" w:line="270"/>
      </w:pPr>
      <w:r>
        <w:rPr>
          <w:color w:val="0B1422"/>
          <w:sz w:val="21"/>
          <w:szCs w:val="21"/>
        </w:rPr>
        <w:t xml:space="preserve">Native mobile apps (the web app is responsive).</w:t>
      </w:r>
    </w:p>
    <w:p>
      <w:pPr>
        <w:pStyle w:val="ListParagraph"/>
        <w:numPr>
          <w:ilvl w:val="0"/>
          <w:numId w:val="2"/>
        </w:numPr>
        <w:spacing w:after="70" w:line="270"/>
      </w:pPr>
      <w:r>
        <w:rPr>
          <w:color w:val="0B1422"/>
          <w:sz w:val="21"/>
          <w:szCs w:val="21"/>
        </w:rPr>
        <w:t xml:space="preserve">CRM / LMS integrations and SSO beyond what the top tier specifies.</w:t>
      </w:r>
    </w:p>
    <w:p>
      <w:r>
        <w:br w:type="page"/>
      </w:r>
    </w:p>
    <w:p>
      <w:pPr>
        <w:pStyle w:val="Heading1"/>
      </w:pPr>
      <w:r>
        <w:t xml:space="preserve">7. User experience &amp; prototype</w:t>
      </w:r>
    </w:p>
    <w:p>
      <w:pPr>
        <w:spacing w:after="140" w:line="276"/>
      </w:pPr>
      <w:r>
        <w:rPr>
          <w:color w:val="0B1422"/>
          <w:sz w:val="21"/>
          <w:szCs w:val="21"/>
        </w:rPr>
        <w:t xml:space="preserve">A complete screen-by-screen UI design has been produced, and a fully interactive, clickable prototype of the entire platform has been built — the public marketing site, the Brand Admin workspace, and the Medical Rep workspace, including both AI interfaces (with simulated data). It is a faithful preview of look, feel and flow that Valentina can demonstrate to prospective brands before production begins.</w:t>
      </w:r>
    </w:p>
    <w:p>
      <w:pPr>
        <w:pStyle w:val="Heading2"/>
      </w:pPr>
      <w:r>
        <w:t xml:space="preserve">What the prototype demonstrates</w:t>
      </w:r>
    </w:p>
    <w:p>
      <w:pPr>
        <w:pStyle w:val="ListParagraph"/>
        <w:numPr>
          <w:ilvl w:val="0"/>
          <w:numId w:val="2"/>
        </w:numPr>
        <w:spacing w:after="70" w:line="270"/>
      </w:pPr>
      <w:r>
        <w:rPr>
          <w:color w:val="0B1422"/>
          <w:sz w:val="21"/>
          <w:szCs w:val="21"/>
        </w:rPr>
        <w:t xml:space="preserve">Admin: dashboard, knowledge-base upload (with processing states), persona builder with live preview, team &amp; seats, analytics, billing, settings.</w:t>
      </w:r>
    </w:p>
    <w:p>
      <w:pPr>
        <w:pStyle w:val="ListParagraph"/>
        <w:numPr>
          <w:ilvl w:val="0"/>
          <w:numId w:val="2"/>
        </w:numPr>
        <w:spacing w:after="70" w:line="270"/>
      </w:pPr>
      <w:r>
        <w:rPr>
          <w:color w:val="0B1422"/>
          <w:sz w:val="21"/>
          <w:szCs w:val="21"/>
        </w:rPr>
        <w:t xml:space="preserve">Rep: home, AI Coach (grounded answers with citations), persona selection, live text and voice roleplay, scoring &amp; feedback, history.</w:t>
      </w:r>
    </w:p>
    <w:p>
      <w:pPr>
        <w:pStyle w:val="ListParagraph"/>
        <w:numPr>
          <w:ilvl w:val="0"/>
          <w:numId w:val="2"/>
        </w:numPr>
        <w:spacing w:after="70" w:line="270"/>
      </w:pPr>
      <w:r>
        <w:rPr>
          <w:color w:val="0B1422"/>
          <w:sz w:val="21"/>
          <w:szCs w:val="21"/>
        </w:rPr>
        <w:t xml:space="preserve">Cross-cutting: English/Greek toggle, per-brand isolation cues, and flags showing which features belong to which build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EE7" w:sz="1"/>
              <w:left w:val="single" w:color="16263F" w:sz="18"/>
              <w:bottom w:val="single" w:color="D8DEE7" w:sz="1"/>
              <w:right w:val="single" w:color="D8DEE7" w:sz="1"/>
            </w:tcBorders>
            <w:shd w:fill="FAF8F3" w:val="clear"/>
            <w:tcMar>
              <w:top w:type="dxa" w:w="140"/>
              <w:left w:type="dxa" w:w="180"/>
              <w:bottom w:type="dxa" w:w="140"/>
              <w:right w:type="dxa" w:w="160"/>
            </w:tcMar>
          </w:tcPr>
          <w:p>
            <w:pPr>
              <w:spacing w:after="0" w:line="264"/>
            </w:pPr>
            <w:r>
              <w:rPr>
                <w:b/>
                <w:bCs/>
                <w:color w:val="16263F"/>
                <w:sz w:val="20"/>
                <w:szCs w:val="20"/>
              </w:rPr>
              <w:t xml:space="preserve">Design language. </w:t>
            </w:r>
            <w:r>
              <w:rPr>
                <w:color w:val="0B1422"/>
                <w:sz w:val="20"/>
                <w:szCs w:val="20"/>
              </w:rPr>
              <w:t xml:space="preserve">Built around Valentina's brand colours (deep navy and orange on warm neutrals), with a clean icon system and an editorial serif for headings — professional, on-brand and approachable.</w:t>
            </w:r>
          </w:p>
        </w:tc>
      </w:tr>
    </w:tbl>
    <w:p>
      <w:r>
        <w:br w:type="page"/>
      </w:r>
    </w:p>
    <w:p>
      <w:pPr>
        <w:pStyle w:val="Heading1"/>
      </w:pPr>
      <w:r>
        <w:t xml:space="preserve">8. Market research, viability &amp; revenue</w:t>
      </w:r>
    </w:p>
    <w:p>
      <w:pPr>
        <w:pStyle w:val="Heading2"/>
      </w:pPr>
      <w:r>
        <w:t xml:space="preserve">Market</w:t>
      </w:r>
    </w:p>
    <w:p>
      <w:pPr>
        <w:spacing w:after="140" w:line="276"/>
      </w:pPr>
      <w:r>
        <w:rPr>
          <w:color w:val="0B1422"/>
          <w:sz w:val="21"/>
          <w:szCs w:val="21"/>
        </w:rPr>
        <w:t xml:space="preserve">AI-driven sales coaching and role-play is a fast-growing category. Enterprise platforms (e.g. Retorio) have proven the model in pharma — more practice per rep, faster ramp-up, and measurable lifts in product knowledge and sales performance — but they are priced and built for large organisations. Meanwhile, pharma faces declining face-to-face access to healthcare professionals, putting a premium on reps who are sharp and well-prepared. This leaves a clear, under-served gap: small and mid-sized pharma brands and distributors, and the Greek / EU market specifically.</w:t>
      </w:r>
    </w:p>
    <w:p>
      <w:pPr>
        <w:pStyle w:val="Heading2"/>
      </w:pPr>
      <w:r>
        <w:t xml:space="preserve">Viability</w:t>
      </w:r>
    </w:p>
    <w:p>
      <w:pPr>
        <w:pStyle w:val="ListParagraph"/>
        <w:numPr>
          <w:ilvl w:val="0"/>
          <w:numId w:val="2"/>
        </w:numPr>
        <w:spacing w:after="70" w:line="270"/>
      </w:pPr>
      <w:r>
        <w:rPr>
          <w:b/>
          <w:bCs/>
          <w:color w:val="16263F"/>
          <w:sz w:val="21"/>
          <w:szCs w:val="21"/>
        </w:rPr>
        <w:t xml:space="preserve">Low to build, standard technology — </w:t>
      </w:r>
      <w:r>
        <w:rPr>
          <w:color w:val="0B1422"/>
          <w:sz w:val="21"/>
          <w:szCs w:val="21"/>
        </w:rPr>
        <w:t xml:space="preserve">no research risk; a focused Phase 1.</w:t>
      </w:r>
    </w:p>
    <w:p>
      <w:pPr>
        <w:pStyle w:val="ListParagraph"/>
        <w:numPr>
          <w:ilvl w:val="0"/>
          <w:numId w:val="2"/>
        </w:numPr>
        <w:spacing w:after="70" w:line="270"/>
      </w:pPr>
      <w:r>
        <w:rPr>
          <w:b/>
          <w:bCs/>
          <w:color w:val="16263F"/>
          <w:sz w:val="21"/>
          <w:szCs w:val="21"/>
        </w:rPr>
        <w:t xml:space="preserve">Recurring SaaS revenue </w:t>
      </w:r>
      <w:r>
        <w:rPr>
          <w:color w:val="0B1422"/>
          <w:sz w:val="21"/>
          <w:szCs w:val="21"/>
        </w:rPr>
        <w:t xml:space="preserve">with healthy gross margins (running costs are a single-digit percentage of plan revenue — see Section 10).</w:t>
      </w:r>
    </w:p>
    <w:p>
      <w:pPr>
        <w:pStyle w:val="ListParagraph"/>
        <w:numPr>
          <w:ilvl w:val="0"/>
          <w:numId w:val="2"/>
        </w:numPr>
        <w:spacing w:after="70" w:line="270"/>
      </w:pPr>
      <w:r>
        <w:rPr>
          <w:b/>
          <w:bCs/>
          <w:color w:val="16263F"/>
          <w:sz w:val="21"/>
          <w:szCs w:val="21"/>
        </w:rPr>
        <w:t xml:space="preserve">Defensible differentiation </w:t>
      </w:r>
      <w:r>
        <w:rPr>
          <w:color w:val="0B1422"/>
          <w:sz w:val="21"/>
          <w:szCs w:val="21"/>
        </w:rPr>
        <w:t xml:space="preserve">through the personality-trait library and Greek-language support.</w:t>
      </w:r>
    </w:p>
    <w:p>
      <w:pPr>
        <w:pStyle w:val="Heading2"/>
      </w:pPr>
      <w:r>
        <w:t xml:space="preserve">Revenue streams</w:t>
      </w:r>
    </w:p>
    <w:p>
      <w:pPr>
        <w:pStyle w:val="ListParagraph"/>
        <w:numPr>
          <w:ilvl w:val="0"/>
          <w:numId w:val="2"/>
        </w:numPr>
        <w:spacing w:after="70" w:line="270"/>
      </w:pPr>
      <w:r>
        <w:rPr>
          <w:color w:val="0B1422"/>
          <w:sz w:val="21"/>
          <w:szCs w:val="21"/>
        </w:rPr>
        <w:t xml:space="preserve">Per-seat subscriptions (the primary, recurring stream).</w:t>
      </w:r>
    </w:p>
    <w:p>
      <w:pPr>
        <w:pStyle w:val="ListParagraph"/>
        <w:numPr>
          <w:ilvl w:val="0"/>
          <w:numId w:val="2"/>
        </w:numPr>
        <w:spacing w:after="70" w:line="270"/>
      </w:pPr>
      <w:r>
        <w:rPr>
          <w:color w:val="0B1422"/>
          <w:sz w:val="21"/>
          <w:szCs w:val="21"/>
        </w:rPr>
        <w:t xml:space="preserve">One-time onboarding fees per brand.</w:t>
      </w:r>
    </w:p>
    <w:p>
      <w:pPr>
        <w:pStyle w:val="ListParagraph"/>
        <w:numPr>
          <w:ilvl w:val="0"/>
          <w:numId w:val="2"/>
        </w:numPr>
        <w:spacing w:after="70" w:line="270"/>
      </w:pPr>
      <w:r>
        <w:rPr>
          <w:color w:val="0B1422"/>
          <w:sz w:val="21"/>
          <w:szCs w:val="21"/>
        </w:rPr>
        <w:t xml:space="preserve">Future add-ons: voice, analytics, and Phase-2 video avatars.</w:t>
      </w:r>
    </w:p>
    <w:p>
      <w:pPr>
        <w:pStyle w:val="ListParagraph"/>
        <w:numPr>
          <w:ilvl w:val="0"/>
          <w:numId w:val="2"/>
        </w:numPr>
        <w:spacing w:after="70" w:line="270"/>
      </w:pPr>
      <w:r>
        <w:rPr>
          <w:color w:val="0B1422"/>
          <w:sz w:val="21"/>
          <w:szCs w:val="21"/>
        </w:rPr>
        <w:t xml:space="preserve">Potential premium content / trait-library packages.</w:t>
      </w:r>
    </w:p>
    <w:p>
      <w:pPr>
        <w:pStyle w:val="Heading2"/>
      </w:pPr>
      <w:r>
        <w:t xml:space="preserve">Illustrative revenue projection</w:t>
      </w:r>
    </w:p>
    <w:p>
      <w:pPr>
        <w:spacing w:after="140" w:line="276"/>
      </w:pPr>
      <w:r>
        <w:rPr>
          <w:color w:val="3F4A57"/>
          <w:sz w:val="21"/>
          <w:szCs w:val="21"/>
        </w:rPr>
        <w:t xml:space="preserve">Conservative scenario, blending plan tiers (numbers are illustrative, not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130"/>
        <w:gridCol w:w="2130"/>
      </w:tblGrid>
      <w:tr>
        <w:trPr>
          <w:tblHeader/>
        </w:trPr>
        <w:tc>
          <w:tcPr>
            <w:tcW w:type="dxa" w:w="27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Milestone</w:t>
            </w:r>
          </w:p>
        </w:tc>
        <w:tc>
          <w:tcPr>
            <w:tcW w:type="dxa" w:w="24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Active brands</w:t>
            </w:r>
          </w:p>
        </w:tc>
        <w:tc>
          <w:tcPr>
            <w:tcW w:type="dxa" w:w="213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Approx. MRR</w:t>
            </w:r>
          </w:p>
        </w:tc>
        <w:tc>
          <w:tcPr>
            <w:tcW w:type="dxa" w:w="213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Approx. ARR</w:t>
            </w:r>
          </w:p>
        </w:tc>
      </w:tr>
      <w:tr>
        <w:tc>
          <w:tcPr>
            <w:tcW w:type="dxa" w:w="27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End of Year 1</w:t>
            </w:r>
          </w:p>
        </w:tc>
        <w:tc>
          <w:tcPr>
            <w:tcW w:type="dxa" w:w="24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6 (mixed plans)</w:t>
            </w:r>
          </w:p>
        </w:tc>
        <w:tc>
          <w:tcPr>
            <w:tcW w:type="dxa" w:w="213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€4,000</w:t>
            </w:r>
          </w:p>
        </w:tc>
        <w:tc>
          <w:tcPr>
            <w:tcW w:type="dxa" w:w="213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€48,000</w:t>
            </w:r>
          </w:p>
        </w:tc>
      </w:tr>
      <w:tr>
        <w:tc>
          <w:tcPr>
            <w:tcW w:type="dxa" w:w="27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End of Year 2</w:t>
            </w:r>
          </w:p>
        </w:tc>
        <w:tc>
          <w:tcPr>
            <w:tcW w:type="dxa" w:w="24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20</w:t>
            </w:r>
          </w:p>
        </w:tc>
        <w:tc>
          <w:tcPr>
            <w:tcW w:type="dxa" w:w="213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€14,000</w:t>
            </w:r>
          </w:p>
        </w:tc>
        <w:tc>
          <w:tcPr>
            <w:tcW w:type="dxa" w:w="213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€168,000</w:t>
            </w:r>
          </w:p>
        </w:tc>
      </w:tr>
      <w:tr>
        <w:tc>
          <w:tcPr>
            <w:tcW w:type="dxa" w:w="27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End of Year 3</w:t>
            </w:r>
          </w:p>
        </w:tc>
        <w:tc>
          <w:tcPr>
            <w:tcW w:type="dxa" w:w="24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40</w:t>
            </w:r>
          </w:p>
        </w:tc>
        <w:tc>
          <w:tcPr>
            <w:tcW w:type="dxa" w:w="213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€30,000</w:t>
            </w:r>
          </w:p>
        </w:tc>
        <w:tc>
          <w:tcPr>
            <w:tcW w:type="dxa" w:w="213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€360,000</w:t>
            </w:r>
          </w:p>
        </w:tc>
      </w:tr>
    </w:tbl>
    <w:p>
      <w:pPr>
        <w:spacing w:after="120"/>
      </w:pPr>
    </w:p>
    <w:p>
      <w:pPr>
        <w:spacing w:after="140" w:line="276"/>
      </w:pPr>
      <w:r>
        <w:rPr>
          <w:i/>
          <w:iCs/>
          <w:color w:val="3F4A57"/>
          <w:sz w:val="21"/>
          <w:szCs w:val="21"/>
        </w:rPr>
        <w:t xml:space="preserve">Onboarding fees (€500–€1,500 per brand) add upfront cash on top of the recurring figures above. Because running costs scale gently with usage, most incremental subscription revenue is margin.</w:t>
      </w:r>
    </w:p>
    <w:p>
      <w:r>
        <w:br w:type="page"/>
      </w:r>
    </w:p>
    <w:p>
      <w:pPr>
        <w:pStyle w:val="Heading1"/>
      </w:pPr>
      <w:r>
        <w:t xml:space="preserve">9. Commercials</w:t>
      </w:r>
    </w:p>
    <w:p>
      <w:pPr>
        <w:spacing w:after="140" w:line="276"/>
      </w:pPr>
      <w:r>
        <w:rPr>
          <w:color w:val="0B1422"/>
          <w:sz w:val="21"/>
          <w:szCs w:val="21"/>
        </w:rPr>
        <w:t xml:space="preserve">This section contains all project costs and the subscription model. Build options are priced at a blended rate of €150 per man-day; each option fully includes the one before it.</w:t>
      </w:r>
    </w:p>
    <w:p>
      <w:pPr>
        <w:pStyle w:val="Heading2"/>
      </w:pPr>
      <w:r>
        <w:t xml:space="preserve">9.1 Build options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900"/>
        <w:gridCol w:w="2500"/>
        <w:gridCol w:w="1900"/>
      </w:tblGrid>
      <w:tr>
        <w:trPr>
          <w:tblHeader/>
        </w:trPr>
        <w:tc>
          <w:tcPr>
            <w:tcW w:type="dxa" w:w="306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
            </w:r>
          </w:p>
        </w:tc>
        <w:tc>
          <w:tcPr>
            <w:tcW w:type="dxa" w:w="19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Option 1 — Core</w:t>
            </w:r>
          </w:p>
        </w:tc>
        <w:tc>
          <w:tcPr>
            <w:tcW w:type="dxa" w:w="25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Option 2 — Core + Voice &amp; Feedback</w:t>
            </w:r>
          </w:p>
        </w:tc>
        <w:tc>
          <w:tcPr>
            <w:tcW w:type="dxa" w:w="19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Option 3 — Business-Ready</w:t>
            </w:r>
          </w:p>
        </w:tc>
      </w:tr>
      <w:tr>
        <w:tc>
          <w:tcPr>
            <w:tcW w:type="dxa" w:w="30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Multi-tenant + secure knowledge base</w:t>
            </w:r>
          </w:p>
        </w:tc>
        <w:tc>
          <w:tcPr>
            <w:tcW w:type="dxa" w:w="19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15784F"/>
                <w:sz w:val="18"/>
                <w:szCs w:val="18"/>
              </w:rPr>
              <w:t xml:space="preserve">Included</w:t>
            </w:r>
          </w:p>
        </w:tc>
        <w:tc>
          <w:tcPr>
            <w:tcW w:type="dxa" w:w="25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15784F"/>
                <w:sz w:val="18"/>
                <w:szCs w:val="18"/>
              </w:rPr>
              <w:t xml:space="preserve">Included</w:t>
            </w:r>
          </w:p>
        </w:tc>
        <w:tc>
          <w:tcPr>
            <w:tcW w:type="dxa" w:w="19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15784F"/>
                <w:sz w:val="18"/>
                <w:szCs w:val="18"/>
              </w:rPr>
              <w:t xml:space="preserve">Included</w:t>
            </w:r>
          </w:p>
        </w:tc>
      </w:tr>
      <w:tr>
        <w:tc>
          <w:tcPr>
            <w:tcW w:type="dxa" w:w="306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AI Coaching (grounded Q&amp;A + citations)</w:t>
            </w:r>
          </w:p>
        </w:tc>
        <w:tc>
          <w:tcPr>
            <w:tcW w:type="dxa" w:w="19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15784F"/>
                <w:sz w:val="18"/>
                <w:szCs w:val="18"/>
              </w:rPr>
              <w:t xml:space="preserve">Included</w:t>
            </w:r>
          </w:p>
        </w:tc>
        <w:tc>
          <w:tcPr>
            <w:tcW w:type="dxa" w:w="25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15784F"/>
                <w:sz w:val="18"/>
                <w:szCs w:val="18"/>
              </w:rPr>
              <w:t xml:space="preserve">Included</w:t>
            </w:r>
          </w:p>
        </w:tc>
        <w:tc>
          <w:tcPr>
            <w:tcW w:type="dxa" w:w="19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15784F"/>
                <w:sz w:val="18"/>
                <w:szCs w:val="18"/>
              </w:rPr>
              <w:t xml:space="preserve">Included</w:t>
            </w:r>
          </w:p>
        </w:tc>
      </w:tr>
      <w:tr>
        <w:tc>
          <w:tcPr>
            <w:tcW w:type="dxa" w:w="30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AI Roleplay (personas + trait library)</w:t>
            </w:r>
          </w:p>
        </w:tc>
        <w:tc>
          <w:tcPr>
            <w:tcW w:type="dxa" w:w="19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15784F"/>
                <w:sz w:val="18"/>
                <w:szCs w:val="18"/>
              </w:rPr>
              <w:t xml:space="preserve">Included</w:t>
            </w:r>
          </w:p>
        </w:tc>
        <w:tc>
          <w:tcPr>
            <w:tcW w:type="dxa" w:w="25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15784F"/>
                <w:sz w:val="18"/>
                <w:szCs w:val="18"/>
              </w:rPr>
              <w:t xml:space="preserve">Included</w:t>
            </w:r>
          </w:p>
        </w:tc>
        <w:tc>
          <w:tcPr>
            <w:tcW w:type="dxa" w:w="19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15784F"/>
                <w:sz w:val="18"/>
                <w:szCs w:val="18"/>
              </w:rPr>
              <w:t xml:space="preserve">Included</w:t>
            </w:r>
          </w:p>
        </w:tc>
      </w:tr>
      <w:tr>
        <w:tc>
          <w:tcPr>
            <w:tcW w:type="dxa" w:w="306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Text chat · English + Greek · transcripts</w:t>
            </w:r>
          </w:p>
        </w:tc>
        <w:tc>
          <w:tcPr>
            <w:tcW w:type="dxa" w:w="19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15784F"/>
                <w:sz w:val="18"/>
                <w:szCs w:val="18"/>
              </w:rPr>
              <w:t xml:space="preserve">Included</w:t>
            </w:r>
          </w:p>
        </w:tc>
        <w:tc>
          <w:tcPr>
            <w:tcW w:type="dxa" w:w="25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15784F"/>
                <w:sz w:val="18"/>
                <w:szCs w:val="18"/>
              </w:rPr>
              <w:t xml:space="preserve">Included</w:t>
            </w:r>
          </w:p>
        </w:tc>
        <w:tc>
          <w:tcPr>
            <w:tcW w:type="dxa" w:w="19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15784F"/>
                <w:sz w:val="18"/>
                <w:szCs w:val="18"/>
              </w:rPr>
              <w:t xml:space="preserve">Included</w:t>
            </w:r>
          </w:p>
        </w:tc>
      </w:tr>
      <w:tr>
        <w:tc>
          <w:tcPr>
            <w:tcW w:type="dxa" w:w="30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Voice mode (English + Greek)</w:t>
            </w:r>
          </w:p>
        </w:tc>
        <w:tc>
          <w:tcPr>
            <w:tcW w:type="dxa" w:w="19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w:t>
            </w:r>
          </w:p>
        </w:tc>
        <w:tc>
          <w:tcPr>
            <w:tcW w:type="dxa" w:w="25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15784F"/>
                <w:sz w:val="18"/>
                <w:szCs w:val="18"/>
              </w:rPr>
              <w:t xml:space="preserve">Included</w:t>
            </w:r>
          </w:p>
        </w:tc>
        <w:tc>
          <w:tcPr>
            <w:tcW w:type="dxa" w:w="19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15784F"/>
                <w:sz w:val="18"/>
                <w:szCs w:val="18"/>
              </w:rPr>
              <w:t xml:space="preserve">Included</w:t>
            </w:r>
          </w:p>
        </w:tc>
      </w:tr>
      <w:tr>
        <w:tc>
          <w:tcPr>
            <w:tcW w:type="dxa" w:w="306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Roleplay scoring + feedback</w:t>
            </w:r>
          </w:p>
        </w:tc>
        <w:tc>
          <w:tcPr>
            <w:tcW w:type="dxa" w:w="19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w:t>
            </w:r>
          </w:p>
        </w:tc>
        <w:tc>
          <w:tcPr>
            <w:tcW w:type="dxa" w:w="25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15784F"/>
                <w:sz w:val="18"/>
                <w:szCs w:val="18"/>
              </w:rPr>
              <w:t xml:space="preserve">Included</w:t>
            </w:r>
          </w:p>
        </w:tc>
        <w:tc>
          <w:tcPr>
            <w:tcW w:type="dxa" w:w="19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15784F"/>
                <w:sz w:val="18"/>
                <w:szCs w:val="18"/>
              </w:rPr>
              <w:t xml:space="preserve">Included</w:t>
            </w:r>
          </w:p>
        </w:tc>
      </w:tr>
      <w:tr>
        <w:tc>
          <w:tcPr>
            <w:tcW w:type="dxa" w:w="30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Automated billing + usage limits</w:t>
            </w:r>
          </w:p>
        </w:tc>
        <w:tc>
          <w:tcPr>
            <w:tcW w:type="dxa" w:w="19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w:t>
            </w:r>
          </w:p>
        </w:tc>
        <w:tc>
          <w:tcPr>
            <w:tcW w:type="dxa" w:w="25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w:t>
            </w:r>
          </w:p>
        </w:tc>
        <w:tc>
          <w:tcPr>
            <w:tcW w:type="dxa" w:w="19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15784F"/>
                <w:sz w:val="18"/>
                <w:szCs w:val="18"/>
              </w:rPr>
              <w:t xml:space="preserve">Included</w:t>
            </w:r>
          </w:p>
        </w:tc>
      </w:tr>
      <w:tr>
        <w:tc>
          <w:tcPr>
            <w:tcW w:type="dxa" w:w="306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Analytics dashboard</w:t>
            </w:r>
          </w:p>
        </w:tc>
        <w:tc>
          <w:tcPr>
            <w:tcW w:type="dxa" w:w="19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w:t>
            </w:r>
          </w:p>
        </w:tc>
        <w:tc>
          <w:tcPr>
            <w:tcW w:type="dxa" w:w="25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w:t>
            </w:r>
          </w:p>
        </w:tc>
        <w:tc>
          <w:tcPr>
            <w:tcW w:type="dxa" w:w="19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15784F"/>
                <w:sz w:val="18"/>
                <w:szCs w:val="18"/>
              </w:rPr>
              <w:t xml:space="preserve">Included</w:t>
            </w:r>
          </w:p>
        </w:tc>
      </w:tr>
      <w:tr>
        <w:tc>
          <w:tcPr>
            <w:tcW w:type="dxa" w:w="30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Self-serve trait-library manager</w:t>
            </w:r>
          </w:p>
        </w:tc>
        <w:tc>
          <w:tcPr>
            <w:tcW w:type="dxa" w:w="19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w:t>
            </w:r>
          </w:p>
        </w:tc>
        <w:tc>
          <w:tcPr>
            <w:tcW w:type="dxa" w:w="25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w:t>
            </w:r>
          </w:p>
        </w:tc>
        <w:tc>
          <w:tcPr>
            <w:tcW w:type="dxa" w:w="19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15784F"/>
                <w:sz w:val="18"/>
                <w:szCs w:val="18"/>
              </w:rPr>
              <w:t xml:space="preserve">Included</w:t>
            </w:r>
          </w:p>
        </w:tc>
      </w:tr>
      <w:tr>
        <w:tc>
          <w:tcPr>
            <w:tcW w:type="dxa" w:w="306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bCs/>
                <w:color w:val="0B1422"/>
                <w:sz w:val="18"/>
                <w:szCs w:val="18"/>
              </w:rPr>
              <w:t xml:space="preserve">Estimated effort</w:t>
            </w:r>
          </w:p>
        </w:tc>
        <w:tc>
          <w:tcPr>
            <w:tcW w:type="dxa" w:w="19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bCs/>
                <w:color w:val="0B1422"/>
                <w:sz w:val="18"/>
                <w:szCs w:val="18"/>
              </w:rPr>
              <w:t xml:space="preserve">~55 man-days</w:t>
            </w:r>
          </w:p>
        </w:tc>
        <w:tc>
          <w:tcPr>
            <w:tcW w:type="dxa" w:w="25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bCs/>
                <w:color w:val="0B1422"/>
                <w:sz w:val="18"/>
                <w:szCs w:val="18"/>
              </w:rPr>
              <w:t xml:space="preserve">~76 man-days</w:t>
            </w:r>
          </w:p>
        </w:tc>
        <w:tc>
          <w:tcPr>
            <w:tcW w:type="dxa" w:w="19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bCs/>
                <w:color w:val="0B1422"/>
                <w:sz w:val="18"/>
                <w:szCs w:val="18"/>
              </w:rPr>
              <w:t xml:space="preserve">~98 man-days</w:t>
            </w:r>
          </w:p>
        </w:tc>
      </w:tr>
      <w:tr>
        <w:tc>
          <w:tcPr>
            <w:tcW w:type="dxa" w:w="30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bCs/>
                <w:color w:val="0B1422"/>
                <w:sz w:val="18"/>
                <w:szCs w:val="18"/>
              </w:rPr>
              <w:t xml:space="preserve">Price</w:t>
            </w:r>
          </w:p>
        </w:tc>
        <w:tc>
          <w:tcPr>
            <w:tcW w:type="dxa" w:w="19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bCs/>
                <w:color w:val="EF5611"/>
                <w:sz w:val="18"/>
                <w:szCs w:val="18"/>
              </w:rPr>
              <w:t xml:space="preserve">€9,000</w:t>
            </w:r>
          </w:p>
        </w:tc>
        <w:tc>
          <w:tcPr>
            <w:tcW w:type="dxa" w:w="25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bCs/>
                <w:color w:val="EF5611"/>
                <w:sz w:val="18"/>
                <w:szCs w:val="18"/>
              </w:rPr>
              <w:t xml:space="preserve">€12,000</w:t>
            </w:r>
          </w:p>
        </w:tc>
        <w:tc>
          <w:tcPr>
            <w:tcW w:type="dxa" w:w="19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bCs/>
                <w:color w:val="EF5611"/>
                <w:sz w:val="18"/>
                <w:szCs w:val="18"/>
              </w:rPr>
              <w:t xml:space="preserve">€15,000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EE7" w:sz="1"/>
              <w:left w:val="single" w:color="EF5611" w:sz="18"/>
              <w:bottom w:val="single" w:color="D8DEE7" w:sz="1"/>
              <w:right w:val="single" w:color="D8DEE7" w:sz="1"/>
            </w:tcBorders>
            <w:shd w:fill="F2F4F8" w:val="clear"/>
            <w:tcMar>
              <w:top w:type="dxa" w:w="140"/>
              <w:left w:type="dxa" w:w="180"/>
              <w:bottom w:type="dxa" w:w="140"/>
              <w:right w:type="dxa" w:w="160"/>
            </w:tcMar>
          </w:tcPr>
          <w:p>
            <w:pPr>
              <w:spacing w:after="0" w:line="264"/>
            </w:pPr>
            <w:r>
              <w:rPr>
                <w:b/>
                <w:bCs/>
                <w:color w:val="16263F"/>
                <w:sz w:val="20"/>
                <w:szCs w:val="20"/>
              </w:rPr>
              <w:t xml:space="preserve">Recommendation. </w:t>
            </w:r>
            <w:r>
              <w:rPr>
                <w:color w:val="0B1422"/>
                <w:sz w:val="20"/>
                <w:szCs w:val="20"/>
              </w:rPr>
              <w:t xml:space="preserve">Option 2 (€12,000) is the sweet spot — voice and scoring are what make the product demonstrate its full value, and they are far cheaper to build now than to add later. Option 1 still ships a genuine, sellable product; Option 3 suits a hands-off, scaled operation.</w:t>
            </w:r>
          </w:p>
        </w:tc>
      </w:tr>
    </w:tbl>
    <w:p>
      <w:pPr>
        <w:pStyle w:val="Heading2"/>
      </w:pPr>
      <w:r>
        <w:t xml:space="preserve">9.2 Subscription model (what Valentina charges her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200"/>
        <w:gridCol w:w="4760"/>
      </w:tblGrid>
      <w:tr>
        <w:trPr>
          <w:tblHeader/>
        </w:trPr>
        <w:tc>
          <w:tcPr>
            <w:tcW w:type="dxa" w:w="17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Plan</w:t>
            </w:r>
          </w:p>
        </w:tc>
        <w:tc>
          <w:tcPr>
            <w:tcW w:type="dxa" w:w="17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Price</w:t>
            </w:r>
          </w:p>
        </w:tc>
        <w:tc>
          <w:tcPr>
            <w:tcW w:type="dxa" w:w="12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Seats</w:t>
            </w:r>
          </w:p>
        </w:tc>
        <w:tc>
          <w:tcPr>
            <w:tcW w:type="dxa" w:w="476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Key inclusions</w:t>
            </w:r>
          </w:p>
        </w:tc>
      </w:tr>
      <w:tr>
        <w:tc>
          <w:tcPr>
            <w:tcW w:type="dxa" w:w="17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bCs/>
                <w:color w:val="0B1422"/>
                <w:sz w:val="18"/>
                <w:szCs w:val="18"/>
              </w:rPr>
              <w:t xml:space="preserve">Starter</w:t>
            </w:r>
          </w:p>
        </w:tc>
        <w:tc>
          <w:tcPr>
            <w:tcW w:type="dxa" w:w="17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€390 / mo</w:t>
            </w:r>
          </w:p>
        </w:tc>
        <w:tc>
          <w:tcPr>
            <w:tcW w:type="dxa" w:w="12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up to 5</w:t>
            </w:r>
          </w:p>
        </w:tc>
        <w:tc>
          <w:tcPr>
            <w:tcW w:type="dxa" w:w="47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Coaching + text roleplay, 1 knowledge base, ~40 roleplays/seat</w:t>
            </w:r>
          </w:p>
        </w:tc>
      </w:tr>
      <w:tr>
        <w:tc>
          <w:tcPr>
            <w:tcW w:type="dxa" w:w="17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bCs/>
                <w:color w:val="EF5611"/>
                <w:sz w:val="18"/>
                <w:szCs w:val="18"/>
              </w:rPr>
              <w:t xml:space="preserve">Professional</w:t>
            </w:r>
          </w:p>
        </w:tc>
        <w:tc>
          <w:tcPr>
            <w:tcW w:type="dxa" w:w="17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€890 / mo</w:t>
            </w:r>
          </w:p>
        </w:tc>
        <w:tc>
          <w:tcPr>
            <w:tcW w:type="dxa" w:w="12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up to 15</w:t>
            </w:r>
          </w:p>
        </w:tc>
        <w:tc>
          <w:tcPr>
            <w:tcW w:type="dxa" w:w="476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 Voice + scoring, multiple personas, ~80 roleplays/seat</w:t>
            </w:r>
          </w:p>
        </w:tc>
      </w:tr>
      <w:tr>
        <w:tc>
          <w:tcPr>
            <w:tcW w:type="dxa" w:w="17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bCs/>
                <w:color w:val="0B1422"/>
                <w:sz w:val="18"/>
                <w:szCs w:val="18"/>
              </w:rPr>
              <w:t xml:space="preserve">Enterprise</w:t>
            </w:r>
          </w:p>
        </w:tc>
        <w:tc>
          <w:tcPr>
            <w:tcW w:type="dxa" w:w="17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from €2,000 / mo</w:t>
            </w:r>
          </w:p>
        </w:tc>
        <w:tc>
          <w:tcPr>
            <w:tcW w:type="dxa" w:w="12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30+</w:t>
            </w:r>
          </w:p>
        </w:tc>
        <w:tc>
          <w:tcPr>
            <w:tcW w:type="dxa" w:w="47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Higher/unlimited usage, analytics, SSO, onboarding help</w:t>
            </w:r>
          </w:p>
        </w:tc>
      </w:tr>
    </w:tbl>
    <w:p>
      <w:pPr>
        <w:spacing w:after="120"/>
      </w:pPr>
    </w:p>
    <w:p>
      <w:pPr>
        <w:spacing w:after="140" w:line="276"/>
      </w:pPr>
      <w:r>
        <w:rPr>
          <w:color w:val="3F4A57"/>
          <w:sz w:val="21"/>
          <w:szCs w:val="21"/>
        </w:rPr>
        <w:t xml:space="preserve">Two levers: a one-time onboarding fee (€500–€1,500) per brand for help building its knowledge base and personas; and annual billing at −17% to improve cash flow and retention. A fair-use cap on roleplays per seat protects margins — see Section 10.</w:t>
      </w:r>
    </w:p>
    <w:p>
      <w:r>
        <w:br w:type="page"/>
      </w:r>
    </w:p>
    <w:p>
      <w:pPr>
        <w:pStyle w:val="Heading1"/>
      </w:pPr>
      <w:r>
        <w:t xml:space="preserve">10. Operating &amp; LLM costs</w:t>
      </w:r>
    </w:p>
    <w:p>
      <w:pPr>
        <w:spacing w:after="140" w:line="276"/>
      </w:pPr>
      <w:r>
        <w:rPr>
          <w:color w:val="0B1422"/>
          <w:sz w:val="21"/>
          <w:szCs w:val="21"/>
        </w:rPr>
        <w:t xml:space="preserve">These are Valentina's ongoing monthly costs once the platform is live — separate from the one-time build. They split into near-fixed infrastructure and usage-based AI.</w:t>
      </w:r>
    </w:p>
    <w:p>
      <w:pPr>
        <w:pStyle w:val="Heading2"/>
      </w:pPr>
      <w:r>
        <w:t xml:space="preserve">10.1 Infrastructure (near-fixed, early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Category</w:t>
            </w:r>
          </w:p>
        </w:tc>
        <w:tc>
          <w:tcPr>
            <w:tcW w:type="dxa" w:w="336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Indicative monthly range</w:t>
            </w:r>
          </w:p>
        </w:tc>
      </w:tr>
      <w:tr>
        <w:tc>
          <w:tcPr>
            <w:tcW w:type="dxa" w:w="60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Hosting (app + database, EU region)</w:t>
            </w:r>
          </w:p>
        </w:tc>
        <w:tc>
          <w:tcPr>
            <w:tcW w:type="dxa" w:w="33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€20–€60</w:t>
            </w:r>
          </w:p>
        </w:tc>
      </w:tr>
      <w:tr>
        <w:tc>
          <w:tcPr>
            <w:tcW w:type="dxa" w:w="60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Authentication provider</w:t>
            </w:r>
          </w:p>
        </w:tc>
        <w:tc>
          <w:tcPr>
            <w:tcW w:type="dxa" w:w="336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€0–€100 (free tier early)</w:t>
            </w:r>
          </w:p>
        </w:tc>
      </w:tr>
      <w:tr>
        <w:tc>
          <w:tcPr>
            <w:tcW w:type="dxa" w:w="60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Vector database</w:t>
            </w:r>
          </w:p>
        </w:tc>
        <w:tc>
          <w:tcPr>
            <w:tcW w:type="dxa" w:w="33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€0–€70</w:t>
            </w:r>
          </w:p>
        </w:tc>
      </w:tr>
      <w:tr>
        <w:tc>
          <w:tcPr>
            <w:tcW w:type="dxa" w:w="60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File storage</w:t>
            </w:r>
          </w:p>
        </w:tc>
        <w:tc>
          <w:tcPr>
            <w:tcW w:type="dxa" w:w="336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A few euros</w:t>
            </w:r>
          </w:p>
        </w:tc>
      </w:tr>
    </w:tbl>
    <w:p>
      <w:pPr>
        <w:spacing w:after="140"/>
      </w:pPr>
    </w:p>
    <w:p>
      <w:pPr>
        <w:pStyle w:val="Heading2"/>
      </w:pPr>
      <w:r>
        <w:t xml:space="preserve">10.2 LLM cost breakdown (the AI usage cost)</w:t>
      </w:r>
    </w:p>
    <w:p>
      <w:pPr>
        <w:spacing w:after="140" w:line="276"/>
      </w:pPr>
      <w:r>
        <w:rPr>
          <w:color w:val="3F4A57"/>
          <w:sz w:val="21"/>
          <w:szCs w:val="21"/>
        </w:rPr>
        <w:t xml:space="preserve">The language-model cost is the main usage-based component. The figures below assume a cost-efficient production model (Claude Sonnet-tier) and current Anthropic pricing; a stronger or cheaper model can be chosen per task. API pricing is in US dollars; euro figures use an approximate $1.08 to €1.</w:t>
      </w:r>
    </w:p>
    <w:p>
      <w:pPr>
        <w:spacing w:after="80" w:line="276"/>
      </w:pPr>
      <w:r>
        <w:rPr>
          <w:b/>
          <w:bCs/>
          <w:color w:val="16263F"/>
          <w:sz w:val="21"/>
          <w:szCs w:val="21"/>
        </w:rPr>
        <w:t xml:space="preserve">Per-action estimates (approximate):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260"/>
        <w:gridCol w:w="2400"/>
      </w:tblGrid>
      <w:tr>
        <w:trPr>
          <w:tblHeader/>
        </w:trPr>
        <w:tc>
          <w:tcPr>
            <w:tcW w:type="dxa" w:w="37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Action</w:t>
            </w:r>
          </w:p>
        </w:tc>
        <w:tc>
          <w:tcPr>
            <w:tcW w:type="dxa" w:w="326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Typical tokens (in / out)</w:t>
            </w:r>
          </w:p>
        </w:tc>
        <w:tc>
          <w:tcPr>
            <w:tcW w:type="dxa" w:w="24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Approx. cost</w:t>
            </w:r>
          </w:p>
        </w:tc>
      </w:tr>
      <w:tr>
        <w:tc>
          <w:tcPr>
            <w:tcW w:type="dxa" w:w="37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Coach question (grounded Q&amp;A)</w:t>
            </w:r>
          </w:p>
        </w:tc>
        <w:tc>
          <w:tcPr>
            <w:tcW w:type="dxa" w:w="32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~3,000 / ~300</w:t>
            </w:r>
          </w:p>
        </w:tc>
        <w:tc>
          <w:tcPr>
            <w:tcW w:type="dxa" w:w="24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~€0.012</w:t>
            </w:r>
          </w:p>
        </w:tc>
      </w:tr>
      <w:tr>
        <w:tc>
          <w:tcPr>
            <w:tcW w:type="dxa" w:w="37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Roleplay session (~10 persona turns)</w:t>
            </w:r>
          </w:p>
        </w:tc>
        <w:tc>
          <w:tcPr>
            <w:tcW w:type="dxa" w:w="326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~25,000 / ~1,500</w:t>
            </w:r>
          </w:p>
        </w:tc>
        <w:tc>
          <w:tcPr>
            <w:tcW w:type="dxa" w:w="24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~€0.09</w:t>
            </w:r>
          </w:p>
        </w:tc>
      </w:tr>
      <w:tr>
        <w:tc>
          <w:tcPr>
            <w:tcW w:type="dxa" w:w="37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Transcript scoring (one session)</w:t>
            </w:r>
          </w:p>
        </w:tc>
        <w:tc>
          <w:tcPr>
            <w:tcW w:type="dxa" w:w="32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~3,300 / ~500</w:t>
            </w:r>
          </w:p>
        </w:tc>
        <w:tc>
          <w:tcPr>
            <w:tcW w:type="dxa" w:w="24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~€0.016</w:t>
            </w:r>
          </w:p>
        </w:tc>
      </w:tr>
      <w:tr>
        <w:tc>
          <w:tcPr>
            <w:tcW w:type="dxa" w:w="37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Document embedding (on upload, one-time)</w:t>
            </w:r>
          </w:p>
        </w:tc>
        <w:tc>
          <w:tcPr>
            <w:tcW w:type="dxa" w:w="326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per ~200-page doc</w:t>
            </w:r>
          </w:p>
        </w:tc>
        <w:tc>
          <w:tcPr>
            <w:tcW w:type="dxa" w:w="24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~€0.01</w:t>
            </w:r>
          </w:p>
        </w:tc>
      </w:tr>
      <w:tr>
        <w:tc>
          <w:tcPr>
            <w:tcW w:type="dxa" w:w="37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Query embedding (per question)</w:t>
            </w:r>
          </w:p>
        </w:tc>
        <w:tc>
          <w:tcPr>
            <w:tcW w:type="dxa" w:w="32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~50</w:t>
            </w:r>
          </w:p>
        </w:tc>
        <w:tc>
          <w:tcPr>
            <w:tcW w:type="dxa" w:w="24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negligible</w:t>
            </w:r>
          </w:p>
        </w:tc>
      </w:tr>
    </w:tbl>
    <w:p>
      <w:pPr>
        <w:spacing w:after="120"/>
      </w:pPr>
    </w:p>
    <w:p>
      <w:pPr>
        <w:spacing w:after="80" w:line="276"/>
      </w:pPr>
      <w:r>
        <w:rPr>
          <w:b/>
          <w:bCs/>
          <w:color w:val="16263F"/>
          <w:sz w:val="21"/>
          <w:szCs w:val="21"/>
        </w:rPr>
        <w:t xml:space="preserve">Model choice (per 1M tokens,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960"/>
      </w:tblGrid>
      <w:tr>
        <w:trPr>
          <w:tblHeader/>
        </w:trPr>
        <w:tc>
          <w:tcPr>
            <w:tcW w:type="dxa" w:w="30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Model</w:t>
            </w:r>
          </w:p>
        </w:tc>
        <w:tc>
          <w:tcPr>
            <w:tcW w:type="dxa" w:w="17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Input</w:t>
            </w:r>
          </w:p>
        </w:tc>
        <w:tc>
          <w:tcPr>
            <w:tcW w:type="dxa" w:w="17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Output</w:t>
            </w:r>
          </w:p>
        </w:tc>
        <w:tc>
          <w:tcPr>
            <w:tcW w:type="dxa" w:w="296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Use</w:t>
            </w:r>
          </w:p>
        </w:tc>
      </w:tr>
      <w:tr>
        <w:tc>
          <w:tcPr>
            <w:tcW w:type="dxa" w:w="30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Claude Haiku 4.5</w:t>
            </w:r>
          </w:p>
        </w:tc>
        <w:tc>
          <w:tcPr>
            <w:tcW w:type="dxa" w:w="17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$1</w:t>
            </w:r>
          </w:p>
        </w:tc>
        <w:tc>
          <w:tcPr>
            <w:tcW w:type="dxa" w:w="17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$5</w:t>
            </w:r>
          </w:p>
        </w:tc>
        <w:tc>
          <w:tcPr>
            <w:tcW w:type="dxa" w:w="29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Cheapest; simple Q&amp;A (≈⅓ the cost)</w:t>
            </w:r>
          </w:p>
        </w:tc>
      </w:tr>
      <w:tr>
        <w:tc>
          <w:tcPr>
            <w:tcW w:type="dxa" w:w="30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bCs/>
                <w:color w:val="0B1422"/>
                <w:sz w:val="18"/>
                <w:szCs w:val="18"/>
              </w:rPr>
              <w:t xml:space="preserve">Claude Sonnet 4.6</w:t>
            </w:r>
          </w:p>
        </w:tc>
        <w:tc>
          <w:tcPr>
            <w:tcW w:type="dxa" w:w="17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$3</w:t>
            </w:r>
          </w:p>
        </w:tc>
        <w:tc>
          <w:tcPr>
            <w:tcW w:type="dxa" w:w="17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$15</w:t>
            </w:r>
          </w:p>
        </w:tc>
        <w:tc>
          <w:tcPr>
            <w:tcW w:type="dxa" w:w="296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val="false"/>
                <w:bCs w:val="false"/>
                <w:color w:val="0B1422"/>
                <w:sz w:val="18"/>
                <w:szCs w:val="18"/>
              </w:rPr>
              <w:t xml:space="preserve">Recommended production default</w:t>
            </w:r>
          </w:p>
        </w:tc>
      </w:tr>
      <w:tr>
        <w:tc>
          <w:tcPr>
            <w:tcW w:type="dxa" w:w="30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Claude Opus 4.8</w:t>
            </w:r>
          </w:p>
        </w:tc>
        <w:tc>
          <w:tcPr>
            <w:tcW w:type="dxa" w:w="17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$5</w:t>
            </w:r>
          </w:p>
        </w:tc>
        <w:tc>
          <w:tcPr>
            <w:tcW w:type="dxa" w:w="17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$25</w:t>
            </w:r>
          </w:p>
        </w:tc>
        <w:tc>
          <w:tcPr>
            <w:tcW w:type="dxa" w:w="296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Highest quality (≈ +65% vs Sonnet)</w:t>
            </w:r>
          </w:p>
        </w:tc>
      </w:tr>
    </w:tbl>
    <w:p>
      <w:pPr>
        <w:spacing w:after="120"/>
      </w:pPr>
    </w:p>
    <w:p>
      <w:pPr>
        <w:spacing w:after="80" w:line="276"/>
      </w:pPr>
      <w:r>
        <w:rPr>
          <w:b/>
          <w:bCs/>
          <w:color w:val="16263F"/>
          <w:sz w:val="21"/>
          <w:szCs w:val="21"/>
        </w:rPr>
        <w:t xml:space="preserve">Monthly LLM cost, modelled per active rep (assuming a moderately active rep: ~60 Coach questions, ~30 roleplays, ~30 scorings):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Model tier</w:t>
            </w:r>
          </w:p>
        </w:tc>
        <w:tc>
          <w:tcPr>
            <w:tcW w:type="dxa" w:w="308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Per active seat / month</w:t>
            </w:r>
          </w:p>
        </w:tc>
        <w:tc>
          <w:tcPr>
            <w:tcW w:type="dxa" w:w="3080"/>
            <w:tcBorders>
              <w:top w:val="single" w:color="D8DEE7" w:sz="1"/>
              <w:left w:val="single" w:color="D8DEE7" w:sz="1"/>
              <w:bottom w:val="single" w:color="D8DEE7" w:sz="1"/>
              <w:right w:val="single" w:color="D8DEE7" w:sz="1"/>
            </w:tcBorders>
            <w:shd w:fill="16263F" w:val="clear"/>
            <w:tcMar>
              <w:top w:type="dxa" w:w="90"/>
              <w:left w:type="dxa" w:w="120"/>
              <w:bottom w:type="dxa" w:w="90"/>
              <w:right w:type="dxa" w:w="120"/>
            </w:tcMar>
          </w:tcPr>
          <w:p>
            <w:r>
              <w:rPr>
                <w:b/>
                <w:bCs/>
                <w:color w:val="FFFFFF"/>
                <w:sz w:val="18"/>
                <w:szCs w:val="18"/>
              </w:rPr>
              <w:t xml:space="preserve">Per Professional brand (15 seats)</w:t>
            </w:r>
          </w:p>
        </w:tc>
      </w:tr>
      <w:tr>
        <w:tc>
          <w:tcPr>
            <w:tcW w:type="dxa" w:w="32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Haiku 4.5</w:t>
            </w:r>
          </w:p>
        </w:tc>
        <w:tc>
          <w:tcPr>
            <w:tcW w:type="dxa" w:w="308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~€1.6</w:t>
            </w:r>
          </w:p>
        </w:tc>
        <w:tc>
          <w:tcPr>
            <w:tcW w:type="dxa" w:w="308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~€24</w:t>
            </w:r>
          </w:p>
        </w:tc>
      </w:tr>
      <w:tr>
        <w:tc>
          <w:tcPr>
            <w:tcW w:type="dxa" w:w="320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bCs/>
                <w:color w:val="0B1422"/>
                <w:sz w:val="18"/>
                <w:szCs w:val="18"/>
              </w:rPr>
              <w:t xml:space="preserve">Sonnet 4.6 (recommended)</w:t>
            </w:r>
          </w:p>
        </w:tc>
        <w:tc>
          <w:tcPr>
            <w:tcW w:type="dxa" w:w="308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bCs/>
                <w:color w:val="0B1422"/>
                <w:sz w:val="18"/>
                <w:szCs w:val="18"/>
              </w:rPr>
              <w:t xml:space="preserve">~€3.9</w:t>
            </w:r>
          </w:p>
        </w:tc>
        <w:tc>
          <w:tcPr>
            <w:tcW w:type="dxa" w:w="3080"/>
            <w:tcBorders>
              <w:top w:val="single" w:color="D8DEE7" w:sz="1"/>
              <w:left w:val="single" w:color="D8DEE7" w:sz="1"/>
              <w:bottom w:val="single" w:color="D8DEE7" w:sz="1"/>
              <w:right w:val="single" w:color="D8DEE7" w:sz="1"/>
            </w:tcBorders>
            <w:shd w:fill="FAF8F3" w:val="clear"/>
            <w:tcMar>
              <w:top w:type="dxa" w:w="75"/>
              <w:left w:type="dxa" w:w="120"/>
              <w:bottom w:type="dxa" w:w="75"/>
              <w:right w:type="dxa" w:w="120"/>
            </w:tcMar>
          </w:tcPr>
          <w:p>
            <w:r>
              <w:rPr>
                <w:b/>
                <w:bCs/>
                <w:color w:val="0B1422"/>
                <w:sz w:val="18"/>
                <w:szCs w:val="18"/>
              </w:rPr>
              <w:t xml:space="preserve">~€59</w:t>
            </w:r>
          </w:p>
        </w:tc>
      </w:tr>
      <w:tr>
        <w:tc>
          <w:tcPr>
            <w:tcW w:type="dxa" w:w="320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Opus 4.8</w:t>
            </w:r>
          </w:p>
        </w:tc>
        <w:tc>
          <w:tcPr>
            <w:tcW w:type="dxa" w:w="308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~€7</w:t>
            </w:r>
          </w:p>
        </w:tc>
        <w:tc>
          <w:tcPr>
            <w:tcW w:type="dxa" w:w="3080"/>
            <w:tcBorders>
              <w:top w:val="single" w:color="D8DEE7" w:sz="1"/>
              <w:left w:val="single" w:color="D8DEE7" w:sz="1"/>
              <w:bottom w:val="single" w:color="D8DEE7" w:sz="1"/>
              <w:right w:val="single" w:color="D8DEE7" w:sz="1"/>
            </w:tcBorders>
            <w:shd w:fill="FFFFFF" w:val="clear"/>
            <w:tcMar>
              <w:top w:type="dxa" w:w="75"/>
              <w:left w:type="dxa" w:w="120"/>
              <w:bottom w:type="dxa" w:w="75"/>
              <w:right w:type="dxa" w:w="120"/>
            </w:tcMar>
          </w:tcPr>
          <w:p>
            <w:r>
              <w:rPr>
                <w:b w:val="false"/>
                <w:bCs w:val="false"/>
                <w:color w:val="0B1422"/>
                <w:sz w:val="18"/>
                <w:szCs w:val="18"/>
              </w:rPr>
              <w:t xml:space="preserve">~€105</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EE7" w:sz="1"/>
              <w:left w:val="single" w:color="EF5611" w:sz="18"/>
              <w:bottom w:val="single" w:color="D8DEE7" w:sz="1"/>
              <w:right w:val="single" w:color="D8DEE7" w:sz="1"/>
            </w:tcBorders>
            <w:shd w:fill="F2F4F8" w:val="clear"/>
            <w:tcMar>
              <w:top w:type="dxa" w:w="140"/>
              <w:left w:type="dxa" w:w="180"/>
              <w:bottom w:type="dxa" w:w="140"/>
              <w:right w:type="dxa" w:w="160"/>
            </w:tcMar>
          </w:tcPr>
          <w:p>
            <w:pPr>
              <w:spacing w:after="80" w:line="264"/>
            </w:pPr>
            <w:r>
              <w:rPr>
                <w:b/>
                <w:bCs/>
                <w:color w:val="16263F"/>
                <w:sz w:val="20"/>
                <w:szCs w:val="20"/>
              </w:rPr>
              <w:t xml:space="preserve">What this means for margins. </w:t>
            </w:r>
            <w:r>
              <w:rPr>
                <w:color w:val="0B1422"/>
                <w:sz w:val="20"/>
                <w:szCs w:val="20"/>
              </w:rPr>
              <w:t xml:space="preserve">At the recommended Sonnet tier, a Professional plan (€890/mo, 15 seats) carries roughly €59/month of LLM cost — about 7% of plan revenue. The plan stays comfortably profitable.</w:t>
            </w:r>
          </w:p>
          <w:p>
            <w:pPr>
              <w:spacing w:after="0" w:line="264"/>
            </w:pPr>
            <w:r>
              <w:rPr>
                <w:b/>
                <w:bCs/>
                <w:color w:val="16263F"/>
                <w:sz w:val="20"/>
                <w:szCs w:val="20"/>
              </w:rPr>
              <w:t xml:space="preserve">Two cost notes: </w:t>
            </w:r>
            <w:r>
              <w:rPr>
                <w:color w:val="0B1422"/>
                <w:sz w:val="20"/>
                <w:szCs w:val="20"/>
              </w:rPr>
              <w:t xml:space="preserve">(1) prompt caching reuses the repeated brand-context portion at roughly one-tenth the price and is already assumed in the roleplay estimate; (2) these figures are text-only — voice (speech-to-text + text-to-speech) is billed separately at roughly €0.05–€0.20 per minute and is the single biggest cost driver, which is why it is positioned as a deliberate add-on with a fair-use cap.</w:t>
            </w:r>
          </w:p>
        </w:tc>
      </w:tr>
    </w:tbl>
    <w:p>
      <w:pPr>
        <w:spacing w:after="120"/>
      </w:pPr>
    </w:p>
    <w:p>
      <w:pPr>
        <w:spacing w:after="140" w:line="276"/>
      </w:pPr>
      <w:r>
        <w:rPr>
          <w:color w:val="3F4A57"/>
          <w:sz w:val="21"/>
          <w:szCs w:val="21"/>
        </w:rPr>
        <w:t xml:space="preserve">All-in early-stage running cost is therefore roughly €100–€500 per month on text-only usage with a handful of brands, rising with voice and scale. The fair-use cap on roleplays per seat is what keeps each plan's AI cost safely below its price.</w:t>
      </w:r>
    </w:p>
    <w:p>
      <w:r>
        <w:br w:type="page"/>
      </w:r>
    </w:p>
    <w:p>
      <w:pPr>
        <w:pStyle w:val="Heading1"/>
      </w:pPr>
      <w:r>
        <w:t xml:space="preserve">11. Assumptions, exclusions &amp; next steps</w:t>
      </w:r>
    </w:p>
    <w:p>
      <w:pPr>
        <w:pStyle w:val="Heading2"/>
      </w:pPr>
      <w:r>
        <w:t xml:space="preserve">Assumptions</w:t>
      </w:r>
    </w:p>
    <w:p>
      <w:pPr>
        <w:pStyle w:val="ListParagraph"/>
        <w:numPr>
          <w:ilvl w:val="0"/>
          <w:numId w:val="2"/>
        </w:numPr>
        <w:spacing w:after="70" w:line="270"/>
      </w:pPr>
      <w:r>
        <w:rPr>
          <w:color w:val="0B1422"/>
          <w:sz w:val="21"/>
          <w:szCs w:val="21"/>
        </w:rPr>
        <w:t xml:space="preserve">Valentina provides the personality-trait library content and a sample brand's documents to seed the build.</w:t>
      </w:r>
    </w:p>
    <w:p>
      <w:pPr>
        <w:pStyle w:val="ListParagraph"/>
        <w:numPr>
          <w:ilvl w:val="0"/>
          <w:numId w:val="2"/>
        </w:numPr>
        <w:spacing w:after="70" w:line="270"/>
      </w:pPr>
      <w:r>
        <w:rPr>
          <w:color w:val="0B1422"/>
          <w:sz w:val="21"/>
          <w:szCs w:val="21"/>
        </w:rPr>
        <w:t xml:space="preserve">A Greek-language voice provider is selected and validated early (for Option 2 and above).</w:t>
      </w:r>
    </w:p>
    <w:p>
      <w:pPr>
        <w:pStyle w:val="ListParagraph"/>
        <w:numPr>
          <w:ilvl w:val="0"/>
          <w:numId w:val="2"/>
        </w:numPr>
        <w:spacing w:after="70" w:line="270"/>
      </w:pPr>
      <w:r>
        <w:rPr>
          <w:color w:val="0B1422"/>
          <w:sz w:val="21"/>
          <w:szCs w:val="21"/>
        </w:rPr>
        <w:t xml:space="preserve">Third-party API and hosting costs (Section 10) are billed to Valentina directly.</w:t>
      </w:r>
    </w:p>
    <w:p>
      <w:pPr>
        <w:pStyle w:val="Heading2"/>
      </w:pPr>
      <w:r>
        <w:t xml:space="preserve">Exclusions (Phase 1)</w:t>
      </w:r>
    </w:p>
    <w:p>
      <w:pPr>
        <w:pStyle w:val="ListParagraph"/>
        <w:numPr>
          <w:ilvl w:val="0"/>
          <w:numId w:val="2"/>
        </w:numPr>
        <w:spacing w:after="70" w:line="270"/>
      </w:pPr>
      <w:r>
        <w:rPr>
          <w:color w:val="0B1422"/>
          <w:sz w:val="21"/>
          <w:szCs w:val="21"/>
        </w:rPr>
        <w:t xml:space="preserve">Video avatars, facial/emotion analysis, native mobile apps, and integrations beyond the top tier.</w:t>
      </w:r>
    </w:p>
    <w:p>
      <w:pPr>
        <w:pStyle w:val="Heading2"/>
      </w:pPr>
      <w:r>
        <w:t xml:space="preserve">Next steps</w:t>
      </w:r>
    </w:p>
    <w:p>
      <w:pPr>
        <w:pStyle w:val="ListParagraph"/>
        <w:numPr>
          <w:ilvl w:val="0"/>
          <w:numId w:val="3"/>
        </w:numPr>
        <w:spacing w:after="80" w:line="270"/>
      </w:pPr>
      <w:r>
        <w:rPr>
          <w:color w:val="0B1422"/>
          <w:sz w:val="21"/>
          <w:szCs w:val="21"/>
        </w:rPr>
        <w:t xml:space="preserve">Confirm the preferred build option (1, 2 or 3).</w:t>
      </w:r>
    </w:p>
    <w:p>
      <w:pPr>
        <w:pStyle w:val="ListParagraph"/>
        <w:numPr>
          <w:ilvl w:val="0"/>
          <w:numId w:val="3"/>
        </w:numPr>
        <w:spacing w:after="80" w:line="270"/>
      </w:pPr>
      <w:r>
        <w:rPr>
          <w:color w:val="0B1422"/>
          <w:sz w:val="21"/>
          <w:szCs w:val="21"/>
        </w:rPr>
        <w:t xml:space="preserve">Validate the Greek voice provider if Option 2 or 3 is chosen.</w:t>
      </w:r>
    </w:p>
    <w:p>
      <w:pPr>
        <w:pStyle w:val="ListParagraph"/>
        <w:numPr>
          <w:ilvl w:val="0"/>
          <w:numId w:val="3"/>
        </w:numPr>
        <w:spacing w:after="80" w:line="270"/>
      </w:pPr>
      <w:r>
        <w:rPr>
          <w:color w:val="0B1422"/>
          <w:sz w:val="21"/>
          <w:szCs w:val="21"/>
        </w:rPr>
        <w:t xml:space="preserve">Share the trait library and a sample brand's documents to seed the build.</w:t>
      </w:r>
    </w:p>
    <w:p>
      <w:pPr>
        <w:pStyle w:val="ListParagraph"/>
        <w:numPr>
          <w:ilvl w:val="0"/>
          <w:numId w:val="3"/>
        </w:numPr>
        <w:spacing w:after="80" w:line="270"/>
      </w:pPr>
      <w:r>
        <w:rPr>
          <w:color w:val="0B1422"/>
          <w:sz w:val="21"/>
          <w:szCs w:val="21"/>
        </w:rPr>
        <w:t xml:space="preserve">Agree the schedule and kick off.</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EE7" w:sz="1"/>
              <w:left w:val="single" w:color="EF5611" w:sz="18"/>
              <w:bottom w:val="single" w:color="D8DEE7" w:sz="1"/>
              <w:right w:val="single" w:color="D8DEE7" w:sz="1"/>
            </w:tcBorders>
            <w:shd w:fill="F2F4F8" w:val="clear"/>
            <w:tcMar>
              <w:top w:type="dxa" w:w="140"/>
              <w:left w:type="dxa" w:w="180"/>
              <w:bottom w:type="dxa" w:w="140"/>
              <w:right w:type="dxa" w:w="160"/>
            </w:tcMar>
          </w:tcPr>
          <w:p>
            <w:pPr>
              <w:spacing w:after="0" w:line="264"/>
            </w:pPr>
            <w:r>
              <w:rPr>
                <w:b/>
                <w:bCs/>
                <w:color w:val="16263F"/>
                <w:sz w:val="20"/>
                <w:szCs w:val="20"/>
              </w:rPr>
              <w:t xml:space="preserve">Recommended starting point: </w:t>
            </w:r>
            <w:r>
              <w:rPr>
                <w:color w:val="0B1422"/>
                <w:sz w:val="20"/>
                <w:szCs w:val="20"/>
              </w:rPr>
              <w:t xml:space="preserve">Option 2 (€12,000) — a complete, voice-enabled, self-coaching product that demonstrates full value to prospective brands, with the whole of Phase 1 comfortably within budget.</w:t>
            </w:r>
          </w:p>
        </w:tc>
      </w:tr>
    </w:tbl>
    <w:p>
      <w:pPr>
        <w:spacing w:after="180"/>
      </w:pPr>
    </w:p>
    <w:p>
      <w:pPr>
        <w:spacing w:after="140" w:line="276"/>
      </w:pPr>
      <w:r>
        <w:rPr>
          <w:i/>
          <w:iCs/>
          <w:color w:val="3F4A57"/>
          <w:sz w:val="21"/>
          <w:szCs w:val="21"/>
        </w:rPr>
        <w:t xml:space="preserve">Thank you for the opportunity. I'm happy to walk through the prototype live and adjust scope or pricing to fit your priorities.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7" w:sz="4" w:space="6"/>
      </w:pBdr>
      <w:tabs>
        <w:tab w:val="right" w:pos="9026"/>
      </w:tabs>
    </w:pPr>
    <w:r>
      <w:rPr>
        <w:color w:val="3F4A57"/>
        <w:sz w:val="16"/>
        <w:szCs w:val="16"/>
      </w:rPr>
      <w:t xml:space="preserve">AI Sales Coaching &amp; Roleplay Platform — Proposal</w:t>
    </w:r>
    <w:r>
      <w:rPr>
        <w:color w:val="3F4A57"/>
        <w:sz w:val="16"/>
        <w:szCs w:val="16"/>
      </w:rPr>
      <w:t xml:space="preserve">	Commercial in confidence   ·   Page </w:t>
    </w:r>
    <w:r>
      <w:rPr>
        <w:color w:val="3F4A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EF5611"/>
      </w:rPr>
    </w:lvl>
  </w:abstractNum>
  <w:abstractNum w:abstractNumId="3" w15:restartNumberingAfterBreak="0">
    <w:multiLevelType w:val="hybridMultilevel"/>
    <w:lvl w:ilvl="0" w15:tentative="1">
      <w:start w:val="1"/>
      <w:numFmt w:val="decimal"/>
      <w:lvlText w:val="%1."/>
      <w:lvlJc w:val="left"/>
      <w:pPr>
        <w:ind w:left="540" w:hanging="270"/>
      </w:pPr>
      <w:rPr>
        <w:b/>
        <w:bCs/>
        <w:color w:val="16263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14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F5611" w:sz="8" w:space="5"/>
      </w:pBdr>
      <w:spacing w:after="200" w:before="320"/>
      <w:outlineLvl w:val="0"/>
    </w:pPr>
    <w:rPr>
      <w:rFonts w:ascii="Calibri" w:cs="Calibri" w:eastAsia="Calibri" w:hAnsi="Calibri"/>
      <w:b/>
      <w:bCs/>
      <w:color w:val="16263F"/>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0C1A2E"/>
      <w:sz w:val="25"/>
      <w:szCs w:val="25"/>
    </w:rPr>
  </w:style>
  <w:style w:type="paragraph" w:styleId="Heading3">
    <w:name w:val="Heading 3"/>
    <w:basedOn w:val="Normal"/>
    <w:next w:val="Normal"/>
    <w:qFormat/>
    <w:pPr>
      <w:spacing w:after="70" w:before="160"/>
      <w:outlineLvl w:val="2"/>
    </w:pPr>
    <w:rPr>
      <w:rFonts w:ascii="Calibri" w:cs="Calibri" w:eastAsia="Calibri" w:hAnsi="Calibri"/>
      <w:b/>
      <w:bCs/>
      <w:color w:val="EF56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Sales Coaching &amp; Roleplay Platform — Proposal</dc:title>
  <dc:creator>Nile</dc:creator>
  <cp:lastModifiedBy>Un-named</cp:lastModifiedBy>
  <cp:revision>1</cp:revision>
  <dcterms:created xsi:type="dcterms:W3CDTF">2026-06-29T07:47:26.007Z</dcterms:created>
  <dcterms:modified xsi:type="dcterms:W3CDTF">2026-06-29T07:47:26.007Z</dcterms:modified>
</cp:coreProperties>
</file>

<file path=docProps/custom.xml><?xml version="1.0" encoding="utf-8"?>
<Properties xmlns="http://schemas.openxmlformats.org/officeDocument/2006/custom-properties" xmlns:vt="http://schemas.openxmlformats.org/officeDocument/2006/docPropsVTypes"/>
</file>