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C2410C"/>
          <w:spacing w:val="16"/>
          <w:sz w:val="16"/>
          <w:szCs w:val="16"/>
        </w:rPr>
        <w:t xml:space="preserve">ONE PLATFORM. ONE RECORD. ONE NUMBER THAT FINALLY MAKES SENSE.</w:t>
      </w:r>
    </w:p>
    <w:p>
      <w:pPr>
        <w:spacing w:after="140" w:before="200"/>
      </w:pPr>
      <w:r>
        <w:rPr>
          <w:rFonts w:ascii="Calibri" w:cs="Calibri" w:eastAsia="Calibri" w:hAnsi="Calibri"/>
          <w:b/>
          <w:bCs/>
          <w:color w:val="18181B"/>
          <w:sz w:val="44"/>
          <w:szCs w:val="44"/>
        </w:rPr>
        <w:t xml:space="preserve">Everything Zion does, in one system.</w:t>
      </w:r>
    </w:p>
    <w:p>
      <w:pPr>
        <w:spacing w:after="100"/>
        <w:jc w:val="left"/>
      </w:pPr>
      <w:r>
        <w:rPr>
          <w:rFonts w:ascii="Calibri" w:cs="Calibri" w:eastAsia="Calibri" w:hAnsi="Calibri"/>
          <w:color w:val="52525B"/>
          <w:sz w:val="22"/>
          <w:szCs w:val="22"/>
        </w:rPr>
        <w:t xml:space="preserve">Today the crew goes out on one system and the report comes back on another. Nothing joins up, so nothing can be measured. Zion Unified puts dispatch, inspection, reporting and billing on a single record — and for the first time shows you what every job actually earned.</w:t>
      </w:r>
    </w:p>
    <w:p>
      <w:pPr>
        <w:pBdr>
          <w:bottom w:val="single" w:color="18181B" w:sz="12" w:space="6"/>
        </w:pBdr>
        <w:spacing w:after="120" w:before="340"/>
      </w:pPr>
      <w:r>
        <w:rPr>
          <w:rFonts w:ascii="Calibri" w:cs="Calibri" w:eastAsia="Calibri" w:hAnsi="Calibri"/>
          <w:b/>
          <w:bCs/>
          <w:color w:val="18181B"/>
          <w:spacing w:val="14"/>
          <w:sz w:val="24"/>
          <w:szCs w:val="24"/>
        </w:rPr>
        <w:t xml:space="preserve">WHAT CHANGES FOR ZION</w:t>
      </w:r>
    </w:p>
    <w:tbl>
      <w:tblPr>
        <w:tblW w:type="dxa" w:w="10080"/>
        <w:tblBorders>
          <w:top w:val="none" w:color="auto" w:sz="0"/>
          <w:left w:val="none" w:color="auto" w:sz="0"/>
          <w:bottom w:val="single" w:color="E4E4E7" w:sz="4"/>
          <w:right w:val="none" w:color="auto" w:sz="0"/>
          <w:insideH w:val="single" w:color="E4E4E7" w:sz="4"/>
          <w:insideV w:val="none" w:color="auto" w:sz="0"/>
        </w:tblBorders>
      </w:tblPr>
      <w:tblGrid>
        <w:gridCol w:w="3000"/>
        <w:gridCol w:w="7080"/>
      </w:tblGrid>
      <w:tr>
        <w:tc>
          <w:tcPr>
            <w:tcW w:type="dxa" w:w="3000"/>
            <w:tcBorders>
              <w:left w:val="single" w:color="C2410C" w:sz="18"/>
            </w:tcBorders>
            <w:tcMar>
              <w:top w:type="dxa" w:w="110"/>
              <w:left w:type="dxa" w:w="0"/>
              <w:bottom w:type="dxa" w:w="110"/>
              <w:right w:type="dxa" w:w="140"/>
            </w:tcMar>
          </w:tcPr>
          <w:p>
            <w:pPr>
              <w:ind w:left="130"/>
            </w:pPr>
            <w:r>
              <w:rPr>
                <w:rFonts w:ascii="Calibri" w:cs="Calibri" w:eastAsia="Calibri" w:hAnsi="Calibri"/>
                <w:b/>
                <w:bCs/>
                <w:color w:val="18181B"/>
                <w:sz w:val="21"/>
                <w:szCs w:val="21"/>
              </w:rPr>
              <w:t xml:space="preserve">Margin on every job</w:t>
            </w:r>
          </w:p>
          <w:p>
            <w:pPr>
              <w:spacing w:before="40"/>
              <w:ind w:left="130"/>
            </w:pPr>
            <w:r>
              <w:rPr>
                <w:rFonts w:ascii="Consolas" w:cs="Consolas" w:eastAsia="Consolas" w:hAnsi="Consolas"/>
                <w:b/>
                <w:bCs/>
                <w:color w:val="9A3412"/>
                <w:spacing w:val="12"/>
                <w:sz w:val="14"/>
                <w:szCs w:val="14"/>
              </w:rPr>
              <w:t xml:space="preserve">CORE</w:t>
            </w:r>
          </w:p>
        </w:tc>
        <w:tc>
          <w:tcPr>
            <w:tcW w:type="dxa" w:w="7080"/>
            <w:tcMar>
              <w:top w:type="dxa" w:w="110"/>
              <w:left w:type="dxa" w:w="0"/>
              <w:bottom w:type="dxa" w:w="110"/>
              <w:right w:type="dxa" w:w="0"/>
            </w:tcMar>
          </w:tcPr>
          <w:p>
            <w:r>
              <w:rPr>
                <w:rFonts w:ascii="Calibri" w:cs="Calibri" w:eastAsia="Calibri" w:hAnsi="Calibri"/>
                <w:color w:val="52525B"/>
                <w:sz w:val="19"/>
                <w:szCs w:val="19"/>
              </w:rPr>
              <w:t xml:space="preserve">Revenue against delivered cost — crew hours at their real pay rate, overtime, mileage and consumables. Profitability by job, customer, site, inspector and service type. You have never had this number.</w:t>
            </w:r>
          </w:p>
        </w:tc>
      </w:tr>
      <w:tr>
        <w:tc>
          <w:tcPr>
            <w:tcW w:type="dxa" w:w="3000"/>
            <w:tcBorders>
              <w:left w:val="single" w:color="C2410C" w:sz="18"/>
            </w:tcBorders>
            <w:tcMar>
              <w:top w:type="dxa" w:w="110"/>
              <w:left w:type="dxa" w:w="0"/>
              <w:bottom w:type="dxa" w:w="110"/>
              <w:right w:type="dxa" w:w="140"/>
            </w:tcMar>
          </w:tcPr>
          <w:p>
            <w:pPr>
              <w:ind w:left="130"/>
            </w:pPr>
            <w:r>
              <w:rPr>
                <w:rFonts w:ascii="Calibri" w:cs="Calibri" w:eastAsia="Calibri" w:hAnsi="Calibri"/>
                <w:b/>
                <w:bCs/>
                <w:color w:val="18181B"/>
                <w:sz w:val="21"/>
                <w:szCs w:val="21"/>
              </w:rPr>
              <w:t xml:space="preserve">Live cost per site</w:t>
            </w:r>
          </w:p>
          <w:p>
            <w:pPr>
              <w:spacing w:before="40"/>
              <w:ind w:left="130"/>
            </w:pPr>
            <w:r>
              <w:rPr>
                <w:rFonts w:ascii="Consolas" w:cs="Consolas" w:eastAsia="Consolas" w:hAnsi="Consolas"/>
                <w:b/>
                <w:bCs/>
                <w:color w:val="9A3412"/>
                <w:spacing w:val="12"/>
                <w:sz w:val="14"/>
                <w:szCs w:val="14"/>
              </w:rPr>
              <w:t xml:space="preserve">CORE</w:t>
            </w:r>
          </w:p>
        </w:tc>
        <w:tc>
          <w:tcPr>
            <w:tcW w:type="dxa" w:w="7080"/>
            <w:tcMar>
              <w:top w:type="dxa" w:w="110"/>
              <w:left w:type="dxa" w:w="0"/>
              <w:bottom w:type="dxa" w:w="110"/>
              <w:right w:type="dxa" w:w="0"/>
            </w:tcMar>
          </w:tcPr>
          <w:p>
            <w:r>
              <w:rPr>
                <w:rFonts w:ascii="Calibri" w:cs="Calibri" w:eastAsia="Calibri" w:hAnsi="Calibri"/>
                <w:color w:val="52525B"/>
                <w:sz w:val="19"/>
                <w:szCs w:val="19"/>
              </w:rPr>
              <w:t xml:space="preserve">Geo-fenced check in and out ties every hour a crew spends to the customer’s location. You can see what a site is costing you while the job is still running, not after the invoice.</w:t>
            </w:r>
          </w:p>
        </w:tc>
      </w:tr>
      <w:tr>
        <w:tc>
          <w:tcPr>
            <w:tcW w:type="dxa" w:w="3000"/>
            <w:tcBorders>
              <w:left w:val="single" w:color="C2410C" w:sz="18"/>
            </w:tcBorders>
            <w:tcMar>
              <w:top w:type="dxa" w:w="110"/>
              <w:left w:type="dxa" w:w="0"/>
              <w:bottom w:type="dxa" w:w="110"/>
              <w:right w:type="dxa" w:w="140"/>
            </w:tcMar>
          </w:tcPr>
          <w:p>
            <w:pPr>
              <w:ind w:left="130"/>
            </w:pPr>
            <w:r>
              <w:rPr>
                <w:rFonts w:ascii="Calibri" w:cs="Calibri" w:eastAsia="Calibri" w:hAnsi="Calibri"/>
                <w:b/>
                <w:bCs/>
                <w:color w:val="18181B"/>
                <w:sz w:val="21"/>
                <w:szCs w:val="21"/>
              </w:rPr>
              <w:t xml:space="preserve">All customers in one place</w:t>
            </w:r>
          </w:p>
          <w:p>
            <w:pPr>
              <w:spacing w:before="40"/>
              <w:ind w:left="130"/>
            </w:pPr>
            <w:r>
              <w:rPr>
                <w:rFonts w:ascii="Consolas" w:cs="Consolas" w:eastAsia="Consolas" w:hAnsi="Consolas"/>
                <w:b/>
                <w:bCs/>
                <w:color w:val="9A3412"/>
                <w:spacing w:val="12"/>
                <w:sz w:val="14"/>
                <w:szCs w:val="14"/>
              </w:rPr>
              <w:t xml:space="preserve">CORE</w:t>
            </w:r>
          </w:p>
        </w:tc>
        <w:tc>
          <w:tcPr>
            <w:tcW w:type="dxa" w:w="7080"/>
            <w:tcMar>
              <w:top w:type="dxa" w:w="110"/>
              <w:left w:type="dxa" w:w="0"/>
              <w:bottom w:type="dxa" w:w="110"/>
              <w:right w:type="dxa" w:w="0"/>
            </w:tcMar>
          </w:tcPr>
          <w:p>
            <w:r>
              <w:rPr>
                <w:rFonts w:ascii="Calibri" w:cs="Calibri" w:eastAsia="Calibri" w:hAnsi="Calibri"/>
                <w:color w:val="52525B"/>
                <w:sz w:val="19"/>
                <w:szCs w:val="19"/>
              </w:rPr>
              <w:t xml:space="preserve">One customer master. Sites, divisions, contacts, SLAs, business rules, price sheets, connection standards, tool templates and full job history — entered once, used by both halves of the business.</w:t>
            </w:r>
          </w:p>
        </w:tc>
      </w:tr>
      <w:tr>
        <w:tc>
          <w:tcPr>
            <w:tcW w:type="dxa" w:w="3000"/>
            <w:tcBorders>
              <w:left w:val="single" w:color="C2410C" w:sz="18"/>
            </w:tcBorders>
            <w:tcMar>
              <w:top w:type="dxa" w:w="110"/>
              <w:left w:type="dxa" w:w="0"/>
              <w:bottom w:type="dxa" w:w="110"/>
              <w:right w:type="dxa" w:w="140"/>
            </w:tcMar>
          </w:tcPr>
          <w:p>
            <w:pPr>
              <w:ind w:left="130"/>
            </w:pPr>
            <w:r>
              <w:rPr>
                <w:rFonts w:ascii="Calibri" w:cs="Calibri" w:eastAsia="Calibri" w:hAnsi="Calibri"/>
                <w:b/>
                <w:bCs/>
                <w:color w:val="18181B"/>
                <w:sz w:val="21"/>
                <w:szCs w:val="21"/>
              </w:rPr>
              <w:t xml:space="preserve">The full customer view</w:t>
            </w:r>
          </w:p>
          <w:p>
            <w:pPr>
              <w:spacing w:before="40"/>
              <w:ind w:left="130"/>
            </w:pPr>
            <w:r>
              <w:rPr>
                <w:rFonts w:ascii="Consolas" w:cs="Consolas" w:eastAsia="Consolas" w:hAnsi="Consolas"/>
                <w:b/>
                <w:bCs/>
                <w:color w:val="9A3412"/>
                <w:spacing w:val="12"/>
                <w:sz w:val="14"/>
                <w:szCs w:val="14"/>
              </w:rPr>
              <w:t xml:space="preserve">CORE</w:t>
            </w:r>
          </w:p>
        </w:tc>
        <w:tc>
          <w:tcPr>
            <w:tcW w:type="dxa" w:w="7080"/>
            <w:tcMar>
              <w:top w:type="dxa" w:w="110"/>
              <w:left w:type="dxa" w:w="0"/>
              <w:bottom w:type="dxa" w:w="110"/>
              <w:right w:type="dxa" w:w="0"/>
            </w:tcMar>
          </w:tcPr>
          <w:p>
            <w:r>
              <w:rPr>
                <w:rFonts w:ascii="Calibri" w:cs="Calibri" w:eastAsia="Calibri" w:hAnsi="Calibri"/>
                <w:color w:val="52525B"/>
                <w:sz w:val="19"/>
                <w:szCs w:val="19"/>
              </w:rPr>
              <w:t xml:space="preserve">Open a customer and see everything: every job, every inspection, every item, every report, every invoice, what they owe and how they actually pay.</w:t>
            </w:r>
          </w:p>
        </w:tc>
      </w:tr>
      <w:tr>
        <w:tc>
          <w:tcPr>
            <w:tcW w:type="dxa" w:w="3000"/>
            <w:tcBorders>
              <w:left w:val="single" w:color="C2410C" w:sz="18"/>
            </w:tcBorders>
            <w:tcMar>
              <w:top w:type="dxa" w:w="110"/>
              <w:left w:type="dxa" w:w="0"/>
              <w:bottom w:type="dxa" w:w="110"/>
              <w:right w:type="dxa" w:w="140"/>
            </w:tcMar>
          </w:tcPr>
          <w:p>
            <w:pPr>
              <w:ind w:left="130"/>
            </w:pPr>
            <w:r>
              <w:rPr>
                <w:rFonts w:ascii="Calibri" w:cs="Calibri" w:eastAsia="Calibri" w:hAnsi="Calibri"/>
                <w:b/>
                <w:bCs/>
                <w:color w:val="18181B"/>
                <w:sz w:val="21"/>
                <w:szCs w:val="21"/>
              </w:rPr>
              <w:t xml:space="preserve">Your inspection logic, built in</w:t>
            </w:r>
          </w:p>
          <w:p>
            <w:pPr>
              <w:spacing w:before="40"/>
              <w:ind w:left="130"/>
            </w:pPr>
            <w:r>
              <w:rPr>
                <w:rFonts w:ascii="Consolas" w:cs="Consolas" w:eastAsia="Consolas" w:hAnsi="Consolas"/>
                <w:b/>
                <w:bCs/>
                <w:color w:val="9A3412"/>
                <w:spacing w:val="12"/>
                <w:sz w:val="14"/>
                <w:szCs w:val="14"/>
              </w:rPr>
              <w:t xml:space="preserve">CORE</w:t>
            </w:r>
          </w:p>
        </w:tc>
        <w:tc>
          <w:tcPr>
            <w:tcW w:type="dxa" w:w="7080"/>
            <w:tcMar>
              <w:top w:type="dxa" w:w="110"/>
              <w:left w:type="dxa" w:w="0"/>
              <w:bottom w:type="dxa" w:w="110"/>
              <w:right w:type="dxa" w:w="0"/>
            </w:tcMar>
          </w:tcPr>
          <w:p>
            <w:r>
              <w:rPr>
                <w:rFonts w:ascii="Calibri" w:cs="Calibri" w:eastAsia="Calibri" w:hAnsi="Calibri"/>
                <w:color w:val="52525B"/>
                <w:sz w:val="19"/>
                <w:szCs w:val="19"/>
              </w:rPr>
              <w:t xml:space="preserve">Asset → governing standard → procedure → NDT method → technique → equipment → acceptance criteria → inspector qualification → report. An inspector cannot apply a drill-collar rule to a rig weld.</w:t>
            </w:r>
          </w:p>
        </w:tc>
      </w:tr>
      <w:tr>
        <w:tc>
          <w:tcPr>
            <w:tcW w:type="dxa" w:w="3000"/>
            <w:tcBorders>
              <w:left w:val="single" w:color="C2410C" w:sz="18"/>
            </w:tcBorders>
            <w:tcMar>
              <w:top w:type="dxa" w:w="110"/>
              <w:left w:type="dxa" w:w="0"/>
              <w:bottom w:type="dxa" w:w="110"/>
              <w:right w:type="dxa" w:w="140"/>
            </w:tcMar>
          </w:tcPr>
          <w:p>
            <w:pPr>
              <w:ind w:left="130"/>
            </w:pPr>
            <w:r>
              <w:rPr>
                <w:rFonts w:ascii="Calibri" w:cs="Calibri" w:eastAsia="Calibri" w:hAnsi="Calibri"/>
                <w:b/>
                <w:bCs/>
                <w:color w:val="18181B"/>
                <w:sz w:val="21"/>
                <w:szCs w:val="21"/>
              </w:rPr>
              <w:t xml:space="preserve">A modern, fast platform</w:t>
            </w:r>
          </w:p>
          <w:p>
            <w:pPr>
              <w:spacing w:before="40"/>
              <w:ind w:left="130"/>
            </w:pPr>
            <w:r>
              <w:rPr>
                <w:rFonts w:ascii="Consolas" w:cs="Consolas" w:eastAsia="Consolas" w:hAnsi="Consolas"/>
                <w:b/>
                <w:bCs/>
                <w:color w:val="9A3412"/>
                <w:spacing w:val="12"/>
                <w:sz w:val="14"/>
                <w:szCs w:val="14"/>
              </w:rPr>
              <w:t xml:space="preserve">CORE</w:t>
            </w:r>
          </w:p>
        </w:tc>
        <w:tc>
          <w:tcPr>
            <w:tcW w:type="dxa" w:w="7080"/>
            <w:tcMar>
              <w:top w:type="dxa" w:w="110"/>
              <w:left w:type="dxa" w:w="0"/>
              <w:bottom w:type="dxa" w:w="110"/>
              <w:right w:type="dxa" w:w="0"/>
            </w:tcMar>
          </w:tcPr>
          <w:p>
            <w:r>
              <w:rPr>
                <w:rFonts w:ascii="Calibri" w:cs="Calibri" w:eastAsia="Calibri" w:hAnsi="Calibri"/>
                <w:color w:val="52525B"/>
                <w:sz w:val="19"/>
                <w:szCs w:val="19"/>
              </w:rPr>
              <w:t xml:space="preserve">A brand-new lightweight stack replacing five years of accumulated code. Fast, iPad-ready for the field, and built so new features take days rather than months.</w:t>
            </w:r>
          </w:p>
        </w:tc>
      </w:tr>
      <w:tr>
        <w:tc>
          <w:tcPr>
            <w:tcW w:type="dxa" w:w="3000"/>
            <w:tcBorders>
              <w:left w:val="single" w:color="D4D4D8" w:sz="18"/>
            </w:tcBorders>
            <w:tcMar>
              <w:top w:type="dxa" w:w="110"/>
              <w:left w:type="dxa" w:w="0"/>
              <w:bottom w:type="dxa" w:w="110"/>
              <w:right w:type="dxa" w:w="140"/>
            </w:tcMar>
          </w:tcPr>
          <w:p>
            <w:pPr>
              <w:ind w:left="130"/>
            </w:pPr>
            <w:r>
              <w:rPr>
                <w:rFonts w:ascii="Calibri" w:cs="Calibri" w:eastAsia="Calibri" w:hAnsi="Calibri"/>
                <w:b/>
                <w:bCs/>
                <w:color w:val="18181B"/>
                <w:sz w:val="21"/>
                <w:szCs w:val="21"/>
              </w:rPr>
              <w:t xml:space="preserve">Internalised communication</w:t>
            </w:r>
          </w:p>
          <w:p>
            <w:pPr>
              <w:spacing w:before="40"/>
              <w:ind w:left="130"/>
            </w:pPr>
            <w:r>
              <w:rPr>
                <w:rFonts w:ascii="Consolas" w:cs="Consolas" w:eastAsia="Consolas" w:hAnsi="Consolas"/>
                <w:b/>
                <w:bCs/>
                <w:color w:val="A1A1AA"/>
                <w:spacing w:val="12"/>
                <w:sz w:val="14"/>
                <w:szCs w:val="14"/>
              </w:rPr>
              <w:t xml:space="preserve">ADD-ON</w:t>
            </w:r>
          </w:p>
        </w:tc>
        <w:tc>
          <w:tcPr>
            <w:tcW w:type="dxa" w:w="7080"/>
            <w:tcMar>
              <w:top w:type="dxa" w:w="110"/>
              <w:left w:type="dxa" w:w="0"/>
              <w:bottom w:type="dxa" w:w="110"/>
              <w:right w:type="dxa" w:w="0"/>
            </w:tcMar>
          </w:tcPr>
          <w:p>
            <w:r>
              <w:rPr>
                <w:rFonts w:ascii="Calibri" w:cs="Calibri" w:eastAsia="Calibri" w:hAnsi="Calibri"/>
                <w:color w:val="52525B"/>
                <w:sz w:val="19"/>
                <w:szCs w:val="19"/>
              </w:rPr>
              <w:t xml:space="preserve">Crews call and message customers through the platform. They never see the number, it never lands on their phone, and one switch removes a leaver from every conversation at once.</w:t>
            </w:r>
          </w:p>
        </w:tc>
      </w:tr>
      <w:tr>
        <w:tc>
          <w:tcPr>
            <w:tcW w:type="dxa" w:w="3000"/>
            <w:tcBorders>
              <w:left w:val="single" w:color="D4D4D8" w:sz="18"/>
            </w:tcBorders>
            <w:tcMar>
              <w:top w:type="dxa" w:w="110"/>
              <w:left w:type="dxa" w:w="0"/>
              <w:bottom w:type="dxa" w:w="110"/>
              <w:right w:type="dxa" w:w="140"/>
            </w:tcMar>
          </w:tcPr>
          <w:p>
            <w:pPr>
              <w:ind w:left="130"/>
            </w:pPr>
            <w:r>
              <w:rPr>
                <w:rFonts w:ascii="Calibri" w:cs="Calibri" w:eastAsia="Calibri" w:hAnsi="Calibri"/>
                <w:b/>
                <w:bCs/>
                <w:color w:val="18181B"/>
                <w:sz w:val="21"/>
                <w:szCs w:val="21"/>
              </w:rPr>
              <w:t xml:space="preserve">Training &amp; certifications</w:t>
            </w:r>
          </w:p>
          <w:p>
            <w:pPr>
              <w:spacing w:before="40"/>
              <w:ind w:left="130"/>
            </w:pPr>
            <w:r>
              <w:rPr>
                <w:rFonts w:ascii="Consolas" w:cs="Consolas" w:eastAsia="Consolas" w:hAnsi="Consolas"/>
                <w:b/>
                <w:bCs/>
                <w:color w:val="A1A1AA"/>
                <w:spacing w:val="12"/>
                <w:sz w:val="14"/>
                <w:szCs w:val="14"/>
              </w:rPr>
              <w:t xml:space="preserve">ADD-ON</w:t>
            </w:r>
          </w:p>
        </w:tc>
        <w:tc>
          <w:tcPr>
            <w:tcW w:type="dxa" w:w="7080"/>
            <w:tcMar>
              <w:top w:type="dxa" w:w="110"/>
              <w:left w:type="dxa" w:w="0"/>
              <w:bottom w:type="dxa" w:w="110"/>
              <w:right w:type="dxa" w:w="0"/>
            </w:tcMar>
          </w:tcPr>
          <w:p>
            <w:r>
              <w:rPr>
                <w:rFonts w:ascii="Calibri" w:cs="Calibri" w:eastAsia="Calibri" w:hAnsi="Calibri"/>
                <w:color w:val="52525B"/>
                <w:sz w:val="19"/>
                <w:szCs w:val="19"/>
              </w:rPr>
              <w:t xml:space="preserve">On-the-job training, competency records and certification expiry tracked against the qualifications each inspection procedure requires.</w:t>
            </w:r>
          </w:p>
        </w:tc>
      </w:tr>
      <w:tr>
        <w:tc>
          <w:tcPr>
            <w:tcW w:type="dxa" w:w="3000"/>
            <w:tcBorders>
              <w:left w:val="single" w:color="D4D4D8" w:sz="18"/>
            </w:tcBorders>
            <w:tcMar>
              <w:top w:type="dxa" w:w="110"/>
              <w:left w:type="dxa" w:w="0"/>
              <w:bottom w:type="dxa" w:w="110"/>
              <w:right w:type="dxa" w:w="140"/>
            </w:tcMar>
          </w:tcPr>
          <w:p>
            <w:pPr>
              <w:ind w:left="130"/>
            </w:pPr>
            <w:r>
              <w:rPr>
                <w:rFonts w:ascii="Calibri" w:cs="Calibri" w:eastAsia="Calibri" w:hAnsi="Calibri"/>
                <w:b/>
                <w:bCs/>
                <w:color w:val="18181B"/>
                <w:sz w:val="21"/>
                <w:szCs w:val="21"/>
              </w:rPr>
              <w:t xml:space="preserve">Customer portal</w:t>
            </w:r>
          </w:p>
          <w:p>
            <w:pPr>
              <w:spacing w:before="40"/>
              <w:ind w:left="130"/>
            </w:pPr>
            <w:r>
              <w:rPr>
                <w:rFonts w:ascii="Consolas" w:cs="Consolas" w:eastAsia="Consolas" w:hAnsi="Consolas"/>
                <w:b/>
                <w:bCs/>
                <w:color w:val="A1A1AA"/>
                <w:spacing w:val="12"/>
                <w:sz w:val="14"/>
                <w:szCs w:val="14"/>
              </w:rPr>
              <w:t xml:space="preserve">ADD-ON</w:t>
            </w:r>
          </w:p>
        </w:tc>
        <w:tc>
          <w:tcPr>
            <w:tcW w:type="dxa" w:w="7080"/>
            <w:tcMar>
              <w:top w:type="dxa" w:w="110"/>
              <w:left w:type="dxa" w:w="0"/>
              <w:bottom w:type="dxa" w:w="110"/>
              <w:right w:type="dxa" w:w="0"/>
            </w:tcMar>
          </w:tcPr>
          <w:p>
            <w:r>
              <w:rPr>
                <w:rFonts w:ascii="Calibri" w:cs="Calibri" w:eastAsia="Calibri" w:hAnsi="Calibri"/>
                <w:color w:val="52525B"/>
                <w:sz w:val="19"/>
                <w:szCs w:val="19"/>
              </w:rPr>
              <w:t xml:space="preserve">Your customers raise inspection tickets, follow job status, download reports and see what is outstanding — without calling your office.</w:t>
            </w:r>
          </w:p>
        </w:tc>
      </w:tr>
      <w:tr>
        <w:tc>
          <w:tcPr>
            <w:tcW w:type="dxa" w:w="3000"/>
            <w:tcBorders>
              <w:left w:val="single" w:color="D4D4D8" w:sz="18"/>
            </w:tcBorders>
            <w:tcMar>
              <w:top w:type="dxa" w:w="110"/>
              <w:left w:type="dxa" w:w="0"/>
              <w:bottom w:type="dxa" w:w="110"/>
              <w:right w:type="dxa" w:w="140"/>
            </w:tcMar>
          </w:tcPr>
          <w:p>
            <w:pPr>
              <w:ind w:left="130"/>
            </w:pPr>
            <w:r>
              <w:rPr>
                <w:rFonts w:ascii="Calibri" w:cs="Calibri" w:eastAsia="Calibri" w:hAnsi="Calibri"/>
                <w:b/>
                <w:bCs/>
                <w:color w:val="18181B"/>
                <w:sz w:val="21"/>
                <w:szCs w:val="21"/>
              </w:rPr>
              <w:t xml:space="preserve">Zion Intelligence</w:t>
            </w:r>
          </w:p>
          <w:p>
            <w:pPr>
              <w:spacing w:before="40"/>
              <w:ind w:left="130"/>
            </w:pPr>
            <w:r>
              <w:rPr>
                <w:rFonts w:ascii="Consolas" w:cs="Consolas" w:eastAsia="Consolas" w:hAnsi="Consolas"/>
                <w:b/>
                <w:bCs/>
                <w:color w:val="A1A1AA"/>
                <w:spacing w:val="12"/>
                <w:sz w:val="14"/>
                <w:szCs w:val="14"/>
              </w:rPr>
              <w:t xml:space="preserve">PHASE 2</w:t>
            </w:r>
          </w:p>
        </w:tc>
        <w:tc>
          <w:tcPr>
            <w:tcW w:type="dxa" w:w="7080"/>
            <w:tcMar>
              <w:top w:type="dxa" w:w="110"/>
              <w:left w:type="dxa" w:w="0"/>
              <w:bottom w:type="dxa" w:w="110"/>
              <w:right w:type="dxa" w:w="0"/>
            </w:tcMar>
          </w:tcPr>
          <w:p>
            <w:r>
              <w:rPr>
                <w:rFonts w:ascii="Calibri" w:cs="Calibri" w:eastAsia="Calibri" w:hAnsi="Calibri"/>
                <w:color w:val="52525B"/>
                <w:sz w:val="19"/>
                <w:szCs w:val="19"/>
              </w:rPr>
              <w:t xml:space="preserve">The AI layer: automatic inspection packages from job type, AI-assisted reports and QC, and a system that tells you what needs attention before you go looking.</w:t>
            </w:r>
          </w:p>
        </w:tc>
      </w:tr>
    </w:tbl>
    <w:p>
      <w:pPr>
        <w:spacing w:after="200"/>
      </w:pPr>
    </w:p>
    <w:tbl>
      <w:tblPr>
        <w:tblW w:type="dxa" w:w="10080"/>
        <w:tblBorders>
          <w:top w:val="none" w:color="auto" w:sz="0"/>
          <w:left w:val="single" w:color="C2410C" w:sz="18"/>
          <w:bottom w:val="none" w:color="auto" w:sz="0"/>
          <w:right w:val="none" w:color="auto" w:sz="0"/>
          <w:insideH w:val="none" w:color="auto" w:sz="0"/>
          <w:insideV w:val="none" w:color="auto" w:sz="0"/>
        </w:tblBorders>
      </w:tblPr>
      <w:tblGrid>
        <w:gridCol w:w="10080"/>
      </w:tblGrid>
      <w:tr>
        <w:tc>
          <w:tcPr>
            <w:tcW w:type="dxa" w:w="10080"/>
            <w:shd w:fill="FAFAFA" w:color="auto" w:val="clear"/>
            <w:tcMar>
              <w:top w:type="dxa" w:w="140"/>
              <w:left w:type="dxa" w:w="180"/>
              <w:bottom w:type="dxa" w:w="140"/>
              <w:right w:type="dxa" w:w="180"/>
            </w:tcMar>
          </w:tcPr>
          <w:p>
            <w:r>
              <w:rPr>
                <w:rFonts w:ascii="Calibri" w:cs="Calibri" w:eastAsia="Calibri" w:hAnsi="Calibri"/>
                <w:b/>
                <w:bCs/>
                <w:color w:val="18181B"/>
                <w:sz w:val="19"/>
                <w:szCs w:val="19"/>
              </w:rPr>
              <w:t xml:space="preserve">Why this order. </w:t>
            </w:r>
            <w:r>
              <w:rPr>
                <w:rFonts w:ascii="Calibri" w:cs="Calibri" w:eastAsia="Calibri" w:hAnsi="Calibri"/>
                <w:color w:val="52525B"/>
                <w:sz w:val="19"/>
                <w:szCs w:val="19"/>
              </w:rPr>
              <w:t xml:space="preserve">The intelligence layer is only possible once the operating system underneath it exists as structured data — assets, standards, procedures, measurements and costs all in one place. Build the backbone first and the AI becomes configuration rather than a research project. That is why it follows Phase 1 rather than competing with it.</w:t>
            </w:r>
          </w:p>
        </w:tc>
      </w:tr>
    </w:tbl>
    <w:p>
      <w:r>
        <w:br w:type="page"/>
      </w:r>
    </w:p>
    <w:p>
      <w:pPr>
        <w:pBdr>
          <w:bottom w:val="single" w:color="18181B" w:sz="12" w:space="6"/>
        </w:pBdr>
        <w:spacing w:after="120" w:before="340"/>
      </w:pPr>
      <w:r>
        <w:rPr>
          <w:rFonts w:ascii="Calibri" w:cs="Calibri" w:eastAsia="Calibri" w:hAnsi="Calibri"/>
          <w:b/>
          <w:bCs/>
          <w:color w:val="18181B"/>
          <w:spacing w:val="14"/>
          <w:sz w:val="24"/>
          <w:szCs w:val="24"/>
        </w:rPr>
        <w:t xml:space="preserve">PHASE 1 — ZION UNIFIED CORE</w:t>
      </w:r>
    </w:p>
    <w:tbl>
      <w:tblPr>
        <w:tblW w:type="dxa" w:w="10080"/>
        <w:tblBorders>
          <w:top w:val="none" w:color="auto" w:sz="0"/>
          <w:left w:val="none" w:color="auto" w:sz="0"/>
          <w:bottom w:val="single" w:color="E4E4E7" w:sz="4"/>
          <w:right w:val="none" w:color="auto" w:sz="0"/>
          <w:insideH w:val="single" w:color="E4E4E7" w:sz="4"/>
          <w:insideV w:val="none" w:color="auto" w:sz="0"/>
        </w:tblBorders>
      </w:tblPr>
      <w:tblGrid>
        <w:gridCol w:w="8280"/>
        <w:gridCol w:w="1800"/>
      </w:tblGrid>
      <w:tr>
        <w:trPr>
          <w:tblHeader/>
        </w:trPr>
        <w:tc>
          <w:tcPr>
            <w:tcW w:type="dxa" w:w="8280"/>
            <w:shd w:fill="FAFAFA" w:color="auto" w:val="clear"/>
            <w:tcMar>
              <w:top w:type="dxa" w:w="90"/>
              <w:left w:type="dxa" w:w="130"/>
              <w:bottom w:type="dxa" w:w="90"/>
              <w:right w:type="dxa" w:w="130"/>
            </w:tcMar>
          </w:tcPr>
          <w:p>
            <w:pPr>
              <w:jc w:val="left"/>
            </w:pPr>
            <w:r>
              <w:rPr>
                <w:rFonts w:ascii="Calibri" w:cs="Calibri" w:eastAsia="Calibri" w:hAnsi="Calibri"/>
                <w:b/>
                <w:bCs/>
                <w:color w:val="A1A1AA"/>
                <w:spacing w:val="12"/>
                <w:sz w:val="15"/>
                <w:szCs w:val="15"/>
              </w:rPr>
              <w:t xml:space="preserve">MODULE</w:t>
            </w:r>
          </w:p>
        </w:tc>
        <w:tc>
          <w:tcPr>
            <w:tcW w:type="dxa" w:w="1800"/>
            <w:shd w:fill="FAFAFA" w:color="auto" w:val="clear"/>
            <w:tcMar>
              <w:top w:type="dxa" w:w="90"/>
              <w:left w:type="dxa" w:w="130"/>
              <w:bottom w:type="dxa" w:w="90"/>
              <w:right w:type="dxa" w:w="130"/>
            </w:tcMar>
          </w:tcPr>
          <w:p>
            <w:pPr>
              <w:jc w:val="right"/>
            </w:pPr>
            <w:r>
              <w:rPr>
                <w:rFonts w:ascii="Calibri" w:cs="Calibri" w:eastAsia="Calibri" w:hAnsi="Calibri"/>
                <w:b/>
                <w:bCs/>
                <w:color w:val="A1A1AA"/>
                <w:spacing w:val="12"/>
                <w:sz w:val="15"/>
                <w:szCs w:val="15"/>
              </w:rPr>
              <w:t xml:space="preserve">EFFORT</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Platform foundation — access control, roles, kill switch, audit trail, iPad-optimised interface</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25 days</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Customer, site and division master — business rules, price sheets, contacts, documents</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30 days</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Workforce — employees, certifications, pay rules, crews and teams</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12 days</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Jobs and dispatch — absorbing and extending the existing CrewView platform</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10 days</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Attendance, time, mileage and live site cost tracking</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14 days</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Standards, procedures, methods and acceptance criteria backbone</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30 days</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Tool and item templates — the dynamic form and report engine</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28 days</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Inspections, inspected items, measurements and the tolerance engine</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55 days</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Equipment and calibration register</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12 days</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Job safety analysis</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8 days</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Reporting engine and document output</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30 days</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Billing, invoicing, profitability and margin analysis</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35 days</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Data migration — active customers and recent history</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15 days</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Quality assurance, user acceptance testing, deployment and handover</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36 days</w:t>
            </w:r>
          </w:p>
        </w:tc>
      </w:tr>
      <w:tr>
        <w:tc>
          <w:tcPr>
            <w:tcW w:type="dxa" w:w="8280"/>
            <w:tcBorders>
              <w:top w:val="single" w:color="18181B" w:sz="12"/>
            </w:tcBorders>
            <w:tcMar>
              <w:top w:type="dxa" w:w="80"/>
              <w:left w:type="dxa" w:w="130"/>
              <w:bottom w:type="dxa" w:w="80"/>
              <w:right w:type="dxa" w:w="130"/>
            </w:tcMar>
          </w:tcPr>
          <w:p>
            <w:pPr>
              <w:jc w:val="left"/>
            </w:pPr>
            <w:r>
              <w:rPr>
                <w:rFonts w:ascii="Calibri" w:cs="Calibri" w:eastAsia="Calibri" w:hAnsi="Calibri"/>
                <w:b/>
                <w:bCs/>
                <w:color w:val="18181B"/>
                <w:sz w:val="19"/>
                <w:szCs w:val="19"/>
              </w:rPr>
              <w:t xml:space="preserve">Total engineering effort</w:t>
            </w:r>
          </w:p>
        </w:tc>
        <w:tc>
          <w:tcPr>
            <w:tcW w:type="dxa" w:w="1800"/>
            <w:tcBorders>
              <w:top w:val="single" w:color="18181B" w:sz="12"/>
            </w:tcBorders>
            <w:tcMar>
              <w:top w:type="dxa" w:w="80"/>
              <w:left w:type="dxa" w:w="130"/>
              <w:bottom w:type="dxa" w:w="80"/>
              <w:right w:type="dxa" w:w="130"/>
            </w:tcMar>
          </w:tcPr>
          <w:p>
            <w:pPr>
              <w:jc w:val="right"/>
            </w:pPr>
            <w:r>
              <w:rPr>
                <w:rFonts w:ascii="Consolas" w:cs="Consolas" w:eastAsia="Consolas" w:hAnsi="Consolas"/>
                <w:b/>
                <w:bCs/>
                <w:color w:val="18181B"/>
                <w:sz w:val="19"/>
                <w:szCs w:val="19"/>
              </w:rPr>
              <w:t xml:space="preserve">340 days</w:t>
            </w:r>
          </w:p>
        </w:tc>
      </w:tr>
    </w:tbl>
    <w:p>
      <w:pPr>
        <w:spacing w:after="240"/>
      </w:pPr>
    </w:p>
    <w:tbl>
      <w:tblPr>
        <w:tblW w:type="dxa" w:w="10080"/>
        <w:tblBorders>
          <w:top w:val="none" w:color="auto" w:sz="0"/>
          <w:left w:val="none" w:color="auto" w:sz="0"/>
          <w:bottom w:val="single" w:color="E4E4E7" w:sz="4"/>
          <w:right w:val="none" w:color="auto" w:sz="0"/>
          <w:insideH w:val="single" w:color="E4E4E7" w:sz="4"/>
          <w:insideV w:val="none" w:color="auto" w:sz="0"/>
        </w:tblBorders>
      </w:tblPr>
      <w:tblGrid>
        <w:gridCol w:w="8280"/>
        <w:gridCol w:w="1800"/>
      </w:tblGrid>
      <w:tr>
        <w:tc>
          <w:tcPr>
            <w:tcW w:type="dxa" w:w="828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340 man-days at our standard rate of $200 per day</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$68,000</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15803D"/>
                <w:sz w:val="19"/>
                <w:szCs w:val="19"/>
              </w:rPr>
              <w:t xml:space="preserve">Less — CrewView dispatch already delivered and absorbed into the platform</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15803D"/>
                <w:sz w:val="19"/>
                <w:szCs w:val="19"/>
              </w:rPr>
              <w:t xml:space="preserve">− $22,600</w:t>
            </w:r>
          </w:p>
        </w:tc>
      </w:tr>
      <w:tr>
        <w:tc>
          <w:tcPr>
            <w:tcW w:type="dxa" w:w="8280"/>
            <w:tcMar>
              <w:top w:type="dxa" w:w="80"/>
              <w:left w:type="dxa" w:w="130"/>
              <w:bottom w:type="dxa" w:w="80"/>
              <w:right w:type="dxa" w:w="130"/>
            </w:tcMar>
          </w:tcPr>
          <w:p>
            <w:pPr>
              <w:jc w:val="left"/>
            </w:pPr>
            <w:r>
              <w:rPr>
                <w:rFonts w:ascii="Calibri" w:cs="Calibri" w:eastAsia="Calibri" w:hAnsi="Calibri"/>
                <w:b w:val="false"/>
                <w:bCs w:val="false"/>
                <w:color w:val="15803D"/>
                <w:sz w:val="19"/>
                <w:szCs w:val="19"/>
              </w:rPr>
              <w:t xml:space="preserve">Less — foundation credit, applied once at the start of the partnership</w:t>
            </w:r>
          </w:p>
        </w:tc>
        <w:tc>
          <w:tcPr>
            <w:tcW w:type="dxa" w:w="1800"/>
            <w:tcMar>
              <w:top w:type="dxa" w:w="80"/>
              <w:left w:type="dxa" w:w="130"/>
              <w:bottom w:type="dxa" w:w="80"/>
              <w:right w:type="dxa" w:w="130"/>
            </w:tcMar>
          </w:tcPr>
          <w:p>
            <w:pPr>
              <w:jc w:val="right"/>
            </w:pPr>
            <w:r>
              <w:rPr>
                <w:rFonts w:ascii="Consolas" w:cs="Consolas" w:eastAsia="Consolas" w:hAnsi="Consolas"/>
                <w:b w:val="false"/>
                <w:bCs w:val="false"/>
                <w:color w:val="15803D"/>
                <w:sz w:val="19"/>
                <w:szCs w:val="19"/>
              </w:rPr>
              <w:t xml:space="preserve">− $5,400</w:t>
            </w:r>
          </w:p>
        </w:tc>
      </w:tr>
      <w:tr>
        <w:tc>
          <w:tcPr>
            <w:tcW w:type="dxa" w:w="8280"/>
            <w:tcBorders>
              <w:top w:val="single" w:color="18181B" w:sz="12"/>
            </w:tcBorders>
            <w:tcMar>
              <w:top w:type="dxa" w:w="80"/>
              <w:left w:type="dxa" w:w="130"/>
              <w:bottom w:type="dxa" w:w="80"/>
              <w:right w:type="dxa" w:w="130"/>
            </w:tcMar>
          </w:tcPr>
          <w:p>
            <w:pPr>
              <w:jc w:val="left"/>
            </w:pPr>
            <w:r>
              <w:rPr>
                <w:rFonts w:ascii="Calibri" w:cs="Calibri" w:eastAsia="Calibri" w:hAnsi="Calibri"/>
                <w:b/>
                <w:bCs/>
                <w:color w:val="18181B"/>
                <w:sz w:val="19"/>
                <w:szCs w:val="19"/>
              </w:rPr>
              <w:t xml:space="preserve">Phase 1 investment</w:t>
            </w:r>
          </w:p>
        </w:tc>
        <w:tc>
          <w:tcPr>
            <w:tcW w:type="dxa" w:w="1800"/>
            <w:tcBorders>
              <w:top w:val="single" w:color="18181B" w:sz="12"/>
            </w:tcBorders>
            <w:tcMar>
              <w:top w:type="dxa" w:w="80"/>
              <w:left w:type="dxa" w:w="130"/>
              <w:bottom w:type="dxa" w:w="80"/>
              <w:right w:type="dxa" w:w="130"/>
            </w:tcMar>
          </w:tcPr>
          <w:p>
            <w:pPr>
              <w:jc w:val="right"/>
            </w:pPr>
            <w:r>
              <w:rPr>
                <w:rFonts w:ascii="Consolas" w:cs="Consolas" w:eastAsia="Consolas" w:hAnsi="Consolas"/>
                <w:b/>
                <w:bCs/>
                <w:color w:val="18181B"/>
                <w:sz w:val="19"/>
                <w:szCs w:val="19"/>
              </w:rPr>
              <w:t xml:space="preserve">$40,000</w:t>
            </w:r>
          </w:p>
        </w:tc>
      </w:tr>
    </w:tbl>
    <w:p>
      <w:pPr>
        <w:spacing w:after="24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6400"/>
        <w:gridCol w:w="3680"/>
      </w:tblGrid>
      <w:tr>
        <w:tc>
          <w:tcPr>
            <w:tcW w:type="dxa" w:w="6400"/>
            <w:shd w:fill="18181B" w:color="auto" w:val="clear"/>
            <w:tcMar>
              <w:top w:type="dxa" w:w="200"/>
              <w:left w:type="dxa" w:w="200"/>
              <w:bottom w:type="dxa" w:w="200"/>
              <w:right w:type="dxa" w:w="200"/>
            </w:tcMar>
          </w:tcPr>
          <w:p>
            <w:r>
              <w:rPr>
                <w:rFonts w:ascii="Consolas" w:cs="Consolas" w:eastAsia="Consolas" w:hAnsi="Consolas"/>
                <w:color w:val="A1A1AA"/>
                <w:spacing w:val="14"/>
                <w:sz w:val="15"/>
                <w:szCs w:val="15"/>
              </w:rPr>
              <w:t xml:space="preserve">PHASE 1 — ZION UNIFIED CORE</w:t>
            </w:r>
          </w:p>
          <w:p>
            <w:pPr>
              <w:spacing w:before="60"/>
            </w:pPr>
            <w:r>
              <w:rPr>
                <w:rFonts w:ascii="Calibri" w:cs="Calibri" w:eastAsia="Calibri" w:hAnsi="Calibri"/>
                <w:b/>
                <w:bCs/>
                <w:color w:val="FFFFFF"/>
                <w:sz w:val="56"/>
                <w:szCs w:val="56"/>
              </w:rPr>
              <w:t xml:space="preserve">$40,000</w:t>
            </w:r>
          </w:p>
          <w:p>
            <w:pPr>
              <w:spacing w:before="40"/>
            </w:pPr>
            <w:r>
              <w:rPr>
                <w:rFonts w:ascii="Calibri" w:cs="Calibri" w:eastAsia="Calibri" w:hAnsi="Calibri"/>
                <w:color w:val="D4D4D8"/>
                <w:sz w:val="18"/>
                <w:szCs w:val="18"/>
              </w:rPr>
              <w:t xml:space="preserve">340 man-days · delivery targeted for the new year</w:t>
            </w:r>
          </w:p>
        </w:tc>
        <w:tc>
          <w:tcPr>
            <w:tcW w:type="dxa" w:w="3680"/>
            <w:tcBorders>
              <w:top w:val="single" w:color="18181B" w:sz="18"/>
              <w:left w:val="single" w:color="18181B" w:sz="18"/>
              <w:bottom w:val="single" w:color="18181B" w:sz="18"/>
              <w:right w:val="single" w:color="18181B" w:sz="18"/>
            </w:tcBorders>
            <w:tcMar>
              <w:top w:type="dxa" w:w="200"/>
              <w:left w:type="dxa" w:w="200"/>
              <w:bottom w:type="dxa" w:w="200"/>
              <w:right w:type="dxa" w:w="200"/>
            </w:tcMar>
          </w:tcPr>
          <w:p>
            <w:r>
              <w:rPr>
                <w:rFonts w:ascii="Consolas" w:cs="Consolas" w:eastAsia="Consolas" w:hAnsi="Consolas"/>
                <w:color w:val="A1A1AA"/>
                <w:spacing w:val="14"/>
                <w:sz w:val="15"/>
                <w:szCs w:val="15"/>
              </w:rPr>
              <w:t xml:space="preserve">STANDARD DAY RATE</w:t>
            </w:r>
          </w:p>
          <w:p>
            <w:pPr>
              <w:spacing w:before="60"/>
            </w:pPr>
            <w:r>
              <w:rPr>
                <w:rFonts w:ascii="Calibri" w:cs="Calibri" w:eastAsia="Calibri" w:hAnsi="Calibri"/>
                <w:b/>
                <w:bCs/>
                <w:color w:val="18181B"/>
                <w:sz w:val="56"/>
                <w:szCs w:val="56"/>
              </w:rPr>
              <w:t xml:space="preserve">$200</w:t>
            </w:r>
          </w:p>
          <w:p>
            <w:pPr>
              <w:spacing w:before="40"/>
            </w:pPr>
            <w:r>
              <w:rPr>
                <w:rFonts w:ascii="Calibri" w:cs="Calibri" w:eastAsia="Calibri" w:hAnsi="Calibri"/>
                <w:color w:val="52525B"/>
                <w:sz w:val="18"/>
                <w:szCs w:val="18"/>
              </w:rPr>
              <w:t xml:space="preserve">Applied to all future modules</w:t>
            </w:r>
          </w:p>
        </w:tc>
      </w:tr>
    </w:tbl>
    <w:p>
      <w:pPr>
        <w:pBdr>
          <w:bottom w:val="single" w:color="18181B" w:sz="12" w:space="6"/>
        </w:pBdr>
        <w:spacing w:after="120" w:before="340"/>
      </w:pPr>
      <w:r>
        <w:rPr>
          <w:rFonts w:ascii="Calibri" w:cs="Calibri" w:eastAsia="Calibri" w:hAnsi="Calibri"/>
          <w:b/>
          <w:bCs/>
          <w:color w:val="18181B"/>
          <w:spacing w:val="14"/>
          <w:sz w:val="24"/>
          <w:szCs w:val="24"/>
        </w:rPr>
        <w:t xml:space="preserve">OPTIONAL MODULES</w:t>
      </w:r>
    </w:p>
    <w:tbl>
      <w:tblPr>
        <w:tblW w:type="dxa" w:w="10080"/>
        <w:tblBorders>
          <w:top w:val="none" w:color="auto" w:sz="0"/>
          <w:left w:val="none" w:color="auto" w:sz="0"/>
          <w:bottom w:val="single" w:color="E4E4E7" w:sz="4"/>
          <w:right w:val="none" w:color="auto" w:sz="0"/>
          <w:insideH w:val="single" w:color="E4E4E7" w:sz="4"/>
          <w:insideV w:val="none" w:color="auto" w:sz="0"/>
        </w:tblBorders>
      </w:tblPr>
      <w:tblGrid>
        <w:gridCol w:w="6900"/>
        <w:gridCol w:w="1500"/>
        <w:gridCol w:w="1680"/>
      </w:tblGrid>
      <w:tr>
        <w:trPr>
          <w:tblHeader/>
        </w:trPr>
        <w:tc>
          <w:tcPr>
            <w:tcW w:type="dxa" w:w="6900"/>
            <w:shd w:fill="FAFAFA" w:color="auto" w:val="clear"/>
            <w:tcMar>
              <w:top w:type="dxa" w:w="90"/>
              <w:left w:type="dxa" w:w="130"/>
              <w:bottom w:type="dxa" w:w="90"/>
              <w:right w:type="dxa" w:w="130"/>
            </w:tcMar>
          </w:tcPr>
          <w:p>
            <w:pPr>
              <w:jc w:val="left"/>
            </w:pPr>
            <w:r>
              <w:rPr>
                <w:rFonts w:ascii="Calibri" w:cs="Calibri" w:eastAsia="Calibri" w:hAnsi="Calibri"/>
                <w:b/>
                <w:bCs/>
                <w:color w:val="A1A1AA"/>
                <w:spacing w:val="12"/>
                <w:sz w:val="15"/>
                <w:szCs w:val="15"/>
              </w:rPr>
              <w:t xml:space="preserve">MODULE</w:t>
            </w:r>
          </w:p>
        </w:tc>
        <w:tc>
          <w:tcPr>
            <w:tcW w:type="dxa" w:w="1500"/>
            <w:shd w:fill="FAFAFA" w:color="auto" w:val="clear"/>
            <w:tcMar>
              <w:top w:type="dxa" w:w="90"/>
              <w:left w:type="dxa" w:w="130"/>
              <w:bottom w:type="dxa" w:w="90"/>
              <w:right w:type="dxa" w:w="130"/>
            </w:tcMar>
          </w:tcPr>
          <w:p>
            <w:pPr>
              <w:jc w:val="right"/>
            </w:pPr>
            <w:r>
              <w:rPr>
                <w:rFonts w:ascii="Calibri" w:cs="Calibri" w:eastAsia="Calibri" w:hAnsi="Calibri"/>
                <w:b/>
                <w:bCs/>
                <w:color w:val="A1A1AA"/>
                <w:spacing w:val="12"/>
                <w:sz w:val="15"/>
                <w:szCs w:val="15"/>
              </w:rPr>
              <w:t xml:space="preserve">EFFORT</w:t>
            </w:r>
          </w:p>
        </w:tc>
        <w:tc>
          <w:tcPr>
            <w:tcW w:type="dxa" w:w="1680"/>
            <w:shd w:fill="FAFAFA" w:color="auto" w:val="clear"/>
            <w:tcMar>
              <w:top w:type="dxa" w:w="90"/>
              <w:left w:type="dxa" w:w="130"/>
              <w:bottom w:type="dxa" w:w="90"/>
              <w:right w:type="dxa" w:w="130"/>
            </w:tcMar>
          </w:tcPr>
          <w:p>
            <w:pPr>
              <w:jc w:val="right"/>
            </w:pPr>
            <w:r>
              <w:rPr>
                <w:rFonts w:ascii="Calibri" w:cs="Calibri" w:eastAsia="Calibri" w:hAnsi="Calibri"/>
                <w:b/>
                <w:bCs/>
                <w:color w:val="A1A1AA"/>
                <w:spacing w:val="12"/>
                <w:sz w:val="15"/>
                <w:szCs w:val="15"/>
              </w:rPr>
              <w:t xml:space="preserve">INVESTMENT</w:t>
            </w:r>
          </w:p>
        </w:tc>
      </w:tr>
      <w:tr>
        <w:tc>
          <w:tcPr>
            <w:tcW w:type="dxa" w:w="690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Communications Hub — in-app calls and messaging, masked customer numbers, call history, instant revocation</w:t>
            </w:r>
          </w:p>
        </w:tc>
        <w:tc>
          <w:tcPr>
            <w:tcW w:type="dxa" w:w="15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48 days</w:t>
            </w:r>
          </w:p>
        </w:tc>
        <w:tc>
          <w:tcPr>
            <w:tcW w:type="dxa" w:w="168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$9,600</w:t>
            </w:r>
          </w:p>
        </w:tc>
      </w:tr>
      <w:tr>
        <w:tc>
          <w:tcPr>
            <w:tcW w:type="dxa" w:w="690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Customer Portal — ticket raising, job status, report downloads, outstanding invoices</w:t>
            </w:r>
          </w:p>
        </w:tc>
        <w:tc>
          <w:tcPr>
            <w:tcW w:type="dxa" w:w="15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45 days</w:t>
            </w:r>
          </w:p>
        </w:tc>
        <w:tc>
          <w:tcPr>
            <w:tcW w:type="dxa" w:w="168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$9,000</w:t>
            </w:r>
          </w:p>
        </w:tc>
      </w:tr>
      <w:tr>
        <w:tc>
          <w:tcPr>
            <w:tcW w:type="dxa" w:w="690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LMS &amp; Certifications — on-the-job training, competency matrix, certification renewals</w:t>
            </w:r>
          </w:p>
        </w:tc>
        <w:tc>
          <w:tcPr>
            <w:tcW w:type="dxa" w:w="15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60 days</w:t>
            </w:r>
          </w:p>
        </w:tc>
        <w:tc>
          <w:tcPr>
            <w:tcW w:type="dxa" w:w="168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$12,000</w:t>
            </w:r>
          </w:p>
        </w:tc>
      </w:tr>
      <w:tr>
        <w:tc>
          <w:tcPr>
            <w:tcW w:type="dxa" w:w="690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Company Document Centre with AI — handbook, processes, W-9, COI, share links and email delivery</w:t>
            </w:r>
          </w:p>
        </w:tc>
        <w:tc>
          <w:tcPr>
            <w:tcW w:type="dxa" w:w="15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42 days</w:t>
            </w:r>
          </w:p>
        </w:tc>
        <w:tc>
          <w:tcPr>
            <w:tcW w:type="dxa" w:w="168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$8,400</w:t>
            </w:r>
          </w:p>
        </w:tc>
      </w:tr>
      <w:tr>
        <w:tc>
          <w:tcPr>
            <w:tcW w:type="dxa" w:w="690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Asset Management — maintenance, parts, supplies, vendors, purchase orders, vendor invoices</w:t>
            </w:r>
          </w:p>
        </w:tc>
        <w:tc>
          <w:tcPr>
            <w:tcW w:type="dxa" w:w="15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80 days</w:t>
            </w:r>
          </w:p>
        </w:tc>
        <w:tc>
          <w:tcPr>
            <w:tcW w:type="dxa" w:w="168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$16,000</w:t>
            </w:r>
          </w:p>
        </w:tc>
      </w:tr>
      <w:tr>
        <w:tc>
          <w:tcPr>
            <w:tcW w:type="dxa" w:w="690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Advanced Billing — recurring invoices, customer statements, commission, payment gateway</w:t>
            </w:r>
          </w:p>
        </w:tc>
        <w:tc>
          <w:tcPr>
            <w:tcW w:type="dxa" w:w="15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55 days</w:t>
            </w:r>
          </w:p>
        </w:tc>
        <w:tc>
          <w:tcPr>
            <w:tcW w:type="dxa" w:w="168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$11,000</w:t>
            </w:r>
          </w:p>
        </w:tc>
      </w:tr>
      <w:tr>
        <w:tc>
          <w:tcPr>
            <w:tcW w:type="dxa" w:w="690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QMS &amp; Safety Data Sheets — corrective actions, document control, supplier SDS register</w:t>
            </w:r>
          </w:p>
        </w:tc>
        <w:tc>
          <w:tcPr>
            <w:tcW w:type="dxa" w:w="15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32 days</w:t>
            </w:r>
          </w:p>
        </w:tc>
        <w:tc>
          <w:tcPr>
            <w:tcW w:type="dxa" w:w="168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$6,400</w:t>
            </w:r>
          </w:p>
        </w:tc>
      </w:tr>
      <w:tr>
        <w:tc>
          <w:tcPr>
            <w:tcW w:type="dxa" w:w="690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Standards content encoding — API and AWS acceptance criteria captured into the platform</w:t>
            </w:r>
          </w:p>
        </w:tc>
        <w:tc>
          <w:tcPr>
            <w:tcW w:type="dxa" w:w="15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30 days</w:t>
            </w:r>
          </w:p>
        </w:tc>
        <w:tc>
          <w:tcPr>
            <w:tcW w:type="dxa" w:w="168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$6,000</w:t>
            </w:r>
          </w:p>
        </w:tc>
      </w:tr>
      <w:tr>
        <w:tc>
          <w:tcPr>
            <w:tcW w:type="dxa" w:w="690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Full historical migration — the complete five-year archive rather than active records only</w:t>
            </w:r>
          </w:p>
        </w:tc>
        <w:tc>
          <w:tcPr>
            <w:tcW w:type="dxa" w:w="15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38 days</w:t>
            </w:r>
          </w:p>
        </w:tc>
        <w:tc>
          <w:tcPr>
            <w:tcW w:type="dxa" w:w="168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$7,600</w:t>
            </w:r>
          </w:p>
        </w:tc>
      </w:tr>
      <w:tr>
        <w:tc>
          <w:tcPr>
            <w:tcW w:type="dxa" w:w="6900"/>
            <w:tcMar>
              <w:top w:type="dxa" w:w="80"/>
              <w:left w:type="dxa" w:w="130"/>
              <w:bottom w:type="dxa" w:w="80"/>
              <w:right w:type="dxa" w:w="130"/>
            </w:tcMar>
          </w:tcPr>
          <w:p>
            <w:pPr>
              <w:jc w:val="left"/>
            </w:pPr>
            <w:r>
              <w:rPr>
                <w:rFonts w:ascii="Calibri" w:cs="Calibri" w:eastAsia="Calibri" w:hAnsi="Calibri"/>
                <w:b w:val="false"/>
                <w:bCs w:val="false"/>
                <w:color w:val="52525B"/>
                <w:sz w:val="19"/>
                <w:szCs w:val="19"/>
              </w:rPr>
              <w:t xml:space="preserve">Zion Intelligence (AI layer) — inspection packages, AI reports and QC, assisted invoicing</w:t>
            </w:r>
          </w:p>
        </w:tc>
        <w:tc>
          <w:tcPr>
            <w:tcW w:type="dxa" w:w="150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w:t>
            </w:r>
          </w:p>
        </w:tc>
        <w:tc>
          <w:tcPr>
            <w:tcW w:type="dxa" w:w="1680"/>
            <w:tcMar>
              <w:top w:type="dxa" w:w="80"/>
              <w:left w:type="dxa" w:w="130"/>
              <w:bottom w:type="dxa" w:w="80"/>
              <w:right w:type="dxa" w:w="130"/>
            </w:tcMar>
          </w:tcPr>
          <w:p>
            <w:pPr>
              <w:jc w:val="right"/>
            </w:pPr>
            <w:r>
              <w:rPr>
                <w:rFonts w:ascii="Consolas" w:cs="Consolas" w:eastAsia="Consolas" w:hAnsi="Consolas"/>
                <w:b w:val="false"/>
                <w:bCs w:val="false"/>
                <w:color w:val="52525B"/>
                <w:sz w:val="19"/>
                <w:szCs w:val="19"/>
              </w:rPr>
              <w:t xml:space="preserve">Phase 2</w:t>
            </w:r>
          </w:p>
        </w:tc>
      </w:tr>
    </w:tbl>
    <w:p>
      <w:pPr>
        <w:pBdr>
          <w:bottom w:val="single" w:color="18181B" w:sz="12" w:space="6"/>
        </w:pBdr>
        <w:spacing w:after="120" w:before="340"/>
      </w:pPr>
      <w:r>
        <w:rPr>
          <w:rFonts w:ascii="Calibri" w:cs="Calibri" w:eastAsia="Calibri" w:hAnsi="Calibri"/>
          <w:b/>
          <w:bCs/>
          <w:color w:val="18181B"/>
          <w:spacing w:val="14"/>
          <w:sz w:val="24"/>
          <w:szCs w:val="24"/>
        </w:rPr>
        <w:t xml:space="preserve">PAYMENT SCHEDULE</w:t>
      </w:r>
    </w:p>
    <w:p>
      <w:pPr>
        <w:pStyle w:val="ListParagraph"/>
        <w:numPr>
          <w:ilvl w:val="0"/>
          <w:numId w:val="2"/>
        </w:numPr>
        <w:spacing w:after="20"/>
      </w:pPr>
      <w:r>
        <w:rPr>
          <w:rFonts w:ascii="Calibri" w:cs="Calibri" w:eastAsia="Calibri" w:hAnsi="Calibri"/>
          <w:color w:val="52525B"/>
          <w:sz w:val="19"/>
          <w:szCs w:val="19"/>
        </w:rPr>
        <w:t xml:space="preserve">20% — kickoff and architecture agreed</w:t>
      </w:r>
    </w:p>
    <w:p>
      <w:pPr>
        <w:pStyle w:val="ListParagraph"/>
        <w:numPr>
          <w:ilvl w:val="0"/>
          <w:numId w:val="2"/>
        </w:numPr>
        <w:spacing w:after="20"/>
      </w:pPr>
      <w:r>
        <w:rPr>
          <w:rFonts w:ascii="Calibri" w:cs="Calibri" w:eastAsia="Calibri" w:hAnsi="Calibri"/>
          <w:color w:val="52525B"/>
          <w:sz w:val="19"/>
          <w:szCs w:val="19"/>
        </w:rPr>
        <w:t xml:space="preserve">20% — customer, workforce and standards foundation in staging</w:t>
      </w:r>
    </w:p>
    <w:p>
      <w:pPr>
        <w:pStyle w:val="ListParagraph"/>
        <w:numPr>
          <w:ilvl w:val="0"/>
          <w:numId w:val="2"/>
        </w:numPr>
        <w:spacing w:after="20"/>
      </w:pPr>
      <w:r>
        <w:rPr>
          <w:rFonts w:ascii="Calibri" w:cs="Calibri" w:eastAsia="Calibri" w:hAnsi="Calibri"/>
          <w:color w:val="52525B"/>
          <w:sz w:val="19"/>
          <w:szCs w:val="19"/>
        </w:rPr>
        <w:t xml:space="preserve">20% — inspection and reporting engine demonstrated</w:t>
      </w:r>
    </w:p>
    <w:p>
      <w:pPr>
        <w:pStyle w:val="ListParagraph"/>
        <w:numPr>
          <w:ilvl w:val="0"/>
          <w:numId w:val="2"/>
        </w:numPr>
        <w:spacing w:after="20"/>
      </w:pPr>
      <w:r>
        <w:rPr>
          <w:rFonts w:ascii="Calibri" w:cs="Calibri" w:eastAsia="Calibri" w:hAnsi="Calibri"/>
          <w:color w:val="52525B"/>
          <w:sz w:val="19"/>
          <w:szCs w:val="19"/>
        </w:rPr>
        <w:t xml:space="preserve">20% — billing, profitability and migration complete</w:t>
      </w:r>
    </w:p>
    <w:p>
      <w:pPr>
        <w:pStyle w:val="ListParagraph"/>
        <w:numPr>
          <w:ilvl w:val="0"/>
          <w:numId w:val="2"/>
        </w:numPr>
        <w:spacing w:after="20"/>
      </w:pPr>
      <w:r>
        <w:rPr>
          <w:rFonts w:ascii="Calibri" w:cs="Calibri" w:eastAsia="Calibri" w:hAnsi="Calibri"/>
          <w:color w:val="52525B"/>
          <w:sz w:val="19"/>
          <w:szCs w:val="19"/>
        </w:rPr>
        <w:t xml:space="preserve">20% — go-live plus 30 days of stable operation</w:t>
      </w:r>
    </w:p>
    <w:p>
      <w:pPr>
        <w:pBdr>
          <w:bottom w:val="single" w:color="18181B" w:sz="12" w:space="6"/>
        </w:pBdr>
        <w:spacing w:after="120" w:before="340"/>
      </w:pPr>
      <w:r>
        <w:rPr>
          <w:rFonts w:ascii="Calibri" w:cs="Calibri" w:eastAsia="Calibri" w:hAnsi="Calibri"/>
          <w:b/>
          <w:bCs/>
          <w:color w:val="18181B"/>
          <w:spacing w:val="14"/>
          <w:sz w:val="24"/>
          <w:szCs w:val="24"/>
        </w:rPr>
        <w:t xml:space="preserve">INCLUDED AS STANDARD</w:t>
      </w:r>
    </w:p>
    <w:p>
      <w:pPr>
        <w:pStyle w:val="ListParagraph"/>
        <w:numPr>
          <w:ilvl w:val="0"/>
          <w:numId w:val="2"/>
        </w:numPr>
        <w:spacing w:after="20"/>
      </w:pPr>
      <w:r>
        <w:rPr>
          <w:rFonts w:ascii="Calibri" w:cs="Calibri" w:eastAsia="Calibri" w:hAnsi="Calibri"/>
          <w:color w:val="52525B"/>
          <w:sz w:val="19"/>
          <w:szCs w:val="19"/>
        </w:rPr>
        <w:t xml:space="preserve">Four months of post-deployment support</w:t>
      </w:r>
    </w:p>
    <w:p>
      <w:pPr>
        <w:pStyle w:val="ListParagraph"/>
        <w:numPr>
          <w:ilvl w:val="0"/>
          <w:numId w:val="2"/>
        </w:numPr>
        <w:spacing w:after="20"/>
      </w:pPr>
      <w:r>
        <w:rPr>
          <w:rFonts w:ascii="Calibri" w:cs="Calibri" w:eastAsia="Calibri" w:hAnsi="Calibri"/>
          <w:color w:val="52525B"/>
          <w:sz w:val="19"/>
          <w:szCs w:val="19"/>
        </w:rPr>
        <w:t xml:space="preserve">Cloud hosting setup and deployment</w:t>
      </w:r>
    </w:p>
    <w:p>
      <w:pPr>
        <w:pStyle w:val="ListParagraph"/>
        <w:numPr>
          <w:ilvl w:val="0"/>
          <w:numId w:val="2"/>
        </w:numPr>
        <w:spacing w:after="20"/>
      </w:pPr>
      <w:r>
        <w:rPr>
          <w:rFonts w:ascii="Calibri" w:cs="Calibri" w:eastAsia="Calibri" w:hAnsi="Calibri"/>
          <w:color w:val="52525B"/>
          <w:sz w:val="19"/>
          <w:szCs w:val="19"/>
        </w:rPr>
        <w:t xml:space="preserve">Existing mobile applications updated for the unified platform</w:t>
      </w:r>
    </w:p>
    <w:p>
      <w:pPr>
        <w:pStyle w:val="ListParagraph"/>
        <w:numPr>
          <w:ilvl w:val="0"/>
          <w:numId w:val="2"/>
        </w:numPr>
        <w:spacing w:after="20"/>
      </w:pPr>
      <w:r>
        <w:rPr>
          <w:rFonts w:ascii="Calibri" w:cs="Calibri" w:eastAsia="Calibri" w:hAnsi="Calibri"/>
          <w:color w:val="52525B"/>
          <w:sz w:val="19"/>
          <w:szCs w:val="19"/>
        </w:rPr>
        <w:t xml:space="preserve">No recurring licence or platform fees payable to Nile</w:t>
      </w:r>
    </w:p>
    <w:p>
      <w:pPr>
        <w:pStyle w:val="ListParagraph"/>
        <w:numPr>
          <w:ilvl w:val="0"/>
          <w:numId w:val="2"/>
        </w:numPr>
        <w:spacing w:after="20"/>
      </w:pPr>
      <w:r>
        <w:rPr>
          <w:rFonts w:ascii="Calibri" w:cs="Calibri" w:eastAsia="Calibri" w:hAnsi="Calibri"/>
          <w:color w:val="52525B"/>
          <w:sz w:val="19"/>
          <w:szCs w:val="19"/>
        </w:rPr>
        <w:t xml:space="preserve">Full source code and intellectual property transferred to Zion</w:t>
      </w:r>
    </w:p>
    <w:p>
      <w:pPr>
        <w:spacing w:after="240"/>
      </w:pPr>
    </w:p>
    <w:tbl>
      <w:tblPr>
        <w:tblW w:type="dxa" w:w="10080"/>
        <w:tblBorders>
          <w:top w:val="none" w:color="auto" w:sz="0"/>
          <w:left w:val="single" w:color="C2410C" w:sz="18"/>
          <w:bottom w:val="none" w:color="auto" w:sz="0"/>
          <w:right w:val="none" w:color="auto" w:sz="0"/>
          <w:insideH w:val="none" w:color="auto" w:sz="0"/>
          <w:insideV w:val="none" w:color="auto" w:sz="0"/>
        </w:tblBorders>
      </w:tblPr>
      <w:tblGrid>
        <w:gridCol w:w="10080"/>
      </w:tblGrid>
      <w:tr>
        <w:tc>
          <w:tcPr>
            <w:tcW w:type="dxa" w:w="10080"/>
            <w:shd w:fill="FAFAFA" w:color="auto" w:val="clear"/>
            <w:tcMar>
              <w:top w:type="dxa" w:w="140"/>
              <w:left w:type="dxa" w:w="180"/>
              <w:bottom w:type="dxa" w:w="140"/>
              <w:right w:type="dxa" w:w="180"/>
            </w:tcMar>
          </w:tcPr>
          <w:p>
            <w:r>
              <w:rPr>
                <w:rFonts w:ascii="Calibri" w:cs="Calibri" w:eastAsia="Calibri" w:hAnsi="Calibri"/>
                <w:b/>
                <w:bCs/>
                <w:color w:val="18181B"/>
                <w:sz w:val="19"/>
                <w:szCs w:val="19"/>
              </w:rPr>
              <w:t xml:space="preserve">Total platform position. </w:t>
            </w:r>
            <w:r>
              <w:rPr>
                <w:rFonts w:ascii="Calibri" w:cs="Calibri" w:eastAsia="Calibri" w:hAnsi="Calibri"/>
                <w:color w:val="52525B"/>
                <w:sz w:val="19"/>
                <w:szCs w:val="19"/>
              </w:rPr>
              <w:t xml:space="preserve">With the $22,600 already invested in dispatch, Zion owns the complete operating system of the business for $62,600 — replacing a platform that has been under development for five years and is still not finished.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7" w:sz="4" w:space="6"/>
      </w:pBdr>
      <w:tabs>
        <w:tab w:val="right" w:pos="10080"/>
      </w:tabs>
    </w:pPr>
    <w:r>
      <w:rPr>
        <w:rFonts w:ascii="Consolas" w:cs="Consolas" w:eastAsia="Consolas" w:hAnsi="Consolas"/>
        <w:color w:val="A1A1AA"/>
        <w:spacing w:val="8"/>
        <w:sz w:val="14"/>
        <w:szCs w:val="14"/>
      </w:rPr>
      <w:t xml:space="preserve">ZION UNIFIED · COMMERCIAL PROPOSAL · NILE TECHNOLOGIES</w:t>
    </w:r>
    <w:r>
      <w:rPr>
        <w:rFonts w:ascii="Calibri" w:cs="Calibri" w:eastAsia="Calibri" w:hAnsi="Calibri"/>
      </w:rPr>
      <w:t xml:space="preserve">		</w:t>
    </w:r>
    <w:r>
      <w:rPr>
        <w:rFonts w:ascii="Consolas" w:cs="Consolas" w:eastAsia="Consolas" w:hAnsi="Consolas"/>
        <w:color w:val="A1A1AA"/>
        <w:sz w:val="14"/>
        <w:szCs w:val="14"/>
      </w:rPr>
      <w:t xml:space="preserve">PAGE </w:t>
    </w:r>
    <w:r>
      <w:rPr>
        <w:rFonts w:ascii="Consolas" w:cs="Consolas" w:eastAsia="Consolas" w:hAnsi="Consolas"/>
        <w:color w:val="A1A1AA"/>
        <w:sz w:val="14"/>
        <w:szCs w:val="14"/>
      </w:rPr>
      <w:fldChar w:fldCharType="begin"/>
      <w:instrText xml:space="preserve">PAGE</w:instrText>
      <w:fldChar w:fldCharType="separate"/>
      <w:fldChar w:fldCharType="end"/>
    </w:r>
    <w:r>
      <w:rPr>
        <w:rFonts w:ascii="Consolas" w:cs="Consolas" w:eastAsia="Consolas" w:hAnsi="Consolas"/>
        <w:color w:val="A1A1AA"/>
        <w:sz w:val="14"/>
        <w:szCs w:val="14"/>
      </w:rPr>
      <w:t xml:space="preserve"> OF </w:t>
    </w:r>
    <w:r>
      <w:rPr>
        <w:rFonts w:ascii="Consolas" w:cs="Consolas" w:eastAsia="Consolas" w:hAnsi="Consolas"/>
        <w:color w:val="A1A1A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5040"/>
      <w:gridCol w:w="5040"/>
    </w:tblGrid>
    <w:tr>
      <w:tc>
        <w:tcPr>
          <w:tcW w:type="dxa" w:w="5040"/>
          <w:tcBorders>
            <w:top w:val="none" w:color="auto" w:sz="0"/>
            <w:left w:val="none" w:color="auto" w:sz="0"/>
            <w:bottom w:val="none" w:color="auto" w:sz="0"/>
            <w:right w:val="none" w:color="auto" w:sz="0"/>
          </w:tcBorders>
          <w:tcMar>
            <w:left w:type="dxa" w:w="0"/>
          </w:tcMar>
        </w:tcPr>
        <w:p>
          <w:r>
            <w:rPr>
              <w:rFonts w:ascii="Calibri" w:cs="Calibri" w:eastAsia="Calibri" w:hAnsi="Calibri"/>
              <w:b/>
              <w:bCs/>
              <w:color w:val="18181B"/>
              <w:spacing w:val="24"/>
              <w:sz w:val="22"/>
              <w:szCs w:val="22"/>
            </w:rPr>
            <w:t xml:space="preserve">ZION ENERGY SERVICES</w:t>
          </w:r>
        </w:p>
      </w:tc>
      <w:tc>
        <w:tcPr>
          <w:tcW w:type="dxa" w:w="5040"/>
          <w:tcBorders>
            <w:top w:val="none" w:color="auto" w:sz="0"/>
            <w:left w:val="none" w:color="auto" w:sz="0"/>
            <w:bottom w:val="none" w:color="auto" w:sz="0"/>
            <w:right w:val="none" w:color="auto" w:sz="0"/>
          </w:tcBorders>
          <w:tcMar>
            <w:right w:type="dxa" w:w="0"/>
          </w:tcMar>
        </w:tcPr>
        <w:p>
          <w:pPr>
            <w:jc w:val="right"/>
          </w:pPr>
          <w:r>
            <w:rPr>
              <w:rFonts w:ascii="Consolas" w:cs="Consolas" w:eastAsia="Consolas" w:hAnsi="Consolas"/>
              <w:color w:val="A1A1AA"/>
              <w:spacing w:val="10"/>
              <w:sz w:val="15"/>
              <w:szCs w:val="15"/>
            </w:rPr>
            <w:t xml:space="preserve">COMMERCIAL PROPOSAL
ZION UNIFIED PLATFORM</w:t>
          </w:r>
        </w:p>
      </w:tc>
    </w:tr>
  </w:tbl>
  <w:p>
    <w:pPr>
      <w:pBdr>
        <w:bottom w:val="single" w:color="18181B" w:sz="18" w:space="4"/>
      </w:pBdr>
      <w:spacing w:after="2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90"/>
      </w:pPr>
      <w:rPr>
        <w:color w:val="C2410C"/>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2026-08-24T11:21:38.773Z</dcterms:created>
  <dcterms:modified xsi:type="dcterms:W3CDTF">2026-08-24T11:21:38.773Z</dcterms:modified>
</cp:coreProperties>
</file>

<file path=docProps/custom.xml><?xml version="1.0" encoding="utf-8"?>
<Properties xmlns="http://schemas.openxmlformats.org/officeDocument/2006/custom-properties" xmlns:vt="http://schemas.openxmlformats.org/officeDocument/2006/docPropsVTypes"/>
</file>