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onsolas" w:cs="Consolas" w:eastAsia="Consolas" w:hAnsi="Consolas"/>
          <w:b/>
          <w:bCs/>
          <w:color w:val="C2410C"/>
          <w:spacing w:val="16"/>
          <w:sz w:val="16"/>
          <w:szCs w:val="16"/>
        </w:rPr>
        <w:t xml:space="preserve">FUNCTIONAL SCOPE · ZION UNIFIED PLATFORM</w:t>
      </w:r>
    </w:p>
    <w:p>
      <w:pPr>
        <w:spacing w:after="140" w:before="200"/>
      </w:pPr>
      <w:r>
        <w:rPr>
          <w:rFonts w:ascii="Calibri" w:cs="Calibri" w:eastAsia="Calibri" w:hAnsi="Calibri"/>
          <w:b/>
          <w:bCs/>
          <w:color w:val="18181B"/>
          <w:sz w:val="44"/>
          <w:szCs w:val="44"/>
        </w:rPr>
        <w:t xml:space="preserve">Functional Scope</w:t>
      </w:r>
    </w:p>
    <w:p>
      <w:pPr>
        <w:spacing w:after="100"/>
        <w:jc w:val="left"/>
      </w:pPr>
      <w:r>
        <w:rPr>
          <w:rFonts w:ascii="Calibri" w:cs="Calibri" w:eastAsia="Calibri" w:hAnsi="Calibri"/>
          <w:color w:val="52525B"/>
          <w:sz w:val="21"/>
          <w:szCs w:val="21"/>
        </w:rPr>
        <w:t xml:space="preserve">This document sets out the functionality included in Phase 1 of the Zion Unified platform, and the functionality available as optional modules. It is the reference for what is being built.</w:t>
      </w:r>
    </w:p>
    <w:p>
      <w:pPr>
        <w:spacing w:after="160"/>
      </w:pPr>
    </w:p>
    <w:tbl>
      <w:tblPr>
        <w:tblW w:type="dxa" w:w="10080"/>
        <w:tblBorders>
          <w:top w:val="none" w:color="auto" w:sz="0"/>
          <w:left w:val="single" w:color="C2410C" w:sz="18"/>
          <w:bottom w:val="none" w:color="auto" w:sz="0"/>
          <w:right w:val="none" w:color="auto" w:sz="0"/>
          <w:insideH w:val="none" w:color="auto" w:sz="0"/>
          <w:insideV w:val="none" w:color="auto" w:sz="0"/>
        </w:tblBorders>
      </w:tblPr>
      <w:tblGrid>
        <w:gridCol w:w="10080"/>
      </w:tblGrid>
      <w:tr>
        <w:tc>
          <w:tcPr>
            <w:tcW w:type="dxa" w:w="10080"/>
            <w:shd w:fill="FAFAFA" w:color="auto" w:val="clear"/>
            <w:tcMar>
              <w:top w:type="dxa" w:w="140"/>
              <w:left w:type="dxa" w:w="180"/>
              <w:bottom w:type="dxa" w:w="140"/>
              <w:right w:type="dxa" w:w="180"/>
            </w:tcMar>
          </w:tcPr>
          <w:p>
            <w:r>
              <w:rPr>
                <w:rFonts w:ascii="Calibri" w:cs="Calibri" w:eastAsia="Calibri" w:hAnsi="Calibri"/>
                <w:b/>
                <w:bCs/>
                <w:color w:val="18181B"/>
                <w:sz w:val="19"/>
                <w:szCs w:val="19"/>
              </w:rPr>
              <w:t xml:space="preserve">How to read this. </w:t>
            </w:r>
            <w:r>
              <w:rPr>
                <w:rFonts w:ascii="Calibri" w:cs="Calibri" w:eastAsia="Calibri" w:hAnsi="Calibri"/>
                <w:color w:val="52525B"/>
                <w:sz w:val="19"/>
                <w:szCs w:val="19"/>
              </w:rPr>
              <w:t xml:space="preserve">Everything listed under Phase 1 is included in the Phase 1 investment. Everything listed under Optional Modules is available separately at the stated effort and price. Functionality not described in this document has not been scoped and would be assessed and quoted on request.</w:t>
            </w:r>
          </w:p>
        </w:tc>
      </w:tr>
    </w:tbl>
    <w:p>
      <w:pPr>
        <w:pBdr>
          <w:bottom w:val="single" w:color="18181B" w:sz="12" w:space="6"/>
        </w:pBdr>
        <w:spacing w:after="120" w:before="340"/>
      </w:pPr>
      <w:r>
        <w:rPr>
          <w:rFonts w:ascii="Calibri" w:cs="Calibri" w:eastAsia="Calibri" w:hAnsi="Calibri"/>
          <w:b/>
          <w:bCs/>
          <w:color w:val="18181B"/>
          <w:spacing w:val="14"/>
          <w:sz w:val="24"/>
          <w:szCs w:val="24"/>
        </w:rPr>
        <w:t xml:space="preserve">PHASE 1 — ZION UNIFIED CORE</w:t>
      </w:r>
    </w:p>
    <w:p>
      <w:pPr>
        <w:spacing w:after="80" w:before="220"/>
      </w:pPr>
      <w:r>
        <w:rPr>
          <w:rFonts w:ascii="Consolas" w:cs="Consolas" w:eastAsia="Consolas" w:hAnsi="Consolas"/>
          <w:b/>
          <w:bCs/>
          <w:color w:val="C2410C"/>
          <w:sz w:val="18"/>
          <w:szCs w:val="18"/>
        </w:rPr>
        <w:t xml:space="preserve">01  </w:t>
      </w:r>
      <w:r>
        <w:rPr>
          <w:rFonts w:ascii="Calibri" w:cs="Calibri" w:eastAsia="Calibri" w:hAnsi="Calibri"/>
          <w:b/>
          <w:bCs/>
          <w:color w:val="18181B"/>
          <w:sz w:val="22"/>
          <w:szCs w:val="22"/>
        </w:rPr>
        <w:t xml:space="preserve">Platform Foundation &amp; Access Control</w:t>
      </w:r>
    </w:p>
    <w:p>
      <w:pPr>
        <w:pStyle w:val="ListParagraph"/>
        <w:numPr>
          <w:ilvl w:val="0"/>
          <w:numId w:val="2"/>
        </w:numPr>
        <w:spacing w:after="20"/>
      </w:pPr>
      <w:r>
        <w:rPr>
          <w:rFonts w:ascii="Calibri" w:cs="Calibri" w:eastAsia="Calibri" w:hAnsi="Calibri"/>
          <w:color w:val="52525B"/>
          <w:sz w:val="19"/>
          <w:szCs w:val="19"/>
        </w:rPr>
        <w:t xml:space="preserve">Single unified application replacing the separate dispatch and reporting systems</w:t>
      </w:r>
    </w:p>
    <w:p>
      <w:pPr>
        <w:pStyle w:val="ListParagraph"/>
        <w:numPr>
          <w:ilvl w:val="0"/>
          <w:numId w:val="2"/>
        </w:numPr>
        <w:spacing w:after="20"/>
      </w:pPr>
      <w:r>
        <w:rPr>
          <w:rFonts w:ascii="Calibri" w:cs="Calibri" w:eastAsia="Calibri" w:hAnsi="Calibri"/>
          <w:color w:val="52525B"/>
          <w:sz w:val="19"/>
          <w:szCs w:val="19"/>
        </w:rPr>
        <w:t xml:space="preserve">Landing and authentication; session handling with configurable expiry</w:t>
      </w:r>
    </w:p>
    <w:p>
      <w:pPr>
        <w:pStyle w:val="ListParagraph"/>
        <w:numPr>
          <w:ilvl w:val="0"/>
          <w:numId w:val="2"/>
        </w:numPr>
        <w:spacing w:after="20"/>
      </w:pPr>
      <w:r>
        <w:rPr>
          <w:rFonts w:ascii="Calibri" w:cs="Calibri" w:eastAsia="Calibri" w:hAnsi="Calibri"/>
          <w:color w:val="52525B"/>
          <w:sz w:val="19"/>
          <w:szCs w:val="19"/>
        </w:rPr>
        <w:t xml:space="preserve">Role management — create unlimited roles with module-level Create, Read, Update, Delete permissions</w:t>
      </w:r>
    </w:p>
    <w:p>
      <w:pPr>
        <w:pStyle w:val="ListParagraph"/>
        <w:numPr>
          <w:ilvl w:val="0"/>
          <w:numId w:val="2"/>
        </w:numPr>
        <w:spacing w:after="20"/>
      </w:pPr>
      <w:r>
        <w:rPr>
          <w:rFonts w:ascii="Calibri" w:cs="Calibri" w:eastAsia="Calibri" w:hAnsi="Calibri"/>
          <w:color w:val="52525B"/>
          <w:sz w:val="19"/>
          <w:szCs w:val="19"/>
        </w:rPr>
        <w:t xml:space="preserve">Data-level permissions — control who can see customer contact details, rates, margin and payroll</w:t>
      </w:r>
    </w:p>
    <w:p>
      <w:pPr>
        <w:pStyle w:val="ListParagraph"/>
        <w:numPr>
          <w:ilvl w:val="0"/>
          <w:numId w:val="2"/>
        </w:numPr>
        <w:spacing w:after="20"/>
      </w:pPr>
      <w:r>
        <w:rPr>
          <w:rFonts w:ascii="Calibri" w:cs="Calibri" w:eastAsia="Calibri" w:hAnsi="Calibri"/>
          <w:color w:val="52525B"/>
          <w:sz w:val="19"/>
          <w:szCs w:val="19"/>
        </w:rPr>
        <w:t xml:space="preserve">Pre-configured roles: Super Admin, Operations Manager, Inspector, Billing, Read-only</w:t>
      </w:r>
    </w:p>
    <w:p>
      <w:pPr>
        <w:pStyle w:val="ListParagraph"/>
        <w:numPr>
          <w:ilvl w:val="0"/>
          <w:numId w:val="2"/>
        </w:numPr>
        <w:spacing w:after="20"/>
      </w:pPr>
      <w:r>
        <w:rPr>
          <w:rFonts w:ascii="Calibri" w:cs="Calibri" w:eastAsia="Calibri" w:hAnsi="Calibri"/>
          <w:color w:val="52525B"/>
          <w:sz w:val="19"/>
          <w:szCs w:val="19"/>
        </w:rPr>
        <w:t xml:space="preserve">Employee kill switch — marking a person terminated revokes web access, mobile app access, job roster placement and customer communication in a single action</w:t>
      </w:r>
    </w:p>
    <w:p>
      <w:pPr>
        <w:pStyle w:val="ListParagraph"/>
        <w:numPr>
          <w:ilvl w:val="0"/>
          <w:numId w:val="2"/>
        </w:numPr>
        <w:spacing w:after="20"/>
      </w:pPr>
      <w:r>
        <w:rPr>
          <w:rFonts w:ascii="Calibri" w:cs="Calibri" w:eastAsia="Calibri" w:hAnsi="Calibri"/>
          <w:color w:val="52525B"/>
          <w:sz w:val="19"/>
          <w:szCs w:val="19"/>
        </w:rPr>
        <w:t xml:space="preserve">Session tracking — user, role, IP address, device, browser, login and logout times, duration</w:t>
      </w:r>
    </w:p>
    <w:p>
      <w:pPr>
        <w:pStyle w:val="ListParagraph"/>
        <w:numPr>
          <w:ilvl w:val="0"/>
          <w:numId w:val="2"/>
        </w:numPr>
        <w:spacing w:after="20"/>
      </w:pPr>
      <w:r>
        <w:rPr>
          <w:rFonts w:ascii="Calibri" w:cs="Calibri" w:eastAsia="Calibri" w:hAnsi="Calibri"/>
          <w:color w:val="52525B"/>
          <w:sz w:val="19"/>
          <w:szCs w:val="19"/>
        </w:rPr>
        <w:t xml:space="preserve">Activity log across every module with before-and-after values, user, timestamp and IP</w:t>
      </w:r>
    </w:p>
    <w:p>
      <w:pPr>
        <w:pStyle w:val="ListParagraph"/>
        <w:numPr>
          <w:ilvl w:val="0"/>
          <w:numId w:val="2"/>
        </w:numPr>
        <w:spacing w:after="20"/>
      </w:pPr>
      <w:r>
        <w:rPr>
          <w:rFonts w:ascii="Calibri" w:cs="Calibri" w:eastAsia="Calibri" w:hAnsi="Calibri"/>
          <w:color w:val="52525B"/>
          <w:sz w:val="19"/>
          <w:szCs w:val="19"/>
        </w:rPr>
        <w:t xml:space="preserve">Contextual in-app help markers on fields, actions and screens, with a global help mode</w:t>
      </w:r>
    </w:p>
    <w:p>
      <w:pPr>
        <w:pStyle w:val="ListParagraph"/>
        <w:numPr>
          <w:ilvl w:val="0"/>
          <w:numId w:val="2"/>
        </w:numPr>
        <w:spacing w:after="20"/>
      </w:pPr>
      <w:r>
        <w:rPr>
          <w:rFonts w:ascii="Calibri" w:cs="Calibri" w:eastAsia="Calibri" w:hAnsi="Calibri"/>
          <w:color w:val="52525B"/>
          <w:sz w:val="19"/>
          <w:szCs w:val="19"/>
        </w:rPr>
        <w:t xml:space="preserve">Responsive interface optimised for iPad field use, including a collapsible sidebar for maximum screen area</w:t>
      </w:r>
    </w:p>
    <w:p>
      <w:pPr>
        <w:pStyle w:val="ListParagraph"/>
        <w:numPr>
          <w:ilvl w:val="0"/>
          <w:numId w:val="2"/>
        </w:numPr>
        <w:spacing w:after="20"/>
      </w:pPr>
      <w:r>
        <w:rPr>
          <w:rFonts w:ascii="Calibri" w:cs="Calibri" w:eastAsia="Calibri" w:hAnsi="Calibri"/>
          <w:color w:val="52525B"/>
          <w:sz w:val="19"/>
          <w:szCs w:val="19"/>
        </w:rPr>
        <w:t xml:space="preserve">Business settings — company details, three logo slots (platform, invoice, inspection report), business hours, holidays</w:t>
      </w:r>
    </w:p>
    <w:p>
      <w:pPr>
        <w:pStyle w:val="ListParagraph"/>
        <w:numPr>
          <w:ilvl w:val="0"/>
          <w:numId w:val="2"/>
        </w:numPr>
        <w:spacing w:after="20"/>
      </w:pPr>
      <w:r>
        <w:rPr>
          <w:rFonts w:ascii="Calibri" w:cs="Calibri" w:eastAsia="Calibri" w:hAnsi="Calibri"/>
          <w:color w:val="52525B"/>
          <w:sz w:val="19"/>
          <w:szCs w:val="19"/>
        </w:rPr>
        <w:t xml:space="preserve">Notification centre and in-app alerts</w:t>
      </w:r>
    </w:p>
    <w:p>
      <w:pPr>
        <w:spacing w:after="80" w:before="220"/>
      </w:pPr>
      <w:r>
        <w:rPr>
          <w:rFonts w:ascii="Consolas" w:cs="Consolas" w:eastAsia="Consolas" w:hAnsi="Consolas"/>
          <w:b/>
          <w:bCs/>
          <w:color w:val="C2410C"/>
          <w:sz w:val="18"/>
          <w:szCs w:val="18"/>
        </w:rPr>
        <w:t xml:space="preserve">02  </w:t>
      </w:r>
      <w:r>
        <w:rPr>
          <w:rFonts w:ascii="Calibri" w:cs="Calibri" w:eastAsia="Calibri" w:hAnsi="Calibri"/>
          <w:b/>
          <w:bCs/>
          <w:color w:val="18181B"/>
          <w:sz w:val="22"/>
          <w:szCs w:val="22"/>
        </w:rPr>
        <w:t xml:space="preserve">Customer, Site &amp; Division Master</w:t>
      </w:r>
    </w:p>
    <w:p>
      <w:pPr>
        <w:pStyle w:val="ListParagraph"/>
        <w:numPr>
          <w:ilvl w:val="0"/>
          <w:numId w:val="2"/>
        </w:numPr>
        <w:spacing w:after="20"/>
      </w:pPr>
      <w:r>
        <w:rPr>
          <w:rFonts w:ascii="Calibri" w:cs="Calibri" w:eastAsia="Calibri" w:hAnsi="Calibri"/>
          <w:color w:val="52525B"/>
          <w:sz w:val="19"/>
          <w:szCs w:val="19"/>
        </w:rPr>
        <w:t xml:space="preserve">Customer headquarters register with client code, industry, website, payment terms, tax rate and status</w:t>
      </w:r>
    </w:p>
    <w:p>
      <w:pPr>
        <w:pStyle w:val="ListParagraph"/>
        <w:numPr>
          <w:ilvl w:val="0"/>
          <w:numId w:val="2"/>
        </w:numPr>
        <w:spacing w:after="20"/>
      </w:pPr>
      <w:r>
        <w:rPr>
          <w:rFonts w:ascii="Calibri" w:cs="Calibri" w:eastAsia="Calibri" w:hAnsi="Calibri"/>
          <w:color w:val="52525B"/>
          <w:sz w:val="19"/>
          <w:szCs w:val="19"/>
        </w:rPr>
        <w:t xml:space="preserve">Unlimited sites per customer with full address, city, state, ZIP, territory and district</w:t>
      </w:r>
    </w:p>
    <w:p>
      <w:pPr>
        <w:pStyle w:val="ListParagraph"/>
        <w:numPr>
          <w:ilvl w:val="0"/>
          <w:numId w:val="2"/>
        </w:numPr>
        <w:spacing w:after="20"/>
      </w:pPr>
      <w:r>
        <w:rPr>
          <w:rFonts w:ascii="Calibri" w:cs="Calibri" w:eastAsia="Calibri" w:hAnsi="Calibri"/>
          <w:color w:val="52525B"/>
          <w:sz w:val="19"/>
          <w:szCs w:val="19"/>
        </w:rPr>
        <w:t xml:space="preserve">Unlimited divisions per site — the third level of the hierarchy</w:t>
      </w:r>
    </w:p>
    <w:p>
      <w:pPr>
        <w:pStyle w:val="ListParagraph"/>
        <w:numPr>
          <w:ilvl w:val="0"/>
          <w:numId w:val="2"/>
        </w:numPr>
        <w:spacing w:after="20"/>
      </w:pPr>
      <w:r>
        <w:rPr>
          <w:rFonts w:ascii="Calibri" w:cs="Calibri" w:eastAsia="Calibri" w:hAnsi="Calibri"/>
          <w:color w:val="52525B"/>
          <w:sz w:val="19"/>
          <w:szCs w:val="19"/>
        </w:rPr>
        <w:t xml:space="preserve">Contacts per customer and site with name, job title, phone and status</w:t>
      </w:r>
    </w:p>
    <w:p>
      <w:pPr>
        <w:pStyle w:val="ListParagraph"/>
        <w:numPr>
          <w:ilvl w:val="0"/>
          <w:numId w:val="2"/>
        </w:numPr>
        <w:spacing w:after="20"/>
      </w:pPr>
      <w:r>
        <w:rPr>
          <w:rFonts w:ascii="Calibri" w:cs="Calibri" w:eastAsia="Calibri" w:hAnsi="Calibri"/>
          <w:color w:val="52525B"/>
          <w:sz w:val="19"/>
          <w:szCs w:val="19"/>
        </w:rPr>
        <w:t xml:space="preserve">Typed email distribution list per customer — complete report, inspected items only, category-restricted reports, manager, shop, accounts payable</w:t>
      </w:r>
    </w:p>
    <w:p>
      <w:pPr>
        <w:pStyle w:val="ListParagraph"/>
        <w:numPr>
          <w:ilvl w:val="0"/>
          <w:numId w:val="2"/>
        </w:numPr>
        <w:spacing w:after="20"/>
      </w:pPr>
      <w:r>
        <w:rPr>
          <w:rFonts w:ascii="Calibri" w:cs="Calibri" w:eastAsia="Calibri" w:hAnsi="Calibri"/>
          <w:color w:val="52525B"/>
          <w:sz w:val="19"/>
          <w:szCs w:val="19"/>
        </w:rPr>
        <w:t xml:space="preserve">Per-customer business rules: require PO on inspection submit, require PO after invoice, PO request reminder cadence, report delivery format (single PDF, multiple PDF, combined), reminder due-date cadence, finance fee, minimum callout, total mileage allowance, send inspected items on submit</w:t>
      </w:r>
    </w:p>
    <w:p>
      <w:pPr>
        <w:pStyle w:val="ListParagraph"/>
        <w:numPr>
          <w:ilvl w:val="0"/>
          <w:numId w:val="2"/>
        </w:numPr>
        <w:spacing w:after="20"/>
      </w:pPr>
      <w:r>
        <w:rPr>
          <w:rFonts w:ascii="Calibri" w:cs="Calibri" w:eastAsia="Calibri" w:hAnsi="Calibri"/>
          <w:color w:val="52525B"/>
          <w:sz w:val="19"/>
          <w:szCs w:val="19"/>
        </w:rPr>
        <w:t xml:space="preserve">Configurable inspection table columns per customer (Operator, Job #, PO #, Rig, DT #, Lease/Well)</w:t>
      </w:r>
    </w:p>
    <w:p>
      <w:pPr>
        <w:pStyle w:val="ListParagraph"/>
        <w:numPr>
          <w:ilvl w:val="0"/>
          <w:numId w:val="2"/>
        </w:numPr>
        <w:spacing w:after="20"/>
      </w:pPr>
      <w:r>
        <w:rPr>
          <w:rFonts w:ascii="Calibri" w:cs="Calibri" w:eastAsia="Calibri" w:hAnsi="Calibri"/>
          <w:color w:val="52525B"/>
          <w:sz w:val="19"/>
          <w:szCs w:val="19"/>
        </w:rPr>
        <w:t xml:space="preserve">Default job safety analysis template per customer</w:t>
      </w:r>
    </w:p>
    <w:p>
      <w:pPr>
        <w:pStyle w:val="ListParagraph"/>
        <w:numPr>
          <w:ilvl w:val="0"/>
          <w:numId w:val="2"/>
        </w:numPr>
        <w:spacing w:after="20"/>
      </w:pPr>
      <w:r>
        <w:rPr>
          <w:rFonts w:ascii="Calibri" w:cs="Calibri" w:eastAsia="Calibri" w:hAnsi="Calibri"/>
          <w:color w:val="52525B"/>
          <w:sz w:val="19"/>
          <w:szCs w:val="19"/>
        </w:rPr>
        <w:t xml:space="preserve">Geo-fence configuration per site — allowed radius, grace period, escalation target</w:t>
      </w:r>
    </w:p>
    <w:p>
      <w:pPr>
        <w:pStyle w:val="ListParagraph"/>
        <w:numPr>
          <w:ilvl w:val="0"/>
          <w:numId w:val="2"/>
        </w:numPr>
        <w:spacing w:after="20"/>
      </w:pPr>
      <w:r>
        <w:rPr>
          <w:rFonts w:ascii="Calibri" w:cs="Calibri" w:eastAsia="Calibri" w:hAnsi="Calibri"/>
          <w:color w:val="52525B"/>
          <w:sz w:val="19"/>
          <w:szCs w:val="19"/>
        </w:rPr>
        <w:t xml:space="preserve">Missed-attendance triggers per site — late after, absent after, notification target</w:t>
      </w:r>
    </w:p>
    <w:p>
      <w:pPr>
        <w:pStyle w:val="ListParagraph"/>
        <w:numPr>
          <w:ilvl w:val="0"/>
          <w:numId w:val="2"/>
        </w:numPr>
        <w:spacing w:after="20"/>
      </w:pPr>
      <w:r>
        <w:rPr>
          <w:rFonts w:ascii="Calibri" w:cs="Calibri" w:eastAsia="Calibri" w:hAnsi="Calibri"/>
          <w:color w:val="52525B"/>
          <w:sz w:val="19"/>
          <w:szCs w:val="19"/>
        </w:rPr>
        <w:t xml:space="preserve">Certification requirements per customer</w:t>
      </w:r>
    </w:p>
    <w:p>
      <w:pPr>
        <w:pStyle w:val="ListParagraph"/>
        <w:numPr>
          <w:ilvl w:val="0"/>
          <w:numId w:val="2"/>
        </w:numPr>
        <w:spacing w:after="20"/>
      </w:pPr>
      <w:r>
        <w:rPr>
          <w:rFonts w:ascii="Calibri" w:cs="Calibri" w:eastAsia="Calibri" w:hAnsi="Calibri"/>
          <w:color w:val="52525B"/>
          <w:sz w:val="19"/>
          <w:szCs w:val="19"/>
        </w:rPr>
        <w:t xml:space="preserve">Document store per customer with controlled-document and customer-spec flags</w:t>
      </w:r>
    </w:p>
    <w:p>
      <w:pPr>
        <w:pStyle w:val="ListParagraph"/>
        <w:numPr>
          <w:ilvl w:val="0"/>
          <w:numId w:val="2"/>
        </w:numPr>
        <w:spacing w:after="20"/>
      </w:pPr>
      <w:r>
        <w:rPr>
          <w:rFonts w:ascii="Calibri" w:cs="Calibri" w:eastAsia="Calibri" w:hAnsi="Calibri"/>
          <w:color w:val="52525B"/>
          <w:sz w:val="19"/>
          <w:szCs w:val="19"/>
        </w:rPr>
        <w:t xml:space="preserve">Connection types assigned per customer</w:t>
      </w:r>
    </w:p>
    <w:p>
      <w:pPr>
        <w:pStyle w:val="ListParagraph"/>
        <w:numPr>
          <w:ilvl w:val="0"/>
          <w:numId w:val="2"/>
        </w:numPr>
        <w:spacing w:after="20"/>
      </w:pPr>
      <w:r>
        <w:rPr>
          <w:rFonts w:ascii="Calibri" w:cs="Calibri" w:eastAsia="Calibri" w:hAnsi="Calibri"/>
          <w:color w:val="52525B"/>
          <w:sz w:val="19"/>
          <w:szCs w:val="19"/>
        </w:rPr>
        <w:t xml:space="preserve">Complete job and inspection history per customer</w:t>
      </w:r>
    </w:p>
    <w:p>
      <w:pPr>
        <w:pStyle w:val="ListParagraph"/>
        <w:numPr>
          <w:ilvl w:val="0"/>
          <w:numId w:val="2"/>
        </w:numPr>
        <w:spacing w:after="20"/>
      </w:pPr>
      <w:r>
        <w:rPr>
          <w:rFonts w:ascii="Calibri" w:cs="Calibri" w:eastAsia="Calibri" w:hAnsi="Calibri"/>
          <w:color w:val="52525B"/>
          <w:sz w:val="19"/>
          <w:szCs w:val="19"/>
        </w:rPr>
        <w:t xml:space="preserve">Per-account activity log</w:t>
      </w:r>
    </w:p>
    <w:p>
      <w:pPr>
        <w:pStyle w:val="ListParagraph"/>
        <w:numPr>
          <w:ilvl w:val="0"/>
          <w:numId w:val="2"/>
        </w:numPr>
        <w:spacing w:after="20"/>
      </w:pPr>
      <w:r>
        <w:rPr>
          <w:rFonts w:ascii="Calibri" w:cs="Calibri" w:eastAsia="Calibri" w:hAnsi="Calibri"/>
          <w:color w:val="52525B"/>
          <w:sz w:val="19"/>
          <w:szCs w:val="19"/>
        </w:rPr>
        <w:t xml:space="preserve">Customer status management and CSV export</w:t>
      </w:r>
    </w:p>
    <w:p>
      <w:pPr>
        <w:spacing w:after="80" w:before="220"/>
      </w:pPr>
      <w:r>
        <w:rPr>
          <w:rFonts w:ascii="Consolas" w:cs="Consolas" w:eastAsia="Consolas" w:hAnsi="Consolas"/>
          <w:b/>
          <w:bCs/>
          <w:color w:val="C2410C"/>
          <w:sz w:val="18"/>
          <w:szCs w:val="18"/>
        </w:rPr>
        <w:t xml:space="preserve">03  </w:t>
      </w:r>
      <w:r>
        <w:rPr>
          <w:rFonts w:ascii="Calibri" w:cs="Calibri" w:eastAsia="Calibri" w:hAnsi="Calibri"/>
          <w:b/>
          <w:bCs/>
          <w:color w:val="18181B"/>
          <w:sz w:val="22"/>
          <w:szCs w:val="22"/>
        </w:rPr>
        <w:t xml:space="preserve">Price Sheets &amp; Rate Master</w:t>
      </w:r>
    </w:p>
    <w:p>
      <w:pPr>
        <w:pStyle w:val="ListParagraph"/>
        <w:numPr>
          <w:ilvl w:val="0"/>
          <w:numId w:val="2"/>
        </w:numPr>
        <w:spacing w:after="20"/>
      </w:pPr>
      <w:r>
        <w:rPr>
          <w:rFonts w:ascii="Calibri" w:cs="Calibri" w:eastAsia="Calibri" w:hAnsi="Calibri"/>
          <w:color w:val="52525B"/>
          <w:sz w:val="19"/>
          <w:szCs w:val="19"/>
        </w:rPr>
        <w:t xml:space="preserve">Standard pricing per customer — item, material, method, unit of measure, rate, discount percentage, discounted rate, commission percentage</w:t>
      </w:r>
    </w:p>
    <w:p>
      <w:pPr>
        <w:pStyle w:val="ListParagraph"/>
        <w:numPr>
          <w:ilvl w:val="0"/>
          <w:numId w:val="2"/>
        </w:numPr>
        <w:spacing w:after="20"/>
      </w:pPr>
      <w:r>
        <w:rPr>
          <w:rFonts w:ascii="Calibri" w:cs="Calibri" w:eastAsia="Calibri" w:hAnsi="Calibri"/>
          <w:color w:val="52525B"/>
          <w:sz w:val="19"/>
          <w:szCs w:val="19"/>
        </w:rPr>
        <w:t xml:space="preserve">Customer-specific tool pricing — tool ID, description, prefix, UOM, size, pins, boxes, misc item count</w:t>
      </w:r>
    </w:p>
    <w:p>
      <w:pPr>
        <w:pStyle w:val="ListParagraph"/>
        <w:numPr>
          <w:ilvl w:val="0"/>
          <w:numId w:val="2"/>
        </w:numPr>
        <w:spacing w:after="20"/>
      </w:pPr>
      <w:r>
        <w:rPr>
          <w:rFonts w:ascii="Calibri" w:cs="Calibri" w:eastAsia="Calibri" w:hAnsi="Calibri"/>
          <w:color w:val="52525B"/>
          <w:sz w:val="19"/>
          <w:szCs w:val="19"/>
        </w:rPr>
        <w:t xml:space="preserve">Project pricing — item, price, discount</w:t>
      </w:r>
    </w:p>
    <w:p>
      <w:pPr>
        <w:pStyle w:val="ListParagraph"/>
        <w:numPr>
          <w:ilvl w:val="0"/>
          <w:numId w:val="2"/>
        </w:numPr>
        <w:spacing w:after="20"/>
      </w:pPr>
      <w:r>
        <w:rPr>
          <w:rFonts w:ascii="Calibri" w:cs="Calibri" w:eastAsia="Calibri" w:hAnsi="Calibri"/>
          <w:color w:val="52525B"/>
          <w:sz w:val="19"/>
          <w:szCs w:val="19"/>
        </w:rPr>
        <w:t xml:space="preserve">Automatic charges applied without manual entry</w:t>
      </w:r>
    </w:p>
    <w:p>
      <w:pPr>
        <w:pStyle w:val="ListParagraph"/>
        <w:numPr>
          <w:ilvl w:val="0"/>
          <w:numId w:val="2"/>
        </w:numPr>
        <w:spacing w:after="20"/>
      </w:pPr>
      <w:r>
        <w:rPr>
          <w:rFonts w:ascii="Calibri" w:cs="Calibri" w:eastAsia="Calibri" w:hAnsi="Calibri"/>
          <w:color w:val="52525B"/>
          <w:sz w:val="19"/>
          <w:szCs w:val="19"/>
        </w:rPr>
        <w:t xml:space="preserve">Closeout item charges — name, UOM, rate, discount</w:t>
      </w:r>
    </w:p>
    <w:p>
      <w:pPr>
        <w:pStyle w:val="ListParagraph"/>
        <w:numPr>
          <w:ilvl w:val="0"/>
          <w:numId w:val="2"/>
        </w:numPr>
        <w:spacing w:after="20"/>
      </w:pPr>
      <w:r>
        <w:rPr>
          <w:rFonts w:ascii="Calibri" w:cs="Calibri" w:eastAsia="Calibri" w:hAnsi="Calibri"/>
          <w:color w:val="52525B"/>
          <w:sz w:val="19"/>
          <w:szCs w:val="19"/>
        </w:rPr>
        <w:t xml:space="preserve">Misc items library shared across pricing and inspection</w:t>
      </w:r>
    </w:p>
    <w:p>
      <w:pPr>
        <w:pStyle w:val="ListParagraph"/>
        <w:numPr>
          <w:ilvl w:val="0"/>
          <w:numId w:val="2"/>
        </w:numPr>
        <w:spacing w:after="20"/>
      </w:pPr>
      <w:r>
        <w:rPr>
          <w:rFonts w:ascii="Calibri" w:cs="Calibri" w:eastAsia="Calibri" w:hAnsi="Calibri"/>
          <w:color w:val="52525B"/>
          <w:sz w:val="19"/>
          <w:szCs w:val="19"/>
        </w:rPr>
        <w:t xml:space="preserve">Mileage rate and inspector hourly rate held on the same sheet the inspection bills from</w:t>
      </w:r>
    </w:p>
    <w:p>
      <w:pPr>
        <w:pStyle w:val="ListParagraph"/>
        <w:numPr>
          <w:ilvl w:val="0"/>
          <w:numId w:val="2"/>
        </w:numPr>
        <w:spacing w:after="20"/>
      </w:pPr>
      <w:r>
        <w:rPr>
          <w:rFonts w:ascii="Calibri" w:cs="Calibri" w:eastAsia="Calibri" w:hAnsi="Calibri"/>
          <w:color w:val="52525B"/>
          <w:sz w:val="19"/>
          <w:szCs w:val="19"/>
        </w:rPr>
        <w:t xml:space="preserve">Holiday, after-hours and priority pricing logic</w:t>
      </w:r>
    </w:p>
    <w:p>
      <w:pPr>
        <w:pStyle w:val="ListParagraph"/>
        <w:numPr>
          <w:ilvl w:val="0"/>
          <w:numId w:val="2"/>
        </w:numPr>
        <w:spacing w:after="20"/>
      </w:pPr>
      <w:r>
        <w:rPr>
          <w:rFonts w:ascii="Calibri" w:cs="Calibri" w:eastAsia="Calibri" w:hAnsi="Calibri"/>
          <w:color w:val="52525B"/>
          <w:sz w:val="19"/>
          <w:szCs w:val="19"/>
        </w:rPr>
        <w:t xml:space="preserve">Tax handling per customer with configurable percentage</w:t>
      </w:r>
    </w:p>
    <w:p>
      <w:pPr>
        <w:spacing w:after="80" w:before="220"/>
      </w:pPr>
      <w:r>
        <w:rPr>
          <w:rFonts w:ascii="Consolas" w:cs="Consolas" w:eastAsia="Consolas" w:hAnsi="Consolas"/>
          <w:b/>
          <w:bCs/>
          <w:color w:val="C2410C"/>
          <w:sz w:val="18"/>
          <w:szCs w:val="18"/>
        </w:rPr>
        <w:t xml:space="preserve">04  </w:t>
      </w:r>
      <w:r>
        <w:rPr>
          <w:rFonts w:ascii="Calibri" w:cs="Calibri" w:eastAsia="Calibri" w:hAnsi="Calibri"/>
          <w:b/>
          <w:bCs/>
          <w:color w:val="18181B"/>
          <w:sz w:val="22"/>
          <w:szCs w:val="22"/>
        </w:rPr>
        <w:t xml:space="preserve">Workforce, Crews &amp; Payroll Rules</w:t>
      </w:r>
    </w:p>
    <w:p>
      <w:pPr>
        <w:pStyle w:val="ListParagraph"/>
        <w:numPr>
          <w:ilvl w:val="0"/>
          <w:numId w:val="2"/>
        </w:numPr>
        <w:spacing w:after="20"/>
      </w:pPr>
      <w:r>
        <w:rPr>
          <w:rFonts w:ascii="Calibri" w:cs="Calibri" w:eastAsia="Calibri" w:hAnsi="Calibri"/>
          <w:color w:val="52525B"/>
          <w:sz w:val="19"/>
          <w:szCs w:val="19"/>
        </w:rPr>
        <w:t xml:space="preserve">Employee master with profile, role, territory, district, contact details and status</w:t>
      </w:r>
    </w:p>
    <w:p>
      <w:pPr>
        <w:pStyle w:val="ListParagraph"/>
        <w:numPr>
          <w:ilvl w:val="0"/>
          <w:numId w:val="2"/>
        </w:numPr>
        <w:spacing w:after="20"/>
      </w:pPr>
      <w:r>
        <w:rPr>
          <w:rFonts w:ascii="Calibri" w:cs="Calibri" w:eastAsia="Calibri" w:hAnsi="Calibri"/>
          <w:color w:val="52525B"/>
          <w:sz w:val="19"/>
          <w:szCs w:val="19"/>
        </w:rPr>
        <w:t xml:space="preserve">Certification register per employee with type, level and expiry date</w:t>
      </w:r>
    </w:p>
    <w:p>
      <w:pPr>
        <w:pStyle w:val="ListParagraph"/>
        <w:numPr>
          <w:ilvl w:val="0"/>
          <w:numId w:val="2"/>
        </w:numPr>
        <w:spacing w:after="20"/>
      </w:pPr>
      <w:r>
        <w:rPr>
          <w:rFonts w:ascii="Calibri" w:cs="Calibri" w:eastAsia="Calibri" w:hAnsi="Calibri"/>
          <w:color w:val="52525B"/>
          <w:sz w:val="19"/>
          <w:szCs w:val="19"/>
        </w:rPr>
        <w:t xml:space="preserve">Pay rules per employee — hourly or salaried, pay rate, pay frequency, overtime threshold, overtime multiplier, mileage rate</w:t>
      </w:r>
    </w:p>
    <w:p>
      <w:pPr>
        <w:pStyle w:val="ListParagraph"/>
        <w:numPr>
          <w:ilvl w:val="0"/>
          <w:numId w:val="2"/>
        </w:numPr>
        <w:spacing w:after="20"/>
      </w:pPr>
      <w:r>
        <w:rPr>
          <w:rFonts w:ascii="Calibri" w:cs="Calibri" w:eastAsia="Calibri" w:hAnsi="Calibri"/>
          <w:color w:val="52525B"/>
          <w:sz w:val="19"/>
          <w:szCs w:val="19"/>
        </w:rPr>
        <w:t xml:space="preserve">Employee documents and signature capture for report sign-off</w:t>
      </w:r>
    </w:p>
    <w:p>
      <w:pPr>
        <w:pStyle w:val="ListParagraph"/>
        <w:numPr>
          <w:ilvl w:val="0"/>
          <w:numId w:val="2"/>
        </w:numPr>
        <w:spacing w:after="20"/>
      </w:pPr>
      <w:r>
        <w:rPr>
          <w:rFonts w:ascii="Calibri" w:cs="Calibri" w:eastAsia="Calibri" w:hAnsi="Calibri"/>
          <w:color w:val="52525B"/>
          <w:sz w:val="19"/>
          <w:szCs w:val="19"/>
        </w:rPr>
        <w:t xml:space="preserve">Crews and teams — crew lead, members, shift window, home base, overtime cap, dispatch priority</w:t>
      </w:r>
    </w:p>
    <w:p>
      <w:pPr>
        <w:pStyle w:val="ListParagraph"/>
        <w:numPr>
          <w:ilvl w:val="0"/>
          <w:numId w:val="2"/>
        </w:numPr>
        <w:spacing w:after="20"/>
      </w:pPr>
      <w:r>
        <w:rPr>
          <w:rFonts w:ascii="Calibri" w:cs="Calibri" w:eastAsia="Calibri" w:hAnsi="Calibri"/>
          <w:color w:val="52525B"/>
          <w:sz w:val="19"/>
          <w:szCs w:val="19"/>
        </w:rPr>
        <w:t xml:space="preserve">Swap crew members without generating attendance anomalies</w:t>
      </w:r>
    </w:p>
    <w:p>
      <w:pPr>
        <w:pStyle w:val="ListParagraph"/>
        <w:numPr>
          <w:ilvl w:val="0"/>
          <w:numId w:val="2"/>
        </w:numPr>
        <w:spacing w:after="20"/>
      </w:pPr>
      <w:r>
        <w:rPr>
          <w:rFonts w:ascii="Calibri" w:cs="Calibri" w:eastAsia="Calibri" w:hAnsi="Calibri"/>
          <w:color w:val="52525B"/>
          <w:sz w:val="19"/>
          <w:szCs w:val="19"/>
        </w:rPr>
        <w:t xml:space="preserve">Service capabilities per crew</w:t>
      </w:r>
    </w:p>
    <w:p>
      <w:pPr>
        <w:pStyle w:val="ListParagraph"/>
        <w:numPr>
          <w:ilvl w:val="0"/>
          <w:numId w:val="2"/>
        </w:numPr>
        <w:spacing w:after="20"/>
      </w:pPr>
      <w:r>
        <w:rPr>
          <w:rFonts w:ascii="Calibri" w:cs="Calibri" w:eastAsia="Calibri" w:hAnsi="Calibri"/>
          <w:color w:val="52525B"/>
          <w:sz w:val="19"/>
          <w:szCs w:val="19"/>
        </w:rPr>
        <w:t xml:space="preserve">Portal users — customer-side logins mapped to customer and site</w:t>
      </w:r>
    </w:p>
    <w:p>
      <w:pPr>
        <w:pStyle w:val="ListParagraph"/>
        <w:numPr>
          <w:ilvl w:val="0"/>
          <w:numId w:val="2"/>
        </w:numPr>
        <w:spacing w:after="20"/>
      </w:pPr>
      <w:r>
        <w:rPr>
          <w:rFonts w:ascii="Calibri" w:cs="Calibri" w:eastAsia="Calibri" w:hAnsi="Calibri"/>
          <w:color w:val="52525B"/>
          <w:sz w:val="19"/>
          <w:szCs w:val="19"/>
        </w:rPr>
        <w:t xml:space="preserve">Employee assignment, attendance, overtime, mileage, payout, certification and document views per person</w:t>
      </w:r>
    </w:p>
    <w:p>
      <w:pPr>
        <w:spacing w:after="80" w:before="220"/>
      </w:pPr>
      <w:r>
        <w:rPr>
          <w:rFonts w:ascii="Consolas" w:cs="Consolas" w:eastAsia="Consolas" w:hAnsi="Consolas"/>
          <w:b/>
          <w:bCs/>
          <w:color w:val="C2410C"/>
          <w:sz w:val="18"/>
          <w:szCs w:val="18"/>
        </w:rPr>
        <w:t xml:space="preserve">05  </w:t>
      </w:r>
      <w:r>
        <w:rPr>
          <w:rFonts w:ascii="Calibri" w:cs="Calibri" w:eastAsia="Calibri" w:hAnsi="Calibri"/>
          <w:b/>
          <w:bCs/>
          <w:color w:val="18181B"/>
          <w:sz w:val="22"/>
          <w:szCs w:val="22"/>
        </w:rPr>
        <w:t xml:space="preserve">Jobs &amp; Dispatch</w:t>
      </w:r>
    </w:p>
    <w:p>
      <w:pPr>
        <w:pStyle w:val="ListParagraph"/>
        <w:numPr>
          <w:ilvl w:val="0"/>
          <w:numId w:val="2"/>
        </w:numPr>
        <w:spacing w:after="20"/>
      </w:pPr>
      <w:r>
        <w:rPr>
          <w:rFonts w:ascii="Calibri" w:cs="Calibri" w:eastAsia="Calibri" w:hAnsi="Calibri"/>
          <w:color w:val="52525B"/>
          <w:sz w:val="19"/>
          <w:szCs w:val="19"/>
        </w:rPr>
        <w:t xml:space="preserve">Job creation with customer, site, division, work type, inspection type and priority</w:t>
      </w:r>
    </w:p>
    <w:p>
      <w:pPr>
        <w:pStyle w:val="ListParagraph"/>
        <w:numPr>
          <w:ilvl w:val="0"/>
          <w:numId w:val="2"/>
        </w:numPr>
        <w:spacing w:after="20"/>
      </w:pPr>
      <w:r>
        <w:rPr>
          <w:rFonts w:ascii="Calibri" w:cs="Calibri" w:eastAsia="Calibri" w:hAnsi="Calibri"/>
          <w:color w:val="52525B"/>
          <w:sz w:val="19"/>
          <w:szCs w:val="19"/>
        </w:rPr>
        <w:t xml:space="preserve">Pre-job checklist so crews know what to carry before leaving</w:t>
      </w:r>
    </w:p>
    <w:p>
      <w:pPr>
        <w:pStyle w:val="ListParagraph"/>
        <w:numPr>
          <w:ilvl w:val="0"/>
          <w:numId w:val="2"/>
        </w:numPr>
        <w:spacing w:after="20"/>
      </w:pPr>
      <w:r>
        <w:rPr>
          <w:rFonts w:ascii="Calibri" w:cs="Calibri" w:eastAsia="Calibri" w:hAnsi="Calibri"/>
          <w:color w:val="52525B"/>
          <w:sz w:val="19"/>
          <w:szCs w:val="19"/>
        </w:rPr>
        <w:t xml:space="preserve">Job task checklist assigned to dispatched crew members</w:t>
      </w:r>
    </w:p>
    <w:p>
      <w:pPr>
        <w:pStyle w:val="ListParagraph"/>
        <w:numPr>
          <w:ilvl w:val="0"/>
          <w:numId w:val="2"/>
        </w:numPr>
        <w:spacing w:after="20"/>
      </w:pPr>
      <w:r>
        <w:rPr>
          <w:rFonts w:ascii="Calibri" w:cs="Calibri" w:eastAsia="Calibri" w:hAnsi="Calibri"/>
          <w:color w:val="52525B"/>
          <w:sz w:val="19"/>
          <w:szCs w:val="19"/>
        </w:rPr>
        <w:t xml:space="preserve">Crew or individual assignment, including assign-all</w:t>
      </w:r>
    </w:p>
    <w:p>
      <w:pPr>
        <w:pStyle w:val="ListParagraph"/>
        <w:numPr>
          <w:ilvl w:val="0"/>
          <w:numId w:val="2"/>
        </w:numPr>
        <w:spacing w:after="20"/>
      </w:pPr>
      <w:r>
        <w:rPr>
          <w:rFonts w:ascii="Calibri" w:cs="Calibri" w:eastAsia="Calibri" w:hAnsi="Calibri"/>
          <w:color w:val="52525B"/>
          <w:sz w:val="19"/>
          <w:szCs w:val="19"/>
        </w:rPr>
        <w:t xml:space="preserve">Document attachment to a job before dispatch</w:t>
      </w:r>
    </w:p>
    <w:p>
      <w:pPr>
        <w:pStyle w:val="ListParagraph"/>
        <w:numPr>
          <w:ilvl w:val="0"/>
          <w:numId w:val="2"/>
        </w:numPr>
        <w:spacing w:after="20"/>
      </w:pPr>
      <w:r>
        <w:rPr>
          <w:rFonts w:ascii="Calibri" w:cs="Calibri" w:eastAsia="Calibri" w:hAnsi="Calibri"/>
          <w:color w:val="52525B"/>
          <w:sz w:val="19"/>
          <w:szCs w:val="19"/>
        </w:rPr>
        <w:t xml:space="preserve">Configurable job progress stages with colour, sequence and live progress bar</w:t>
      </w:r>
    </w:p>
    <w:p>
      <w:pPr>
        <w:pStyle w:val="ListParagraph"/>
        <w:numPr>
          <w:ilvl w:val="0"/>
          <w:numId w:val="2"/>
        </w:numPr>
        <w:spacing w:after="20"/>
      </w:pPr>
      <w:r>
        <w:rPr>
          <w:rFonts w:ascii="Calibri" w:cs="Calibri" w:eastAsia="Calibri" w:hAnsi="Calibri"/>
          <w:color w:val="52525B"/>
          <w:sz w:val="19"/>
          <w:szCs w:val="19"/>
        </w:rPr>
        <w:t xml:space="preserve">Job templates for repeat work</w:t>
      </w:r>
    </w:p>
    <w:p>
      <w:pPr>
        <w:pStyle w:val="ListParagraph"/>
        <w:numPr>
          <w:ilvl w:val="0"/>
          <w:numId w:val="2"/>
        </w:numPr>
        <w:spacing w:after="20"/>
      </w:pPr>
      <w:r>
        <w:rPr>
          <w:rFonts w:ascii="Calibri" w:cs="Calibri" w:eastAsia="Calibri" w:hAnsi="Calibri"/>
          <w:color w:val="52525B"/>
          <w:sz w:val="19"/>
          <w:szCs w:val="19"/>
        </w:rPr>
        <w:t xml:space="preserve">Scheduled start, estimated end and push reminders to assigned crew</w:t>
      </w:r>
    </w:p>
    <w:p>
      <w:pPr>
        <w:pStyle w:val="ListParagraph"/>
        <w:numPr>
          <w:ilvl w:val="0"/>
          <w:numId w:val="2"/>
        </w:numPr>
        <w:spacing w:after="20"/>
      </w:pPr>
      <w:r>
        <w:rPr>
          <w:rFonts w:ascii="Calibri" w:cs="Calibri" w:eastAsia="Calibri" w:hAnsi="Calibri"/>
          <w:color w:val="52525B"/>
          <w:sz w:val="19"/>
          <w:szCs w:val="19"/>
        </w:rPr>
        <w:t xml:space="preserve">Optional map pin per job</w:t>
      </w:r>
    </w:p>
    <w:p>
      <w:pPr>
        <w:pStyle w:val="ListParagraph"/>
        <w:numPr>
          <w:ilvl w:val="0"/>
          <w:numId w:val="2"/>
        </w:numPr>
        <w:spacing w:after="20"/>
      </w:pPr>
      <w:r>
        <w:rPr>
          <w:rFonts w:ascii="Calibri" w:cs="Calibri" w:eastAsia="Calibri" w:hAnsi="Calibri"/>
          <w:color w:val="52525B"/>
          <w:sz w:val="19"/>
          <w:szCs w:val="19"/>
        </w:rPr>
        <w:t xml:space="preserve">Job lifecycle statuses from scheduled through to invoiced</w:t>
      </w:r>
    </w:p>
    <w:p>
      <w:pPr>
        <w:pStyle w:val="ListParagraph"/>
        <w:numPr>
          <w:ilvl w:val="0"/>
          <w:numId w:val="2"/>
        </w:numPr>
        <w:spacing w:after="20"/>
      </w:pPr>
      <w:r>
        <w:rPr>
          <w:rFonts w:ascii="Calibri" w:cs="Calibri" w:eastAsia="Calibri" w:hAnsi="Calibri"/>
          <w:color w:val="52525B"/>
          <w:sz w:val="19"/>
          <w:szCs w:val="19"/>
        </w:rPr>
        <w:t xml:space="preserve">Employee-initiated reschedule and extension requests with reason, notifying the administrator</w:t>
      </w:r>
    </w:p>
    <w:p>
      <w:pPr>
        <w:spacing w:after="80" w:before="220"/>
      </w:pPr>
      <w:r>
        <w:rPr>
          <w:rFonts w:ascii="Consolas" w:cs="Consolas" w:eastAsia="Consolas" w:hAnsi="Consolas"/>
          <w:b/>
          <w:bCs/>
          <w:color w:val="C2410C"/>
          <w:sz w:val="18"/>
          <w:szCs w:val="18"/>
        </w:rPr>
        <w:t xml:space="preserve">06  </w:t>
      </w:r>
      <w:r>
        <w:rPr>
          <w:rFonts w:ascii="Calibri" w:cs="Calibri" w:eastAsia="Calibri" w:hAnsi="Calibri"/>
          <w:b/>
          <w:bCs/>
          <w:color w:val="18181B"/>
          <w:sz w:val="22"/>
          <w:szCs w:val="22"/>
        </w:rPr>
        <w:t xml:space="preserve">Scheduling Calendar</w:t>
      </w:r>
    </w:p>
    <w:p>
      <w:pPr>
        <w:pStyle w:val="ListParagraph"/>
        <w:numPr>
          <w:ilvl w:val="0"/>
          <w:numId w:val="2"/>
        </w:numPr>
        <w:spacing w:after="20"/>
      </w:pPr>
      <w:r>
        <w:rPr>
          <w:rFonts w:ascii="Calibri" w:cs="Calibri" w:eastAsia="Calibri" w:hAnsi="Calibri"/>
          <w:color w:val="52525B"/>
          <w:sz w:val="19"/>
          <w:szCs w:val="19"/>
        </w:rPr>
        <w:t xml:space="preserve">Day, week and month views</w:t>
      </w:r>
    </w:p>
    <w:p>
      <w:pPr>
        <w:pStyle w:val="ListParagraph"/>
        <w:numPr>
          <w:ilvl w:val="0"/>
          <w:numId w:val="2"/>
        </w:numPr>
        <w:spacing w:after="20"/>
      </w:pPr>
      <w:r>
        <w:rPr>
          <w:rFonts w:ascii="Calibri" w:cs="Calibri" w:eastAsia="Calibri" w:hAnsi="Calibri"/>
          <w:color w:val="52525B"/>
          <w:sz w:val="19"/>
          <w:szCs w:val="19"/>
        </w:rPr>
        <w:t xml:space="preserve">Week view arranged by crew, with an unassigned row for jobs still needing a crew</w:t>
      </w:r>
    </w:p>
    <w:p>
      <w:pPr>
        <w:pStyle w:val="ListParagraph"/>
        <w:numPr>
          <w:ilvl w:val="0"/>
          <w:numId w:val="2"/>
        </w:numPr>
        <w:spacing w:after="20"/>
      </w:pPr>
      <w:r>
        <w:rPr>
          <w:rFonts w:ascii="Calibri" w:cs="Calibri" w:eastAsia="Calibri" w:hAnsi="Calibri"/>
          <w:color w:val="52525B"/>
          <w:sz w:val="19"/>
          <w:szCs w:val="19"/>
        </w:rPr>
        <w:t xml:space="preserve">Inspections and invoice due dates shown on the same calendar as crew work</w:t>
      </w:r>
    </w:p>
    <w:p>
      <w:pPr>
        <w:pStyle w:val="ListParagraph"/>
        <w:numPr>
          <w:ilvl w:val="0"/>
          <w:numId w:val="2"/>
        </w:numPr>
        <w:spacing w:after="20"/>
      </w:pPr>
      <w:r>
        <w:rPr>
          <w:rFonts w:ascii="Calibri" w:cs="Calibri" w:eastAsia="Calibri" w:hAnsi="Calibri"/>
          <w:color w:val="52525B"/>
          <w:sz w:val="19"/>
          <w:szCs w:val="19"/>
        </w:rPr>
        <w:t xml:space="preserve">Colour coding by status; click through to the underlying record</w:t>
      </w:r>
    </w:p>
    <w:p>
      <w:pPr>
        <w:pStyle w:val="ListParagraph"/>
        <w:numPr>
          <w:ilvl w:val="0"/>
          <w:numId w:val="2"/>
        </w:numPr>
        <w:spacing w:after="20"/>
      </w:pPr>
      <w:r>
        <w:rPr>
          <w:rFonts w:ascii="Calibri" w:cs="Calibri" w:eastAsia="Calibri" w:hAnsi="Calibri"/>
          <w:color w:val="52525B"/>
          <w:sz w:val="19"/>
          <w:szCs w:val="19"/>
        </w:rPr>
        <w:t xml:space="preserve">Today marker and forward and backward navigation</w:t>
      </w:r>
    </w:p>
    <w:p>
      <w:pPr>
        <w:spacing w:after="80" w:before="220"/>
      </w:pPr>
      <w:r>
        <w:rPr>
          <w:rFonts w:ascii="Consolas" w:cs="Consolas" w:eastAsia="Consolas" w:hAnsi="Consolas"/>
          <w:b/>
          <w:bCs/>
          <w:color w:val="C2410C"/>
          <w:sz w:val="18"/>
          <w:szCs w:val="18"/>
        </w:rPr>
        <w:t xml:space="preserve">07  </w:t>
      </w:r>
      <w:r>
        <w:rPr>
          <w:rFonts w:ascii="Calibri" w:cs="Calibri" w:eastAsia="Calibri" w:hAnsi="Calibri"/>
          <w:b/>
          <w:bCs/>
          <w:color w:val="18181B"/>
          <w:sz w:val="22"/>
          <w:szCs w:val="22"/>
        </w:rPr>
        <w:t xml:space="preserve">Operations Map &amp; Geo-Compliance</w:t>
      </w:r>
    </w:p>
    <w:p>
      <w:pPr>
        <w:pStyle w:val="ListParagraph"/>
        <w:numPr>
          <w:ilvl w:val="0"/>
          <w:numId w:val="2"/>
        </w:numPr>
        <w:spacing w:after="20"/>
      </w:pPr>
      <w:r>
        <w:rPr>
          <w:rFonts w:ascii="Calibri" w:cs="Calibri" w:eastAsia="Calibri" w:hAnsi="Calibri"/>
          <w:color w:val="52525B"/>
          <w:sz w:val="19"/>
          <w:szCs w:val="19"/>
        </w:rPr>
        <w:t xml:space="preserve">Live map of crew positions and job sites with real coordinates</w:t>
      </w:r>
    </w:p>
    <w:p>
      <w:pPr>
        <w:pStyle w:val="ListParagraph"/>
        <w:numPr>
          <w:ilvl w:val="0"/>
          <w:numId w:val="2"/>
        </w:numPr>
        <w:spacing w:after="20"/>
      </w:pPr>
      <w:r>
        <w:rPr>
          <w:rFonts w:ascii="Calibri" w:cs="Calibri" w:eastAsia="Calibri" w:hAnsi="Calibri"/>
          <w:color w:val="52525B"/>
          <w:sz w:val="19"/>
          <w:szCs w:val="19"/>
        </w:rPr>
        <w:t xml:space="preserve">Geo-fence rings drawn per site from the radius on the customer record</w:t>
      </w:r>
    </w:p>
    <w:p>
      <w:pPr>
        <w:pStyle w:val="ListParagraph"/>
        <w:numPr>
          <w:ilvl w:val="0"/>
          <w:numId w:val="2"/>
        </w:numPr>
        <w:spacing w:after="20"/>
      </w:pPr>
      <w:r>
        <w:rPr>
          <w:rFonts w:ascii="Calibri" w:cs="Calibri" w:eastAsia="Calibri" w:hAnsi="Calibri"/>
          <w:color w:val="52525B"/>
          <w:sz w:val="19"/>
          <w:szCs w:val="19"/>
        </w:rPr>
        <w:t xml:space="preserve">Crew status — on site, in transit, off shift — with last-updated time</w:t>
      </w:r>
    </w:p>
    <w:p>
      <w:pPr>
        <w:pStyle w:val="ListParagraph"/>
        <w:numPr>
          <w:ilvl w:val="0"/>
          <w:numId w:val="2"/>
        </w:numPr>
        <w:spacing w:after="20"/>
      </w:pPr>
      <w:r>
        <w:rPr>
          <w:rFonts w:ascii="Calibri" w:cs="Calibri" w:eastAsia="Calibri" w:hAnsi="Calibri"/>
          <w:color w:val="52525B"/>
          <w:sz w:val="19"/>
          <w:szCs w:val="19"/>
        </w:rPr>
        <w:t xml:space="preserve">Route display for crews in transit</w:t>
      </w:r>
    </w:p>
    <w:p>
      <w:pPr>
        <w:pStyle w:val="ListParagraph"/>
        <w:numPr>
          <w:ilvl w:val="0"/>
          <w:numId w:val="2"/>
        </w:numPr>
        <w:spacing w:after="20"/>
      </w:pPr>
      <w:r>
        <w:rPr>
          <w:rFonts w:ascii="Calibri" w:cs="Calibri" w:eastAsia="Calibri" w:hAnsi="Calibri"/>
          <w:color w:val="52525B"/>
          <w:sz w:val="19"/>
          <w:szCs w:val="19"/>
        </w:rPr>
        <w:t xml:space="preserve">Open-job count per site</w:t>
      </w:r>
    </w:p>
    <w:p>
      <w:pPr>
        <w:pStyle w:val="ListParagraph"/>
        <w:numPr>
          <w:ilvl w:val="0"/>
          <w:numId w:val="2"/>
        </w:numPr>
        <w:spacing w:after="20"/>
      </w:pPr>
      <w:r>
        <w:rPr>
          <w:rFonts w:ascii="Calibri" w:cs="Calibri" w:eastAsia="Calibri" w:hAnsi="Calibri"/>
          <w:color w:val="52525B"/>
          <w:sz w:val="19"/>
          <w:szCs w:val="19"/>
        </w:rPr>
        <w:t xml:space="preserve">Region switching for multi-territory operations</w:t>
      </w:r>
    </w:p>
    <w:p>
      <w:pPr>
        <w:pStyle w:val="ListParagraph"/>
        <w:numPr>
          <w:ilvl w:val="0"/>
          <w:numId w:val="2"/>
        </w:numPr>
        <w:spacing w:after="20"/>
      </w:pPr>
      <w:r>
        <w:rPr>
          <w:rFonts w:ascii="Calibri" w:cs="Calibri" w:eastAsia="Calibri" w:hAnsi="Calibri"/>
          <w:color w:val="52525B"/>
          <w:sz w:val="19"/>
          <w:szCs w:val="19"/>
        </w:rPr>
        <w:t xml:space="preserve">Geo violation detection — check-in outside the fence, unexpected departure, unusual movement</w:t>
      </w:r>
    </w:p>
    <w:p>
      <w:pPr>
        <w:pStyle w:val="ListParagraph"/>
        <w:numPr>
          <w:ilvl w:val="0"/>
          <w:numId w:val="2"/>
        </w:numPr>
        <w:spacing w:after="20"/>
      </w:pPr>
      <w:r>
        <w:rPr>
          <w:rFonts w:ascii="Calibri" w:cs="Calibri" w:eastAsia="Calibri" w:hAnsi="Calibri"/>
          <w:color w:val="52525B"/>
          <w:sz w:val="19"/>
          <w:szCs w:val="19"/>
        </w:rPr>
        <w:t xml:space="preserve">Crew status and site panels with click-through to the job or account</w:t>
      </w:r>
    </w:p>
    <w:p>
      <w:pPr>
        <w:spacing w:after="80" w:before="220"/>
      </w:pPr>
      <w:r>
        <w:rPr>
          <w:rFonts w:ascii="Consolas" w:cs="Consolas" w:eastAsia="Consolas" w:hAnsi="Consolas"/>
          <w:b/>
          <w:bCs/>
          <w:color w:val="C2410C"/>
          <w:sz w:val="18"/>
          <w:szCs w:val="18"/>
        </w:rPr>
        <w:t xml:space="preserve">08  </w:t>
      </w:r>
      <w:r>
        <w:rPr>
          <w:rFonts w:ascii="Calibri" w:cs="Calibri" w:eastAsia="Calibri" w:hAnsi="Calibri"/>
          <w:b/>
          <w:bCs/>
          <w:color w:val="18181B"/>
          <w:sz w:val="22"/>
          <w:szCs w:val="22"/>
        </w:rPr>
        <w:t xml:space="preserve">Attendance, Time &amp; Site Cost</w:t>
      </w:r>
    </w:p>
    <w:p>
      <w:pPr>
        <w:pStyle w:val="ListParagraph"/>
        <w:numPr>
          <w:ilvl w:val="0"/>
          <w:numId w:val="2"/>
        </w:numPr>
        <w:spacing w:after="20"/>
      </w:pPr>
      <w:r>
        <w:rPr>
          <w:rFonts w:ascii="Calibri" w:cs="Calibri" w:eastAsia="Calibri" w:hAnsi="Calibri"/>
          <w:color w:val="52525B"/>
          <w:sz w:val="19"/>
          <w:szCs w:val="19"/>
        </w:rPr>
        <w:t xml:space="preserve">Geo-verified check in and check out against the site record</w:t>
      </w:r>
    </w:p>
    <w:p>
      <w:pPr>
        <w:pStyle w:val="ListParagraph"/>
        <w:numPr>
          <w:ilvl w:val="0"/>
          <w:numId w:val="2"/>
        </w:numPr>
        <w:spacing w:after="20"/>
      </w:pPr>
      <w:r>
        <w:rPr>
          <w:rFonts w:ascii="Calibri" w:cs="Calibri" w:eastAsia="Calibri" w:hAnsi="Calibri"/>
          <w:color w:val="52525B"/>
          <w:sz w:val="19"/>
          <w:szCs w:val="19"/>
        </w:rPr>
        <w:t xml:space="preserve">Attendance notes captured at check in and check out</w:t>
      </w:r>
    </w:p>
    <w:p>
      <w:pPr>
        <w:pStyle w:val="ListParagraph"/>
        <w:numPr>
          <w:ilvl w:val="0"/>
          <w:numId w:val="2"/>
        </w:numPr>
        <w:spacing w:after="20"/>
      </w:pPr>
      <w:r>
        <w:rPr>
          <w:rFonts w:ascii="Calibri" w:cs="Calibri" w:eastAsia="Calibri" w:hAnsi="Calibri"/>
          <w:color w:val="52525B"/>
          <w:sz w:val="19"/>
          <w:szCs w:val="19"/>
        </w:rPr>
        <w:t xml:space="preserve">Exception flagging — late arrival, early exit, absence, missed check-out, outside fence</w:t>
      </w:r>
    </w:p>
    <w:p>
      <w:pPr>
        <w:pStyle w:val="ListParagraph"/>
        <w:numPr>
          <w:ilvl w:val="0"/>
          <w:numId w:val="2"/>
        </w:numPr>
        <w:spacing w:after="20"/>
      </w:pPr>
      <w:r>
        <w:rPr>
          <w:rFonts w:ascii="Calibri" w:cs="Calibri" w:eastAsia="Calibri" w:hAnsi="Calibri"/>
          <w:color w:val="52525B"/>
          <w:sz w:val="19"/>
          <w:szCs w:val="19"/>
        </w:rPr>
        <w:t xml:space="preserve">Administrator correction of missed check-outs with an audit trail</w:t>
      </w:r>
    </w:p>
    <w:p>
      <w:pPr>
        <w:pStyle w:val="ListParagraph"/>
        <w:numPr>
          <w:ilvl w:val="0"/>
          <w:numId w:val="2"/>
        </w:numPr>
        <w:spacing w:after="20"/>
      </w:pPr>
      <w:r>
        <w:rPr>
          <w:rFonts w:ascii="Calibri" w:cs="Calibri" w:eastAsia="Calibri" w:hAnsi="Calibri"/>
          <w:color w:val="52525B"/>
          <w:sz w:val="19"/>
          <w:szCs w:val="19"/>
        </w:rPr>
        <w:t xml:space="preserve">Hours calculated per person per job</w:t>
      </w:r>
    </w:p>
    <w:p>
      <w:pPr>
        <w:pStyle w:val="ListParagraph"/>
        <w:numPr>
          <w:ilvl w:val="0"/>
          <w:numId w:val="2"/>
        </w:numPr>
        <w:spacing w:after="20"/>
      </w:pPr>
      <w:r>
        <w:rPr>
          <w:rFonts w:ascii="Calibri" w:cs="Calibri" w:eastAsia="Calibri" w:hAnsi="Calibri"/>
          <w:color w:val="52525B"/>
          <w:sz w:val="19"/>
          <w:szCs w:val="19"/>
        </w:rPr>
        <w:t xml:space="preserve">Timesheet generation by week with draft, submitted, approved, rejected and paid states</w:t>
      </w:r>
    </w:p>
    <w:p>
      <w:pPr>
        <w:pStyle w:val="ListParagraph"/>
        <w:numPr>
          <w:ilvl w:val="0"/>
          <w:numId w:val="2"/>
        </w:numPr>
        <w:spacing w:after="20"/>
      </w:pPr>
      <w:r>
        <w:rPr>
          <w:rFonts w:ascii="Calibri" w:cs="Calibri" w:eastAsia="Calibri" w:hAnsi="Calibri"/>
          <w:color w:val="52525B"/>
          <w:sz w:val="19"/>
          <w:szCs w:val="19"/>
        </w:rPr>
        <w:t xml:space="preserve">Overtime monitoring against per-employee thresholds with projected cost impact</w:t>
      </w:r>
    </w:p>
    <w:p>
      <w:pPr>
        <w:pStyle w:val="ListParagraph"/>
        <w:numPr>
          <w:ilvl w:val="0"/>
          <w:numId w:val="2"/>
        </w:numPr>
        <w:spacing w:after="20"/>
      </w:pPr>
      <w:r>
        <w:rPr>
          <w:rFonts w:ascii="Calibri" w:cs="Calibri" w:eastAsia="Calibri" w:hAnsi="Calibri"/>
          <w:color w:val="52525B"/>
          <w:sz w:val="19"/>
          <w:szCs w:val="19"/>
        </w:rPr>
        <w:t xml:space="preserve">Overtime distribution by department and team</w:t>
      </w:r>
    </w:p>
    <w:p>
      <w:pPr>
        <w:pStyle w:val="ListParagraph"/>
        <w:numPr>
          <w:ilvl w:val="0"/>
          <w:numId w:val="2"/>
        </w:numPr>
        <w:spacing w:after="20"/>
      </w:pPr>
      <w:r>
        <w:rPr>
          <w:rFonts w:ascii="Calibri" w:cs="Calibri" w:eastAsia="Calibri" w:hAnsi="Calibri"/>
          <w:color w:val="52525B"/>
          <w:sz w:val="19"/>
          <w:szCs w:val="19"/>
        </w:rPr>
        <w:t xml:space="preserve">Live cost per site — crew hours at their real pay rate tied to the customer location</w:t>
      </w:r>
    </w:p>
    <w:p>
      <w:pPr>
        <w:pStyle w:val="ListParagraph"/>
        <w:numPr>
          <w:ilvl w:val="0"/>
          <w:numId w:val="2"/>
        </w:numPr>
        <w:spacing w:after="20"/>
      </w:pPr>
      <w:r>
        <w:rPr>
          <w:rFonts w:ascii="Calibri" w:cs="Calibri" w:eastAsia="Calibri" w:hAnsi="Calibri"/>
          <w:color w:val="52525B"/>
          <w:sz w:val="19"/>
          <w:szCs w:val="19"/>
        </w:rPr>
        <w:t xml:space="preserve">Payroll view — regular pay, overtime pay, travel pay, mileage reimbursement and gross payout per person</w:t>
      </w:r>
    </w:p>
    <w:p>
      <w:pPr>
        <w:spacing w:after="80" w:before="220"/>
      </w:pPr>
      <w:r>
        <w:rPr>
          <w:rFonts w:ascii="Consolas" w:cs="Consolas" w:eastAsia="Consolas" w:hAnsi="Consolas"/>
          <w:b/>
          <w:bCs/>
          <w:color w:val="C2410C"/>
          <w:sz w:val="18"/>
          <w:szCs w:val="18"/>
        </w:rPr>
        <w:t xml:space="preserve">09  </w:t>
      </w:r>
      <w:r>
        <w:rPr>
          <w:rFonts w:ascii="Calibri" w:cs="Calibri" w:eastAsia="Calibri" w:hAnsi="Calibri"/>
          <w:b/>
          <w:bCs/>
          <w:color w:val="18181B"/>
          <w:sz w:val="22"/>
          <w:szCs w:val="22"/>
        </w:rPr>
        <w:t xml:space="preserve">Mileage</w:t>
      </w:r>
    </w:p>
    <w:p>
      <w:pPr>
        <w:pStyle w:val="ListParagraph"/>
        <w:numPr>
          <w:ilvl w:val="0"/>
          <w:numId w:val="2"/>
        </w:numPr>
        <w:spacing w:after="20"/>
      </w:pPr>
      <w:r>
        <w:rPr>
          <w:rFonts w:ascii="Calibri" w:cs="Calibri" w:eastAsia="Calibri" w:hAnsi="Calibri"/>
          <w:color w:val="52525B"/>
          <w:sz w:val="19"/>
          <w:szCs w:val="19"/>
        </w:rPr>
        <w:t xml:space="preserve">Trip capture with start and end location and distance</w:t>
      </w:r>
    </w:p>
    <w:p>
      <w:pPr>
        <w:pStyle w:val="ListParagraph"/>
        <w:numPr>
          <w:ilvl w:val="0"/>
          <w:numId w:val="2"/>
        </w:numPr>
        <w:spacing w:after="20"/>
      </w:pPr>
      <w:r>
        <w:rPr>
          <w:rFonts w:ascii="Calibri" w:cs="Calibri" w:eastAsia="Calibri" w:hAnsi="Calibri"/>
          <w:color w:val="52525B"/>
          <w:sz w:val="19"/>
          <w:szCs w:val="19"/>
        </w:rPr>
        <w:t xml:space="preserve">Work or personal classification</w:t>
      </w:r>
    </w:p>
    <w:p>
      <w:pPr>
        <w:pStyle w:val="ListParagraph"/>
        <w:numPr>
          <w:ilvl w:val="0"/>
          <w:numId w:val="2"/>
        </w:numPr>
        <w:spacing w:after="20"/>
      </w:pPr>
      <w:r>
        <w:rPr>
          <w:rFonts w:ascii="Calibri" w:cs="Calibri" w:eastAsia="Calibri" w:hAnsi="Calibri"/>
          <w:color w:val="52525B"/>
          <w:sz w:val="19"/>
          <w:szCs w:val="19"/>
        </w:rPr>
        <w:t xml:space="preserve">Billable flag and reimbursement calculated from the customer price sheet</w:t>
      </w:r>
    </w:p>
    <w:p>
      <w:pPr>
        <w:pStyle w:val="ListParagraph"/>
        <w:numPr>
          <w:ilvl w:val="0"/>
          <w:numId w:val="2"/>
        </w:numPr>
        <w:spacing w:after="20"/>
      </w:pPr>
      <w:r>
        <w:rPr>
          <w:rFonts w:ascii="Calibri" w:cs="Calibri" w:eastAsia="Calibri" w:hAnsi="Calibri"/>
          <w:color w:val="52525B"/>
          <w:sz w:val="19"/>
          <w:szCs w:val="19"/>
        </w:rPr>
        <w:t xml:space="preserve">Approve, reject and reopen workflow with bulk approval</w:t>
      </w:r>
    </w:p>
    <w:p>
      <w:pPr>
        <w:pStyle w:val="ListParagraph"/>
        <w:numPr>
          <w:ilvl w:val="0"/>
          <w:numId w:val="2"/>
        </w:numPr>
        <w:spacing w:after="20"/>
      </w:pPr>
      <w:r>
        <w:rPr>
          <w:rFonts w:ascii="Calibri" w:cs="Calibri" w:eastAsia="Calibri" w:hAnsi="Calibri"/>
          <w:color w:val="52525B"/>
          <w:sz w:val="19"/>
          <w:szCs w:val="19"/>
        </w:rPr>
        <w:t xml:space="preserve">Mileage attributed to the job it belongs to so it reaches the invoice</w:t>
      </w:r>
    </w:p>
    <w:p>
      <w:pPr>
        <w:pStyle w:val="ListParagraph"/>
        <w:numPr>
          <w:ilvl w:val="0"/>
          <w:numId w:val="2"/>
        </w:numPr>
        <w:spacing w:after="20"/>
      </w:pPr>
      <w:r>
        <w:rPr>
          <w:rFonts w:ascii="Calibri" w:cs="Calibri" w:eastAsia="Calibri" w:hAnsi="Calibri"/>
          <w:color w:val="52525B"/>
          <w:sz w:val="19"/>
          <w:szCs w:val="19"/>
        </w:rPr>
        <w:t xml:space="preserve">Export for finance, tax rebate and customer billing</w:t>
      </w:r>
    </w:p>
    <w:p>
      <w:pPr>
        <w:spacing w:after="80" w:before="220"/>
      </w:pPr>
      <w:r>
        <w:rPr>
          <w:rFonts w:ascii="Consolas" w:cs="Consolas" w:eastAsia="Consolas" w:hAnsi="Consolas"/>
          <w:b/>
          <w:bCs/>
          <w:color w:val="C2410C"/>
          <w:sz w:val="18"/>
          <w:szCs w:val="18"/>
        </w:rPr>
        <w:t xml:space="preserve">10  </w:t>
      </w:r>
      <w:r>
        <w:rPr>
          <w:rFonts w:ascii="Calibri" w:cs="Calibri" w:eastAsia="Calibri" w:hAnsi="Calibri"/>
          <w:b/>
          <w:bCs/>
          <w:color w:val="18181B"/>
          <w:sz w:val="22"/>
          <w:szCs w:val="22"/>
        </w:rPr>
        <w:t xml:space="preserve">Standards, Procedures &amp; Acceptance Criteria</w:t>
      </w:r>
    </w:p>
    <w:p>
      <w:pPr>
        <w:pStyle w:val="ListParagraph"/>
        <w:numPr>
          <w:ilvl w:val="0"/>
          <w:numId w:val="2"/>
        </w:numPr>
        <w:spacing w:after="20"/>
      </w:pPr>
      <w:r>
        <w:rPr>
          <w:rFonts w:ascii="Calibri" w:cs="Calibri" w:eastAsia="Calibri" w:hAnsi="Calibri"/>
          <w:color w:val="52525B"/>
          <w:sz w:val="19"/>
          <w:szCs w:val="19"/>
        </w:rPr>
        <w:t xml:space="preserve">Standards register with issuing body, designation, revision and effective date</w:t>
      </w:r>
    </w:p>
    <w:p>
      <w:pPr>
        <w:pStyle w:val="ListParagraph"/>
        <w:numPr>
          <w:ilvl w:val="0"/>
          <w:numId w:val="2"/>
        </w:numPr>
        <w:spacing w:after="20"/>
      </w:pPr>
      <w:r>
        <w:rPr>
          <w:rFonts w:ascii="Calibri" w:cs="Calibri" w:eastAsia="Calibri" w:hAnsi="Calibri"/>
          <w:color w:val="52525B"/>
          <w:sz w:val="19"/>
          <w:szCs w:val="19"/>
        </w:rPr>
        <w:t xml:space="preserve">Standard revisions with version history</w:t>
      </w:r>
    </w:p>
    <w:p>
      <w:pPr>
        <w:pStyle w:val="ListParagraph"/>
        <w:numPr>
          <w:ilvl w:val="0"/>
          <w:numId w:val="2"/>
        </w:numPr>
        <w:spacing w:after="20"/>
      </w:pPr>
      <w:r>
        <w:rPr>
          <w:rFonts w:ascii="Calibri" w:cs="Calibri" w:eastAsia="Calibri" w:hAnsi="Calibri"/>
          <w:color w:val="52525B"/>
          <w:sz w:val="19"/>
          <w:szCs w:val="19"/>
        </w:rPr>
        <w:t xml:space="preserve">Zion inspection procedures held against the standards they implement</w:t>
      </w:r>
    </w:p>
    <w:p>
      <w:pPr>
        <w:pStyle w:val="ListParagraph"/>
        <w:numPr>
          <w:ilvl w:val="0"/>
          <w:numId w:val="2"/>
        </w:numPr>
        <w:spacing w:after="20"/>
      </w:pPr>
      <w:r>
        <w:rPr>
          <w:rFonts w:ascii="Calibri" w:cs="Calibri" w:eastAsia="Calibri" w:hAnsi="Calibri"/>
          <w:color w:val="52525B"/>
          <w:sz w:val="19"/>
          <w:szCs w:val="19"/>
        </w:rPr>
        <w:t xml:space="preserve">NDT method register — MPI, LPI, VT, UT, ET, Dimensional and others</w:t>
      </w:r>
    </w:p>
    <w:p>
      <w:pPr>
        <w:pStyle w:val="ListParagraph"/>
        <w:numPr>
          <w:ilvl w:val="0"/>
          <w:numId w:val="2"/>
        </w:numPr>
        <w:spacing w:after="20"/>
      </w:pPr>
      <w:r>
        <w:rPr>
          <w:rFonts w:ascii="Calibri" w:cs="Calibri" w:eastAsia="Calibri" w:hAnsi="Calibri"/>
          <w:color w:val="52525B"/>
          <w:sz w:val="19"/>
          <w:szCs w:val="19"/>
        </w:rPr>
        <w:t xml:space="preserve">Techniques defined per method</w:t>
      </w:r>
    </w:p>
    <w:p>
      <w:pPr>
        <w:pStyle w:val="ListParagraph"/>
        <w:numPr>
          <w:ilvl w:val="0"/>
          <w:numId w:val="2"/>
        </w:numPr>
        <w:spacing w:after="20"/>
      </w:pPr>
      <w:r>
        <w:rPr>
          <w:rFonts w:ascii="Calibri" w:cs="Calibri" w:eastAsia="Calibri" w:hAnsi="Calibri"/>
          <w:color w:val="52525B"/>
          <w:sz w:val="19"/>
          <w:szCs w:val="19"/>
        </w:rPr>
        <w:t xml:space="preserve">Equipment, probe and reference-standard requirements per technique</w:t>
      </w:r>
    </w:p>
    <w:p>
      <w:pPr>
        <w:pStyle w:val="ListParagraph"/>
        <w:numPr>
          <w:ilvl w:val="0"/>
          <w:numId w:val="2"/>
        </w:numPr>
        <w:spacing w:after="20"/>
      </w:pPr>
      <w:r>
        <w:rPr>
          <w:rFonts w:ascii="Calibri" w:cs="Calibri" w:eastAsia="Calibri" w:hAnsi="Calibri"/>
          <w:color w:val="52525B"/>
          <w:sz w:val="19"/>
          <w:szCs w:val="19"/>
        </w:rPr>
        <w:t xml:space="preserve">Acceptance criteria sets by standard, customer and OEM</w:t>
      </w:r>
    </w:p>
    <w:p>
      <w:pPr>
        <w:pStyle w:val="ListParagraph"/>
        <w:numPr>
          <w:ilvl w:val="0"/>
          <w:numId w:val="2"/>
        </w:numPr>
        <w:spacing w:after="20"/>
      </w:pPr>
      <w:r>
        <w:rPr>
          <w:rFonts w:ascii="Calibri" w:cs="Calibri" w:eastAsia="Calibri" w:hAnsi="Calibri"/>
          <w:color w:val="52525B"/>
          <w:sz w:val="19"/>
          <w:szCs w:val="19"/>
        </w:rPr>
        <w:t xml:space="preserve">Required inspector qualification per procedure</w:t>
      </w:r>
    </w:p>
    <w:p>
      <w:pPr>
        <w:pStyle w:val="ListParagraph"/>
        <w:numPr>
          <w:ilvl w:val="0"/>
          <w:numId w:val="2"/>
        </w:numPr>
        <w:spacing w:after="20"/>
      </w:pPr>
      <w:r>
        <w:rPr>
          <w:rFonts w:ascii="Calibri" w:cs="Calibri" w:eastAsia="Calibri" w:hAnsi="Calibri"/>
          <w:color w:val="52525B"/>
          <w:sz w:val="19"/>
          <w:szCs w:val="19"/>
        </w:rPr>
        <w:t xml:space="preserve">Asset type to governing standard mapping, so selecting the asset determines the applicable rules</w:t>
      </w:r>
    </w:p>
    <w:p>
      <w:pPr>
        <w:pStyle w:val="ListParagraph"/>
        <w:numPr>
          <w:ilvl w:val="0"/>
          <w:numId w:val="2"/>
        </w:numPr>
        <w:spacing w:after="20"/>
      </w:pPr>
      <w:r>
        <w:rPr>
          <w:rFonts w:ascii="Calibri" w:cs="Calibri" w:eastAsia="Calibri" w:hAnsi="Calibri"/>
          <w:color w:val="52525B"/>
          <w:sz w:val="19"/>
          <w:szCs w:val="19"/>
        </w:rPr>
        <w:t xml:space="preserve">Connection type library with reface type and per-dimension tolerance ranges across pin and box</w:t>
      </w:r>
    </w:p>
    <w:p>
      <w:pPr>
        <w:pStyle w:val="ListParagraph"/>
        <w:numPr>
          <w:ilvl w:val="0"/>
          <w:numId w:val="2"/>
        </w:numPr>
        <w:spacing w:after="20"/>
      </w:pPr>
      <w:r>
        <w:rPr>
          <w:rFonts w:ascii="Calibri" w:cs="Calibri" w:eastAsia="Calibri" w:hAnsi="Calibri"/>
          <w:color w:val="52525B"/>
          <w:sz w:val="19"/>
          <w:szCs w:val="19"/>
        </w:rPr>
        <w:t xml:space="preserve">Reface type register</w:t>
      </w:r>
    </w:p>
    <w:p>
      <w:pPr>
        <w:pStyle w:val="ListParagraph"/>
        <w:numPr>
          <w:ilvl w:val="0"/>
          <w:numId w:val="2"/>
        </w:numPr>
        <w:spacing w:after="20"/>
      </w:pPr>
      <w:r>
        <w:rPr>
          <w:rFonts w:ascii="Calibri" w:cs="Calibri" w:eastAsia="Calibri" w:hAnsi="Calibri"/>
          <w:color w:val="52525B"/>
          <w:sz w:val="19"/>
          <w:szCs w:val="19"/>
        </w:rPr>
        <w:t xml:space="preserve">Dimension and dimension-header configuration</w:t>
      </w:r>
    </w:p>
    <w:p>
      <w:pPr>
        <w:pStyle w:val="ListParagraph"/>
        <w:numPr>
          <w:ilvl w:val="0"/>
          <w:numId w:val="2"/>
        </w:numPr>
        <w:spacing w:after="20"/>
      </w:pPr>
      <w:r>
        <w:rPr>
          <w:rFonts w:ascii="Calibri" w:cs="Calibri" w:eastAsia="Calibri" w:hAnsi="Calibri"/>
          <w:color w:val="52525B"/>
          <w:sz w:val="19"/>
          <w:szCs w:val="19"/>
        </w:rPr>
        <w:t xml:space="preserve">Guard preventing acceptance criteria from one asset class being applied to another</w:t>
      </w:r>
    </w:p>
    <w:p>
      <w:pPr>
        <w:spacing w:after="80" w:before="220"/>
      </w:pPr>
      <w:r>
        <w:rPr>
          <w:rFonts w:ascii="Consolas" w:cs="Consolas" w:eastAsia="Consolas" w:hAnsi="Consolas"/>
          <w:b/>
          <w:bCs/>
          <w:color w:val="C2410C"/>
          <w:sz w:val="18"/>
          <w:szCs w:val="18"/>
        </w:rPr>
        <w:t xml:space="preserve">11  </w:t>
      </w:r>
      <w:r>
        <w:rPr>
          <w:rFonts w:ascii="Calibri" w:cs="Calibri" w:eastAsia="Calibri" w:hAnsi="Calibri"/>
          <w:b/>
          <w:bCs/>
          <w:color w:val="18181B"/>
          <w:sz w:val="22"/>
          <w:szCs w:val="22"/>
        </w:rPr>
        <w:t xml:space="preserve">Tool &amp; Item Templates</w:t>
      </w:r>
    </w:p>
    <w:p>
      <w:pPr>
        <w:pStyle w:val="ListParagraph"/>
        <w:numPr>
          <w:ilvl w:val="0"/>
          <w:numId w:val="2"/>
        </w:numPr>
        <w:spacing w:after="20"/>
      </w:pPr>
      <w:r>
        <w:rPr>
          <w:rFonts w:ascii="Calibri" w:cs="Calibri" w:eastAsia="Calibri" w:hAnsi="Calibri"/>
          <w:color w:val="52525B"/>
          <w:sz w:val="19"/>
          <w:szCs w:val="19"/>
        </w:rPr>
        <w:t xml:space="preserve">Tool templates per customer, single or multi-part</w:t>
      </w:r>
    </w:p>
    <w:p>
      <w:pPr>
        <w:pStyle w:val="ListParagraph"/>
        <w:numPr>
          <w:ilvl w:val="0"/>
          <w:numId w:val="2"/>
        </w:numPr>
        <w:spacing w:after="20"/>
      </w:pPr>
      <w:r>
        <w:rPr>
          <w:rFonts w:ascii="Calibri" w:cs="Calibri" w:eastAsia="Calibri" w:hAnsi="Calibri"/>
          <w:color w:val="52525B"/>
          <w:sz w:val="19"/>
          <w:szCs w:val="19"/>
        </w:rPr>
        <w:t xml:space="preserve">Template identity — description, abbreviation, serial prefix, tool size, model type</w:t>
      </w:r>
    </w:p>
    <w:p>
      <w:pPr>
        <w:pStyle w:val="ListParagraph"/>
        <w:numPr>
          <w:ilvl w:val="0"/>
          <w:numId w:val="2"/>
        </w:numPr>
        <w:spacing w:after="20"/>
      </w:pPr>
      <w:r>
        <w:rPr>
          <w:rFonts w:ascii="Calibri" w:cs="Calibri" w:eastAsia="Calibri" w:hAnsi="Calibri"/>
          <w:color w:val="52525B"/>
          <w:sz w:val="19"/>
          <w:szCs w:val="19"/>
        </w:rPr>
        <w:t xml:space="preserve">Methods and materials per template</w:t>
      </w:r>
    </w:p>
    <w:p>
      <w:pPr>
        <w:pStyle w:val="ListParagraph"/>
        <w:numPr>
          <w:ilvl w:val="0"/>
          <w:numId w:val="2"/>
        </w:numPr>
        <w:spacing w:after="20"/>
      </w:pPr>
      <w:r>
        <w:rPr>
          <w:rFonts w:ascii="Calibri" w:cs="Calibri" w:eastAsia="Calibri" w:hAnsi="Calibri"/>
          <w:color w:val="52525B"/>
          <w:sz w:val="19"/>
          <w:szCs w:val="19"/>
        </w:rPr>
        <w:t xml:space="preserve">Report format assignment per template</w:t>
      </w:r>
    </w:p>
    <w:p>
      <w:pPr>
        <w:pStyle w:val="ListParagraph"/>
        <w:numPr>
          <w:ilvl w:val="0"/>
          <w:numId w:val="2"/>
        </w:numPr>
        <w:spacing w:after="20"/>
      </w:pPr>
      <w:r>
        <w:rPr>
          <w:rFonts w:ascii="Calibri" w:cs="Calibri" w:eastAsia="Calibri" w:hAnsi="Calibri"/>
          <w:color w:val="52525B"/>
          <w:sz w:val="19"/>
          <w:szCs w:val="19"/>
        </w:rPr>
        <w:t xml:space="preserve">Default misc items per template</w:t>
      </w:r>
    </w:p>
    <w:p>
      <w:pPr>
        <w:pStyle w:val="ListParagraph"/>
        <w:numPr>
          <w:ilvl w:val="0"/>
          <w:numId w:val="2"/>
        </w:numPr>
        <w:spacing w:after="20"/>
      </w:pPr>
      <w:r>
        <w:rPr>
          <w:rFonts w:ascii="Calibri" w:cs="Calibri" w:eastAsia="Calibri" w:hAnsi="Calibri"/>
          <w:color w:val="52525B"/>
          <w:sz w:val="19"/>
          <w:szCs w:val="19"/>
        </w:rPr>
        <w:t xml:space="preserve">Weld report flag</w:t>
      </w:r>
    </w:p>
    <w:p>
      <w:pPr>
        <w:pStyle w:val="ListParagraph"/>
        <w:numPr>
          <w:ilvl w:val="0"/>
          <w:numId w:val="2"/>
        </w:numPr>
        <w:spacing w:after="20"/>
      </w:pPr>
      <w:r>
        <w:rPr>
          <w:rFonts w:ascii="Calibri" w:cs="Calibri" w:eastAsia="Calibri" w:hAnsi="Calibri"/>
          <w:color w:val="52525B"/>
          <w:sz w:val="19"/>
          <w:szCs w:val="19"/>
        </w:rPr>
        <w:t xml:space="preserve">Custom column definition — free measurement columns and status columns with their own allowed values</w:t>
      </w:r>
    </w:p>
    <w:p>
      <w:pPr>
        <w:pStyle w:val="ListParagraph"/>
        <w:numPr>
          <w:ilvl w:val="0"/>
          <w:numId w:val="2"/>
        </w:numPr>
        <w:spacing w:after="20"/>
      </w:pPr>
      <w:r>
        <w:rPr>
          <w:rFonts w:ascii="Calibri" w:cs="Calibri" w:eastAsia="Calibri" w:hAnsi="Calibri"/>
          <w:color w:val="52525B"/>
          <w:sz w:val="19"/>
          <w:szCs w:val="19"/>
        </w:rPr>
        <w:t xml:space="preserve">Parts list for multi-part tools, each part captured against every defined column</w:t>
      </w:r>
    </w:p>
    <w:p>
      <w:pPr>
        <w:pStyle w:val="ListParagraph"/>
        <w:numPr>
          <w:ilvl w:val="0"/>
          <w:numId w:val="2"/>
        </w:numPr>
        <w:spacing w:after="20"/>
      </w:pPr>
      <w:r>
        <w:rPr>
          <w:rFonts w:ascii="Calibri" w:cs="Calibri" w:eastAsia="Calibri" w:hAnsi="Calibri"/>
          <w:color w:val="52525B"/>
          <w:sz w:val="19"/>
          <w:szCs w:val="19"/>
        </w:rPr>
        <w:t xml:space="preserve">Customer approval state per template</w:t>
      </w:r>
    </w:p>
    <w:p>
      <w:pPr>
        <w:pStyle w:val="ListParagraph"/>
        <w:numPr>
          <w:ilvl w:val="0"/>
          <w:numId w:val="2"/>
        </w:numPr>
        <w:spacing w:after="20"/>
      </w:pPr>
      <w:r>
        <w:rPr>
          <w:rFonts w:ascii="Calibri" w:cs="Calibri" w:eastAsia="Calibri" w:hAnsi="Calibri"/>
          <w:color w:val="52525B"/>
          <w:sz w:val="19"/>
          <w:szCs w:val="19"/>
        </w:rPr>
        <w:t xml:space="preserve">Template images</w:t>
      </w:r>
    </w:p>
    <w:p>
      <w:pPr>
        <w:pStyle w:val="ListParagraph"/>
        <w:numPr>
          <w:ilvl w:val="0"/>
          <w:numId w:val="2"/>
        </w:numPr>
        <w:spacing w:after="20"/>
      </w:pPr>
      <w:r>
        <w:rPr>
          <w:rFonts w:ascii="Calibri" w:cs="Calibri" w:eastAsia="Calibri" w:hAnsi="Calibri"/>
          <w:color w:val="52525B"/>
          <w:sz w:val="19"/>
          <w:szCs w:val="19"/>
        </w:rPr>
        <w:t xml:space="preserve">Item templates for single tools sent in repeatedly, pre-filling description, prefix, size, methods, materials, connection standard and rate</w:t>
      </w:r>
    </w:p>
    <w:p>
      <w:pPr>
        <w:pStyle w:val="ListParagraph"/>
        <w:numPr>
          <w:ilvl w:val="0"/>
          <w:numId w:val="2"/>
        </w:numPr>
        <w:spacing w:after="20"/>
      </w:pPr>
      <w:r>
        <w:rPr>
          <w:rFonts w:ascii="Calibri" w:cs="Calibri" w:eastAsia="Calibri" w:hAnsi="Calibri"/>
          <w:color w:val="52525B"/>
          <w:sz w:val="19"/>
          <w:szCs w:val="19"/>
        </w:rPr>
        <w:t xml:space="preserve">Template import</w:t>
      </w:r>
    </w:p>
    <w:p>
      <w:pPr>
        <w:spacing w:after="80" w:before="220"/>
      </w:pPr>
      <w:r>
        <w:rPr>
          <w:rFonts w:ascii="Consolas" w:cs="Consolas" w:eastAsia="Consolas" w:hAnsi="Consolas"/>
          <w:b/>
          <w:bCs/>
          <w:color w:val="C2410C"/>
          <w:sz w:val="18"/>
          <w:szCs w:val="18"/>
        </w:rPr>
        <w:t xml:space="preserve">12  </w:t>
      </w:r>
      <w:r>
        <w:rPr>
          <w:rFonts w:ascii="Calibri" w:cs="Calibri" w:eastAsia="Calibri" w:hAnsi="Calibri"/>
          <w:b/>
          <w:bCs/>
          <w:color w:val="18181B"/>
          <w:sz w:val="22"/>
          <w:szCs w:val="22"/>
        </w:rPr>
        <w:t xml:space="preserve">Inspection Tickets &amp; Requests</w:t>
      </w:r>
    </w:p>
    <w:p>
      <w:pPr>
        <w:pStyle w:val="ListParagraph"/>
        <w:numPr>
          <w:ilvl w:val="0"/>
          <w:numId w:val="2"/>
        </w:numPr>
        <w:spacing w:after="20"/>
      </w:pPr>
      <w:r>
        <w:rPr>
          <w:rFonts w:ascii="Calibri" w:cs="Calibri" w:eastAsia="Calibri" w:hAnsi="Calibri"/>
          <w:color w:val="52525B"/>
          <w:sz w:val="19"/>
          <w:szCs w:val="19"/>
        </w:rPr>
        <w:t xml:space="preserve">Inspection tickets raised by customers through the portal or by operations</w:t>
      </w:r>
    </w:p>
    <w:p>
      <w:pPr>
        <w:pStyle w:val="ListParagraph"/>
        <w:numPr>
          <w:ilvl w:val="0"/>
          <w:numId w:val="2"/>
        </w:numPr>
        <w:spacing w:after="20"/>
      </w:pPr>
      <w:r>
        <w:rPr>
          <w:rFonts w:ascii="Calibri" w:cs="Calibri" w:eastAsia="Calibri" w:hAnsi="Calibri"/>
          <w:color w:val="52525B"/>
          <w:sz w:val="19"/>
          <w:szCs w:val="19"/>
        </w:rPr>
        <w:t xml:space="preserve">Ticket detail with customer, site, operator, rig, DT number, job number and item list</w:t>
      </w:r>
    </w:p>
    <w:p>
      <w:pPr>
        <w:pStyle w:val="ListParagraph"/>
        <w:numPr>
          <w:ilvl w:val="0"/>
          <w:numId w:val="2"/>
        </w:numPr>
        <w:spacing w:after="20"/>
      </w:pPr>
      <w:r>
        <w:rPr>
          <w:rFonts w:ascii="Calibri" w:cs="Calibri" w:eastAsia="Calibri" w:hAnsi="Calibri"/>
          <w:color w:val="52525B"/>
          <w:sz w:val="19"/>
          <w:szCs w:val="19"/>
        </w:rPr>
        <w:t xml:space="preserve">Accept a ticket and dispatch a crew directly from it</w:t>
      </w:r>
    </w:p>
    <w:p>
      <w:pPr>
        <w:pStyle w:val="ListParagraph"/>
        <w:numPr>
          <w:ilvl w:val="0"/>
          <w:numId w:val="2"/>
        </w:numPr>
        <w:spacing w:after="20"/>
      </w:pPr>
      <w:r>
        <w:rPr>
          <w:rFonts w:ascii="Calibri" w:cs="Calibri" w:eastAsia="Calibri" w:hAnsi="Calibri"/>
          <w:color w:val="52525B"/>
          <w:sz w:val="19"/>
          <w:szCs w:val="19"/>
        </w:rPr>
        <w:t xml:space="preserve">Convert a ticket into a full inspection with data carried across</w:t>
      </w:r>
    </w:p>
    <w:p>
      <w:pPr>
        <w:pStyle w:val="ListParagraph"/>
        <w:numPr>
          <w:ilvl w:val="0"/>
          <w:numId w:val="2"/>
        </w:numPr>
        <w:spacing w:after="20"/>
      </w:pPr>
      <w:r>
        <w:rPr>
          <w:rFonts w:ascii="Calibri" w:cs="Calibri" w:eastAsia="Calibri" w:hAnsi="Calibri"/>
          <w:color w:val="52525B"/>
          <w:sz w:val="19"/>
          <w:szCs w:val="19"/>
        </w:rPr>
        <w:t xml:space="preserve">Inspection request register with status and tool and connection summary</w:t>
      </w:r>
    </w:p>
    <w:p>
      <w:pPr>
        <w:spacing w:after="80" w:before="220"/>
      </w:pPr>
      <w:r>
        <w:rPr>
          <w:rFonts w:ascii="Consolas" w:cs="Consolas" w:eastAsia="Consolas" w:hAnsi="Consolas"/>
          <w:b/>
          <w:bCs/>
          <w:color w:val="C2410C"/>
          <w:sz w:val="18"/>
          <w:szCs w:val="18"/>
        </w:rPr>
        <w:t xml:space="preserve">13  </w:t>
      </w:r>
      <w:r>
        <w:rPr>
          <w:rFonts w:ascii="Calibri" w:cs="Calibri" w:eastAsia="Calibri" w:hAnsi="Calibri"/>
          <w:b/>
          <w:bCs/>
          <w:color w:val="18181B"/>
          <w:sz w:val="22"/>
          <w:szCs w:val="22"/>
        </w:rPr>
        <w:t xml:space="preserve">Inspections</w:t>
      </w:r>
    </w:p>
    <w:p>
      <w:pPr>
        <w:pStyle w:val="ListParagraph"/>
        <w:numPr>
          <w:ilvl w:val="0"/>
          <w:numId w:val="2"/>
        </w:numPr>
        <w:spacing w:after="20"/>
      </w:pPr>
      <w:r>
        <w:rPr>
          <w:rFonts w:ascii="Calibri" w:cs="Calibri" w:eastAsia="Calibri" w:hAnsi="Calibri"/>
          <w:color w:val="52525B"/>
          <w:sz w:val="19"/>
          <w:szCs w:val="19"/>
        </w:rPr>
        <w:t xml:space="preserve">Inspection record with job header, equipment, specification, job safety analysis, inspection table, report items, photos, documents, quality assurance, close out, billing authorisation and print</w:t>
      </w:r>
    </w:p>
    <w:p>
      <w:pPr>
        <w:pStyle w:val="ListParagraph"/>
        <w:numPr>
          <w:ilvl w:val="0"/>
          <w:numId w:val="2"/>
        </w:numPr>
        <w:spacing w:after="20"/>
      </w:pPr>
      <w:r>
        <w:rPr>
          <w:rFonts w:ascii="Calibri" w:cs="Calibri" w:eastAsia="Calibri" w:hAnsi="Calibri"/>
          <w:color w:val="52525B"/>
          <w:sz w:val="19"/>
          <w:szCs w:val="19"/>
        </w:rPr>
        <w:t xml:space="preserve">Job header — customer location, project, division, contact, lead and assistant inspectors, date, lease/well, operator, area, yard, rig/DT number, AFE/PO, customer job number, work order, third-party flag and address</w:t>
      </w:r>
    </w:p>
    <w:p>
      <w:pPr>
        <w:pStyle w:val="ListParagraph"/>
        <w:numPr>
          <w:ilvl w:val="0"/>
          <w:numId w:val="2"/>
        </w:numPr>
        <w:spacing w:after="20"/>
      </w:pPr>
      <w:r>
        <w:rPr>
          <w:rFonts w:ascii="Calibri" w:cs="Calibri" w:eastAsia="Calibri" w:hAnsi="Calibri"/>
          <w:color w:val="52525B"/>
          <w:sz w:val="19"/>
          <w:szCs w:val="19"/>
        </w:rPr>
        <w:t xml:space="preserve">User-defined custom fields on the job header</w:t>
      </w:r>
    </w:p>
    <w:p>
      <w:pPr>
        <w:pStyle w:val="ListParagraph"/>
        <w:numPr>
          <w:ilvl w:val="0"/>
          <w:numId w:val="2"/>
        </w:numPr>
        <w:spacing w:after="20"/>
      </w:pPr>
      <w:r>
        <w:rPr>
          <w:rFonts w:ascii="Calibri" w:cs="Calibri" w:eastAsia="Calibri" w:hAnsi="Calibri"/>
          <w:color w:val="52525B"/>
          <w:sz w:val="19"/>
          <w:szCs w:val="19"/>
        </w:rPr>
        <w:t xml:space="preserve">Calibrated equipment selection with serial, calibration date, expiry and certificate; validity checked against the job date</w:t>
      </w:r>
    </w:p>
    <w:p>
      <w:pPr>
        <w:pStyle w:val="ListParagraph"/>
        <w:numPr>
          <w:ilvl w:val="0"/>
          <w:numId w:val="2"/>
        </w:numPr>
        <w:spacing w:after="20"/>
      </w:pPr>
      <w:r>
        <w:rPr>
          <w:rFonts w:ascii="Calibri" w:cs="Calibri" w:eastAsia="Calibri" w:hAnsi="Calibri"/>
          <w:color w:val="52525B"/>
          <w:sz w:val="19"/>
          <w:szCs w:val="19"/>
        </w:rPr>
        <w:t xml:space="preserve">Specification capture — inspected-per standards, methods, white light intensity, blacklight intensity, bath strength and batch, dry powder batch, penetrant and developer batches, contrast and oxide brands, tool surface temperature, pen and developer dwell times, control strip and block test verification</w:t>
      </w:r>
    </w:p>
    <w:p>
      <w:pPr>
        <w:pStyle w:val="ListParagraph"/>
        <w:numPr>
          <w:ilvl w:val="0"/>
          <w:numId w:val="2"/>
        </w:numPr>
        <w:spacing w:after="20"/>
      </w:pPr>
      <w:r>
        <w:rPr>
          <w:rFonts w:ascii="Calibri" w:cs="Calibri" w:eastAsia="Calibri" w:hAnsi="Calibri"/>
          <w:color w:val="52525B"/>
          <w:sz w:val="19"/>
          <w:szCs w:val="19"/>
        </w:rPr>
        <w:t xml:space="preserve">User-defined additional specification fields</w:t>
      </w:r>
    </w:p>
    <w:p>
      <w:pPr>
        <w:pStyle w:val="ListParagraph"/>
        <w:numPr>
          <w:ilvl w:val="0"/>
          <w:numId w:val="2"/>
        </w:numPr>
        <w:spacing w:after="20"/>
      </w:pPr>
      <w:r>
        <w:rPr>
          <w:rFonts w:ascii="Calibri" w:cs="Calibri" w:eastAsia="Calibri" w:hAnsi="Calibri"/>
          <w:color w:val="52525B"/>
          <w:sz w:val="19"/>
          <w:szCs w:val="19"/>
        </w:rPr>
        <w:t xml:space="preserve">Inspection table with per-customer configurable columns and a dimensional view</w:t>
      </w:r>
    </w:p>
    <w:p>
      <w:pPr>
        <w:pStyle w:val="ListParagraph"/>
        <w:numPr>
          <w:ilvl w:val="0"/>
          <w:numId w:val="2"/>
        </w:numPr>
        <w:spacing w:after="20"/>
      </w:pPr>
      <w:r>
        <w:rPr>
          <w:rFonts w:ascii="Calibri" w:cs="Calibri" w:eastAsia="Calibri" w:hAnsi="Calibri"/>
          <w:color w:val="52525B"/>
          <w:sz w:val="19"/>
          <w:szCs w:val="19"/>
        </w:rPr>
        <w:t xml:space="preserve">Status workflow — in progress, submitted, approved, invoice pending, invoiced</w:t>
      </w:r>
    </w:p>
    <w:p>
      <w:pPr>
        <w:pStyle w:val="ListParagraph"/>
        <w:numPr>
          <w:ilvl w:val="0"/>
          <w:numId w:val="2"/>
        </w:numPr>
        <w:spacing w:after="20"/>
      </w:pPr>
      <w:r>
        <w:rPr>
          <w:rFonts w:ascii="Calibri" w:cs="Calibri" w:eastAsia="Calibri" w:hAnsi="Calibri"/>
          <w:color w:val="52525B"/>
          <w:sz w:val="19"/>
          <w:szCs w:val="19"/>
        </w:rPr>
        <w:t xml:space="preserve">Clone inspection</w:t>
      </w:r>
    </w:p>
    <w:p>
      <w:pPr>
        <w:pStyle w:val="ListParagraph"/>
        <w:numPr>
          <w:ilvl w:val="0"/>
          <w:numId w:val="2"/>
        </w:numPr>
        <w:spacing w:after="20"/>
      </w:pPr>
      <w:r>
        <w:rPr>
          <w:rFonts w:ascii="Calibri" w:cs="Calibri" w:eastAsia="Calibri" w:hAnsi="Calibri"/>
          <w:color w:val="52525B"/>
          <w:sz w:val="19"/>
          <w:szCs w:val="19"/>
        </w:rPr>
        <w:t xml:space="preserve">Re-inspection and submit-for-review</w:t>
      </w:r>
    </w:p>
    <w:p>
      <w:pPr>
        <w:pStyle w:val="ListParagraph"/>
        <w:numPr>
          <w:ilvl w:val="0"/>
          <w:numId w:val="2"/>
        </w:numPr>
        <w:spacing w:after="20"/>
      </w:pPr>
      <w:r>
        <w:rPr>
          <w:rFonts w:ascii="Calibri" w:cs="Calibri" w:eastAsia="Calibri" w:hAnsi="Calibri"/>
          <w:color w:val="52525B"/>
          <w:sz w:val="19"/>
          <w:szCs w:val="19"/>
        </w:rPr>
        <w:t xml:space="preserve">Soft delete with restore and a deleted-records view</w:t>
      </w:r>
    </w:p>
    <w:p>
      <w:pPr>
        <w:pStyle w:val="ListParagraph"/>
        <w:numPr>
          <w:ilvl w:val="0"/>
          <w:numId w:val="2"/>
        </w:numPr>
        <w:spacing w:after="20"/>
      </w:pPr>
      <w:r>
        <w:rPr>
          <w:rFonts w:ascii="Calibri" w:cs="Calibri" w:eastAsia="Calibri" w:hAnsi="Calibri"/>
          <w:color w:val="52525B"/>
          <w:sz w:val="19"/>
          <w:szCs w:val="19"/>
        </w:rPr>
        <w:t xml:space="preserve">Filtering by customer, project, inspector, status and date range; column chooser; CSV export</w:t>
      </w:r>
    </w:p>
    <w:p>
      <w:pPr>
        <w:spacing w:after="80" w:before="220"/>
      </w:pPr>
      <w:r>
        <w:rPr>
          <w:rFonts w:ascii="Consolas" w:cs="Consolas" w:eastAsia="Consolas" w:hAnsi="Consolas"/>
          <w:b/>
          <w:bCs/>
          <w:color w:val="C2410C"/>
          <w:sz w:val="18"/>
          <w:szCs w:val="18"/>
        </w:rPr>
        <w:t xml:space="preserve">14  </w:t>
      </w:r>
      <w:r>
        <w:rPr>
          <w:rFonts w:ascii="Calibri" w:cs="Calibri" w:eastAsia="Calibri" w:hAnsi="Calibri"/>
          <w:b/>
          <w:bCs/>
          <w:color w:val="18181B"/>
          <w:sz w:val="22"/>
          <w:szCs w:val="22"/>
        </w:rPr>
        <w:t xml:space="preserve">Inspected Items &amp; Measurements</w:t>
      </w:r>
    </w:p>
    <w:p>
      <w:pPr>
        <w:pStyle w:val="ListParagraph"/>
        <w:numPr>
          <w:ilvl w:val="0"/>
          <w:numId w:val="2"/>
        </w:numPr>
        <w:spacing w:after="20"/>
      </w:pPr>
      <w:r>
        <w:rPr>
          <w:rFonts w:ascii="Calibri" w:cs="Calibri" w:eastAsia="Calibri" w:hAnsi="Calibri"/>
          <w:color w:val="52525B"/>
          <w:sz w:val="19"/>
          <w:szCs w:val="19"/>
        </w:rPr>
        <w:t xml:space="preserve">Item record with serial number, description, tool template, material, methods, size, tool length and hours used</w:t>
      </w:r>
    </w:p>
    <w:p>
      <w:pPr>
        <w:pStyle w:val="ListParagraph"/>
        <w:numPr>
          <w:ilvl w:val="0"/>
          <w:numId w:val="2"/>
        </w:numPr>
        <w:spacing w:after="20"/>
      </w:pPr>
      <w:r>
        <w:rPr>
          <w:rFonts w:ascii="Calibri" w:cs="Calibri" w:eastAsia="Calibri" w:hAnsi="Calibri"/>
          <w:color w:val="52525B"/>
          <w:sz w:val="19"/>
          <w:szCs w:val="19"/>
        </w:rPr>
        <w:t xml:space="preserve">Body status and body internal status with acceptance codes</w:t>
      </w:r>
    </w:p>
    <w:p>
      <w:pPr>
        <w:pStyle w:val="ListParagraph"/>
        <w:numPr>
          <w:ilvl w:val="0"/>
          <w:numId w:val="2"/>
        </w:numPr>
        <w:spacing w:after="20"/>
      </w:pPr>
      <w:r>
        <w:rPr>
          <w:rFonts w:ascii="Calibri" w:cs="Calibri" w:eastAsia="Calibri" w:hAnsi="Calibri"/>
          <w:color w:val="52525B"/>
          <w:sz w:val="19"/>
          <w:szCs w:val="19"/>
        </w:rPr>
        <w:t xml:space="preserve">Connection measurements captured per pin and per box across all defined dimensions</w:t>
      </w:r>
    </w:p>
    <w:p>
      <w:pPr>
        <w:pStyle w:val="ListParagraph"/>
        <w:numPr>
          <w:ilvl w:val="0"/>
          <w:numId w:val="2"/>
        </w:numPr>
        <w:spacing w:after="20"/>
      </w:pPr>
      <w:r>
        <w:rPr>
          <w:rFonts w:ascii="Calibri" w:cs="Calibri" w:eastAsia="Calibri" w:hAnsi="Calibri"/>
          <w:color w:val="52525B"/>
          <w:sz w:val="19"/>
          <w:szCs w:val="19"/>
        </w:rPr>
        <w:t xml:space="preserve">Fractional imperial entry as written in the field, normalised to decimal by the platform</w:t>
      </w:r>
    </w:p>
    <w:p>
      <w:pPr>
        <w:pStyle w:val="ListParagraph"/>
        <w:numPr>
          <w:ilvl w:val="0"/>
          <w:numId w:val="2"/>
        </w:numPr>
        <w:spacing w:after="20"/>
      </w:pPr>
      <w:r>
        <w:rPr>
          <w:rFonts w:ascii="Calibri" w:cs="Calibri" w:eastAsia="Calibri" w:hAnsi="Calibri"/>
          <w:color w:val="52525B"/>
          <w:sz w:val="19"/>
          <w:szCs w:val="19"/>
        </w:rPr>
        <w:t xml:space="preserve">Automatic comparison against the connection standard with pass, marginal and fail verdicts</w:t>
      </w:r>
    </w:p>
    <w:p>
      <w:pPr>
        <w:pStyle w:val="ListParagraph"/>
        <w:numPr>
          <w:ilvl w:val="0"/>
          <w:numId w:val="2"/>
        </w:numPr>
        <w:spacing w:after="20"/>
      </w:pPr>
      <w:r>
        <w:rPr>
          <w:rFonts w:ascii="Calibri" w:cs="Calibri" w:eastAsia="Calibri" w:hAnsi="Calibri"/>
          <w:color w:val="52525B"/>
          <w:sz w:val="19"/>
          <w:szCs w:val="19"/>
        </w:rPr>
        <w:t xml:space="preserve">Margin-to-limit reporting so dimensions trending toward rejection are visible before they fail</w:t>
      </w:r>
    </w:p>
    <w:p>
      <w:pPr>
        <w:pStyle w:val="ListParagraph"/>
        <w:numPr>
          <w:ilvl w:val="0"/>
          <w:numId w:val="2"/>
        </w:numPr>
        <w:spacing w:after="20"/>
      </w:pPr>
      <w:r>
        <w:rPr>
          <w:rFonts w:ascii="Calibri" w:cs="Calibri" w:eastAsia="Calibri" w:hAnsi="Calibri"/>
          <w:color w:val="52525B"/>
          <w:sz w:val="19"/>
          <w:szCs w:val="19"/>
        </w:rPr>
        <w:t xml:space="preserve">Misc items per inspected item with their own acceptance codes and inspection methods</w:t>
      </w:r>
    </w:p>
    <w:p>
      <w:pPr>
        <w:pStyle w:val="ListParagraph"/>
        <w:numPr>
          <w:ilvl w:val="0"/>
          <w:numId w:val="2"/>
        </w:numPr>
        <w:spacing w:after="20"/>
      </w:pPr>
      <w:r>
        <w:rPr>
          <w:rFonts w:ascii="Calibri" w:cs="Calibri" w:eastAsia="Calibri" w:hAnsi="Calibri"/>
          <w:color w:val="52525B"/>
          <w:sz w:val="19"/>
          <w:szCs w:val="19"/>
        </w:rPr>
        <w:t xml:space="preserve">Custom template columns captured per part for multi-part tools</w:t>
      </w:r>
    </w:p>
    <w:p>
      <w:pPr>
        <w:pStyle w:val="ListParagraph"/>
        <w:numPr>
          <w:ilvl w:val="0"/>
          <w:numId w:val="2"/>
        </w:numPr>
        <w:spacing w:after="20"/>
      </w:pPr>
      <w:r>
        <w:rPr>
          <w:rFonts w:ascii="Calibri" w:cs="Calibri" w:eastAsia="Calibri" w:hAnsi="Calibri"/>
          <w:color w:val="52525B"/>
          <w:sz w:val="19"/>
          <w:szCs w:val="19"/>
        </w:rPr>
        <w:t xml:space="preserve">Verdict roll-up taking the worst of body condition, connection results, misc findings and status columns</w:t>
      </w:r>
    </w:p>
    <w:p>
      <w:pPr>
        <w:pStyle w:val="ListParagraph"/>
        <w:numPr>
          <w:ilvl w:val="0"/>
          <w:numId w:val="2"/>
        </w:numPr>
        <w:spacing w:after="20"/>
      </w:pPr>
      <w:r>
        <w:rPr>
          <w:rFonts w:ascii="Calibri" w:cs="Calibri" w:eastAsia="Calibri" w:hAnsi="Calibri"/>
          <w:color w:val="52525B"/>
          <w:sz w:val="19"/>
          <w:szCs w:val="19"/>
        </w:rPr>
        <w:t xml:space="preserve">Remedial work generated from findings and priced onto the item</w:t>
      </w:r>
    </w:p>
    <w:p>
      <w:pPr>
        <w:pStyle w:val="ListParagraph"/>
        <w:numPr>
          <w:ilvl w:val="0"/>
          <w:numId w:val="2"/>
        </w:numPr>
        <w:spacing w:after="20"/>
      </w:pPr>
      <w:r>
        <w:rPr>
          <w:rFonts w:ascii="Calibri" w:cs="Calibri" w:eastAsia="Calibri" w:hAnsi="Calibri"/>
          <w:color w:val="52525B"/>
          <w:sz w:val="19"/>
          <w:szCs w:val="19"/>
        </w:rPr>
        <w:t xml:space="preserve">Photographs attached per item</w:t>
      </w:r>
    </w:p>
    <w:p>
      <w:pPr>
        <w:pStyle w:val="ListParagraph"/>
        <w:numPr>
          <w:ilvl w:val="0"/>
          <w:numId w:val="2"/>
        </w:numPr>
        <w:spacing w:after="20"/>
      </w:pPr>
      <w:r>
        <w:rPr>
          <w:rFonts w:ascii="Calibri" w:cs="Calibri" w:eastAsia="Calibri" w:hAnsi="Calibri"/>
          <w:color w:val="52525B"/>
          <w:sz w:val="19"/>
          <w:szCs w:val="19"/>
        </w:rPr>
        <w:t xml:space="preserve">Item-level pricing with rate, quantity, discount and standard rates</w:t>
      </w:r>
    </w:p>
    <w:p>
      <w:pPr>
        <w:pStyle w:val="ListParagraph"/>
        <w:numPr>
          <w:ilvl w:val="0"/>
          <w:numId w:val="2"/>
        </w:numPr>
        <w:spacing w:after="20"/>
      </w:pPr>
      <w:r>
        <w:rPr>
          <w:rFonts w:ascii="Calibri" w:cs="Calibri" w:eastAsia="Calibri" w:hAnsi="Calibri"/>
          <w:color w:val="52525B"/>
          <w:sz w:val="19"/>
          <w:szCs w:val="19"/>
        </w:rPr>
        <w:t xml:space="preserve">Cross-inspection item register with filtering by operator, customer, rig, DT, job number, acceptance code, body status and date</w:t>
      </w:r>
    </w:p>
    <w:p>
      <w:pPr>
        <w:pStyle w:val="ListParagraph"/>
        <w:numPr>
          <w:ilvl w:val="0"/>
          <w:numId w:val="2"/>
        </w:numPr>
        <w:spacing w:after="20"/>
      </w:pPr>
      <w:r>
        <w:rPr>
          <w:rFonts w:ascii="Calibri" w:cs="Calibri" w:eastAsia="Calibri" w:hAnsi="Calibri"/>
          <w:color w:val="52525B"/>
          <w:sz w:val="19"/>
          <w:szCs w:val="19"/>
        </w:rPr>
        <w:t xml:space="preserve">Asset history — every previous inspection of the same serial</w:t>
      </w:r>
    </w:p>
    <w:p>
      <w:pPr>
        <w:spacing w:after="80" w:before="220"/>
      </w:pPr>
      <w:r>
        <w:rPr>
          <w:rFonts w:ascii="Consolas" w:cs="Consolas" w:eastAsia="Consolas" w:hAnsi="Consolas"/>
          <w:b/>
          <w:bCs/>
          <w:color w:val="C2410C"/>
          <w:sz w:val="18"/>
          <w:szCs w:val="18"/>
        </w:rPr>
        <w:t xml:space="preserve">15  </w:t>
      </w:r>
      <w:r>
        <w:rPr>
          <w:rFonts w:ascii="Calibri" w:cs="Calibri" w:eastAsia="Calibri" w:hAnsi="Calibri"/>
          <w:b/>
          <w:bCs/>
          <w:color w:val="18181B"/>
          <w:sz w:val="22"/>
          <w:szCs w:val="22"/>
        </w:rPr>
        <w:t xml:space="preserve">Equipment &amp; Calibration</w:t>
      </w:r>
    </w:p>
    <w:p>
      <w:pPr>
        <w:pStyle w:val="ListParagraph"/>
        <w:numPr>
          <w:ilvl w:val="0"/>
          <w:numId w:val="2"/>
        </w:numPr>
        <w:spacing w:after="20"/>
      </w:pPr>
      <w:r>
        <w:rPr>
          <w:rFonts w:ascii="Calibri" w:cs="Calibri" w:eastAsia="Calibri" w:hAnsi="Calibri"/>
          <w:color w:val="52525B"/>
          <w:sz w:val="19"/>
          <w:szCs w:val="19"/>
        </w:rPr>
        <w:t xml:space="preserve">Equipment register with description, serial number, category and location</w:t>
      </w:r>
    </w:p>
    <w:p>
      <w:pPr>
        <w:pStyle w:val="ListParagraph"/>
        <w:numPr>
          <w:ilvl w:val="0"/>
          <w:numId w:val="2"/>
        </w:numPr>
        <w:spacing w:after="20"/>
      </w:pPr>
      <w:r>
        <w:rPr>
          <w:rFonts w:ascii="Calibri" w:cs="Calibri" w:eastAsia="Calibri" w:hAnsi="Calibri"/>
          <w:color w:val="52525B"/>
          <w:sz w:val="19"/>
          <w:szCs w:val="19"/>
        </w:rPr>
        <w:t xml:space="preserve">Calibration date, expiry date and certificate storage</w:t>
      </w:r>
    </w:p>
    <w:p>
      <w:pPr>
        <w:pStyle w:val="ListParagraph"/>
        <w:numPr>
          <w:ilvl w:val="0"/>
          <w:numId w:val="2"/>
        </w:numPr>
        <w:spacing w:after="20"/>
      </w:pPr>
      <w:r>
        <w:rPr>
          <w:rFonts w:ascii="Calibri" w:cs="Calibri" w:eastAsia="Calibri" w:hAnsi="Calibri"/>
          <w:color w:val="52525B"/>
          <w:sz w:val="19"/>
          <w:szCs w:val="19"/>
        </w:rPr>
        <w:t xml:space="preserve">Calibration validity checked automatically against every job the instrument is used on</w:t>
      </w:r>
    </w:p>
    <w:p>
      <w:pPr>
        <w:pStyle w:val="ListParagraph"/>
        <w:numPr>
          <w:ilvl w:val="0"/>
          <w:numId w:val="2"/>
        </w:numPr>
        <w:spacing w:after="20"/>
      </w:pPr>
      <w:r>
        <w:rPr>
          <w:rFonts w:ascii="Calibri" w:cs="Calibri" w:eastAsia="Calibri" w:hAnsi="Calibri"/>
          <w:color w:val="52525B"/>
          <w:sz w:val="19"/>
          <w:szCs w:val="19"/>
        </w:rPr>
        <w:t xml:space="preserve">Expiry warnings ahead of time</w:t>
      </w:r>
    </w:p>
    <w:p>
      <w:pPr>
        <w:pStyle w:val="ListParagraph"/>
        <w:numPr>
          <w:ilvl w:val="0"/>
          <w:numId w:val="2"/>
        </w:numPr>
        <w:spacing w:after="20"/>
      </w:pPr>
      <w:r>
        <w:rPr>
          <w:rFonts w:ascii="Calibri" w:cs="Calibri" w:eastAsia="Calibri" w:hAnsi="Calibri"/>
          <w:color w:val="52525B"/>
          <w:sz w:val="19"/>
          <w:szCs w:val="19"/>
        </w:rPr>
        <w:t xml:space="preserve">Tool boxes assigned per customer</w:t>
      </w:r>
    </w:p>
    <w:p>
      <w:pPr>
        <w:pStyle w:val="ListParagraph"/>
        <w:numPr>
          <w:ilvl w:val="0"/>
          <w:numId w:val="2"/>
        </w:numPr>
        <w:spacing w:after="20"/>
      </w:pPr>
      <w:r>
        <w:rPr>
          <w:rFonts w:ascii="Calibri" w:cs="Calibri" w:eastAsia="Calibri" w:hAnsi="Calibri"/>
          <w:color w:val="52525B"/>
          <w:sz w:val="19"/>
          <w:szCs w:val="19"/>
        </w:rPr>
        <w:t xml:space="preserve">Recalibration booking with vendor and new dates</w:t>
      </w:r>
    </w:p>
    <w:p>
      <w:pPr>
        <w:spacing w:after="80" w:before="220"/>
      </w:pPr>
      <w:r>
        <w:rPr>
          <w:rFonts w:ascii="Consolas" w:cs="Consolas" w:eastAsia="Consolas" w:hAnsi="Consolas"/>
          <w:b/>
          <w:bCs/>
          <w:color w:val="C2410C"/>
          <w:sz w:val="18"/>
          <w:szCs w:val="18"/>
        </w:rPr>
        <w:t xml:space="preserve">16  </w:t>
      </w:r>
      <w:r>
        <w:rPr>
          <w:rFonts w:ascii="Calibri" w:cs="Calibri" w:eastAsia="Calibri" w:hAnsi="Calibri"/>
          <w:b/>
          <w:bCs/>
          <w:color w:val="18181B"/>
          <w:sz w:val="22"/>
          <w:szCs w:val="22"/>
        </w:rPr>
        <w:t xml:space="preserve">Job Safety Analysis</w:t>
      </w:r>
    </w:p>
    <w:p>
      <w:pPr>
        <w:pStyle w:val="ListParagraph"/>
        <w:numPr>
          <w:ilvl w:val="0"/>
          <w:numId w:val="2"/>
        </w:numPr>
        <w:spacing w:after="20"/>
      </w:pPr>
      <w:r>
        <w:rPr>
          <w:rFonts w:ascii="Calibri" w:cs="Calibri" w:eastAsia="Calibri" w:hAnsi="Calibri"/>
          <w:color w:val="52525B"/>
          <w:sz w:val="19"/>
          <w:szCs w:val="19"/>
        </w:rPr>
        <w:t xml:space="preserve">JSA template library, global or customer-specific</w:t>
      </w:r>
    </w:p>
    <w:p>
      <w:pPr>
        <w:pStyle w:val="ListParagraph"/>
        <w:numPr>
          <w:ilvl w:val="0"/>
          <w:numId w:val="2"/>
        </w:numPr>
        <w:spacing w:after="20"/>
      </w:pPr>
      <w:r>
        <w:rPr>
          <w:rFonts w:ascii="Calibri" w:cs="Calibri" w:eastAsia="Calibri" w:hAnsi="Calibri"/>
          <w:color w:val="52525B"/>
          <w:sz w:val="19"/>
          <w:szCs w:val="19"/>
        </w:rPr>
        <w:t xml:space="preserve">Sequence of basic steps with potential hazards and controls for each</w:t>
      </w:r>
    </w:p>
    <w:p>
      <w:pPr>
        <w:pStyle w:val="ListParagraph"/>
        <w:numPr>
          <w:ilvl w:val="0"/>
          <w:numId w:val="2"/>
        </w:numPr>
        <w:spacing w:after="20"/>
      </w:pPr>
      <w:r>
        <w:rPr>
          <w:rFonts w:ascii="Calibri" w:cs="Calibri" w:eastAsia="Calibri" w:hAnsi="Calibri"/>
          <w:color w:val="52525B"/>
          <w:sz w:val="19"/>
          <w:szCs w:val="19"/>
        </w:rPr>
        <w:t xml:space="preserve">Job safety equipment matrix across the full PPE list</w:t>
      </w:r>
    </w:p>
    <w:p>
      <w:pPr>
        <w:pStyle w:val="ListParagraph"/>
        <w:numPr>
          <w:ilvl w:val="0"/>
          <w:numId w:val="2"/>
        </w:numPr>
        <w:spacing w:after="20"/>
      </w:pPr>
      <w:r>
        <w:rPr>
          <w:rFonts w:ascii="Calibri" w:cs="Calibri" w:eastAsia="Calibri" w:hAnsi="Calibri"/>
          <w:color w:val="52525B"/>
          <w:sz w:val="19"/>
          <w:szCs w:val="19"/>
        </w:rPr>
        <w:t xml:space="preserve">Persons in attendance and noteworthy conditions</w:t>
      </w:r>
    </w:p>
    <w:p>
      <w:pPr>
        <w:pStyle w:val="ListParagraph"/>
        <w:numPr>
          <w:ilvl w:val="0"/>
          <w:numId w:val="2"/>
        </w:numPr>
        <w:spacing w:after="20"/>
      </w:pPr>
      <w:r>
        <w:rPr>
          <w:rFonts w:ascii="Calibri" w:cs="Calibri" w:eastAsia="Calibri" w:hAnsi="Calibri"/>
          <w:color w:val="52525B"/>
          <w:sz w:val="19"/>
          <w:szCs w:val="19"/>
        </w:rPr>
        <w:t xml:space="preserve">Template selection per inspection with sign-off</w:t>
      </w:r>
    </w:p>
    <w:p>
      <w:pPr>
        <w:pStyle w:val="ListParagraph"/>
        <w:numPr>
          <w:ilvl w:val="0"/>
          <w:numId w:val="2"/>
        </w:numPr>
        <w:spacing w:after="20"/>
      </w:pPr>
      <w:r>
        <w:rPr>
          <w:rFonts w:ascii="Calibri" w:cs="Calibri" w:eastAsia="Calibri" w:hAnsi="Calibri"/>
          <w:color w:val="52525B"/>
          <w:sz w:val="19"/>
          <w:szCs w:val="19"/>
        </w:rPr>
        <w:t xml:space="preserve">Create a new template from a completed JSA</w:t>
      </w:r>
    </w:p>
    <w:p>
      <w:pPr>
        <w:spacing w:after="80" w:before="220"/>
      </w:pPr>
      <w:r>
        <w:rPr>
          <w:rFonts w:ascii="Consolas" w:cs="Consolas" w:eastAsia="Consolas" w:hAnsi="Consolas"/>
          <w:b/>
          <w:bCs/>
          <w:color w:val="C2410C"/>
          <w:sz w:val="18"/>
          <w:szCs w:val="18"/>
        </w:rPr>
        <w:t xml:space="preserve">17  </w:t>
      </w:r>
      <w:r>
        <w:rPr>
          <w:rFonts w:ascii="Calibri" w:cs="Calibri" w:eastAsia="Calibri" w:hAnsi="Calibri"/>
          <w:b/>
          <w:bCs/>
          <w:color w:val="18181B"/>
          <w:sz w:val="22"/>
          <w:szCs w:val="22"/>
        </w:rPr>
        <w:t xml:space="preserve">Reporting Engine</w:t>
      </w:r>
    </w:p>
    <w:p>
      <w:pPr>
        <w:pStyle w:val="ListParagraph"/>
        <w:numPr>
          <w:ilvl w:val="0"/>
          <w:numId w:val="2"/>
        </w:numPr>
        <w:spacing w:after="20"/>
      </w:pPr>
      <w:r>
        <w:rPr>
          <w:rFonts w:ascii="Calibri" w:cs="Calibri" w:eastAsia="Calibri" w:hAnsi="Calibri"/>
          <w:color w:val="52525B"/>
          <w:sz w:val="19"/>
          <w:szCs w:val="19"/>
        </w:rPr>
        <w:t xml:space="preserve">Report format designer — ordered columns typed as connection, body or tool status</w:t>
      </w:r>
    </w:p>
    <w:p>
      <w:pPr>
        <w:pStyle w:val="ListParagraph"/>
        <w:numPr>
          <w:ilvl w:val="0"/>
          <w:numId w:val="2"/>
        </w:numPr>
        <w:spacing w:after="20"/>
      </w:pPr>
      <w:r>
        <w:rPr>
          <w:rFonts w:ascii="Calibri" w:cs="Calibri" w:eastAsia="Calibri" w:hAnsi="Calibri"/>
          <w:color w:val="52525B"/>
          <w:sz w:val="19"/>
          <w:szCs w:val="19"/>
        </w:rPr>
        <w:t xml:space="preserve">Report formats assigned per tool template and per customer</w:t>
      </w:r>
    </w:p>
    <w:p>
      <w:pPr>
        <w:pStyle w:val="ListParagraph"/>
        <w:numPr>
          <w:ilvl w:val="0"/>
          <w:numId w:val="2"/>
        </w:numPr>
        <w:spacing w:after="20"/>
      </w:pPr>
      <w:r>
        <w:rPr>
          <w:rFonts w:ascii="Calibri" w:cs="Calibri" w:eastAsia="Calibri" w:hAnsi="Calibri"/>
          <w:color w:val="52525B"/>
          <w:sz w:val="19"/>
          <w:szCs w:val="19"/>
        </w:rPr>
        <w:t xml:space="preserve">Single PDF report, combined report and individual reports as a zip</w:t>
      </w:r>
    </w:p>
    <w:p>
      <w:pPr>
        <w:pStyle w:val="ListParagraph"/>
        <w:numPr>
          <w:ilvl w:val="0"/>
          <w:numId w:val="2"/>
        </w:numPr>
        <w:spacing w:after="20"/>
      </w:pPr>
      <w:r>
        <w:rPr>
          <w:rFonts w:ascii="Calibri" w:cs="Calibri" w:eastAsia="Calibri" w:hAnsi="Calibri"/>
          <w:color w:val="52525B"/>
          <w:sz w:val="19"/>
          <w:szCs w:val="19"/>
        </w:rPr>
        <w:t xml:space="preserve">Inspected items report, equipment report, specification report and job safety analysis report</w:t>
      </w:r>
    </w:p>
    <w:p>
      <w:pPr>
        <w:pStyle w:val="ListParagraph"/>
        <w:numPr>
          <w:ilvl w:val="0"/>
          <w:numId w:val="2"/>
        </w:numPr>
        <w:spacing w:after="20"/>
      </w:pPr>
      <w:r>
        <w:rPr>
          <w:rFonts w:ascii="Calibri" w:cs="Calibri" w:eastAsia="Calibri" w:hAnsi="Calibri"/>
          <w:color w:val="52525B"/>
          <w:sz w:val="19"/>
          <w:szCs w:val="19"/>
        </w:rPr>
        <w:t xml:space="preserve">Billing authorisation document</w:t>
      </w:r>
    </w:p>
    <w:p>
      <w:pPr>
        <w:pStyle w:val="ListParagraph"/>
        <w:numPr>
          <w:ilvl w:val="0"/>
          <w:numId w:val="2"/>
        </w:numPr>
        <w:spacing w:after="20"/>
      </w:pPr>
      <w:r>
        <w:rPr>
          <w:rFonts w:ascii="Calibri" w:cs="Calibri" w:eastAsia="Calibri" w:hAnsi="Calibri"/>
          <w:color w:val="52525B"/>
          <w:sz w:val="19"/>
          <w:szCs w:val="19"/>
        </w:rPr>
        <w:t xml:space="preserve">Certificate of compliance structure</w:t>
      </w:r>
    </w:p>
    <w:p>
      <w:pPr>
        <w:pStyle w:val="ListParagraph"/>
        <w:numPr>
          <w:ilvl w:val="0"/>
          <w:numId w:val="2"/>
        </w:numPr>
        <w:spacing w:after="20"/>
      </w:pPr>
      <w:r>
        <w:rPr>
          <w:rFonts w:ascii="Calibri" w:cs="Calibri" w:eastAsia="Calibri" w:hAnsi="Calibri"/>
          <w:color w:val="52525B"/>
          <w:sz w:val="19"/>
          <w:szCs w:val="19"/>
        </w:rPr>
        <w:t xml:space="preserve">Report preview before issue</w:t>
      </w:r>
    </w:p>
    <w:p>
      <w:pPr>
        <w:pStyle w:val="ListParagraph"/>
        <w:numPr>
          <w:ilvl w:val="0"/>
          <w:numId w:val="2"/>
        </w:numPr>
        <w:spacing w:after="20"/>
      </w:pPr>
      <w:r>
        <w:rPr>
          <w:rFonts w:ascii="Calibri" w:cs="Calibri" w:eastAsia="Calibri" w:hAnsi="Calibri"/>
          <w:color w:val="52525B"/>
          <w:sz w:val="19"/>
          <w:szCs w:val="19"/>
        </w:rPr>
        <w:t xml:space="preserve">Distribution rules per customer determining which address types receive which report</w:t>
      </w:r>
    </w:p>
    <w:p>
      <w:pPr>
        <w:pStyle w:val="ListParagraph"/>
        <w:numPr>
          <w:ilvl w:val="0"/>
          <w:numId w:val="2"/>
        </w:numPr>
        <w:spacing w:after="20"/>
      </w:pPr>
      <w:r>
        <w:rPr>
          <w:rFonts w:ascii="Calibri" w:cs="Calibri" w:eastAsia="Calibri" w:hAnsi="Calibri"/>
          <w:color w:val="52525B"/>
          <w:sz w:val="19"/>
          <w:szCs w:val="19"/>
        </w:rPr>
        <w:t xml:space="preserve">Email template management</w:t>
      </w:r>
    </w:p>
    <w:p>
      <w:pPr>
        <w:pStyle w:val="ListParagraph"/>
        <w:numPr>
          <w:ilvl w:val="0"/>
          <w:numId w:val="2"/>
        </w:numPr>
        <w:spacing w:after="20"/>
      </w:pPr>
      <w:r>
        <w:rPr>
          <w:rFonts w:ascii="Calibri" w:cs="Calibri" w:eastAsia="Calibri" w:hAnsi="Calibri"/>
          <w:color w:val="52525B"/>
          <w:sz w:val="19"/>
          <w:szCs w:val="19"/>
        </w:rPr>
        <w:t xml:space="preserve">Email log per inspection</w:t>
      </w:r>
    </w:p>
    <w:p>
      <w:pPr>
        <w:spacing w:after="80" w:before="220"/>
      </w:pPr>
      <w:r>
        <w:rPr>
          <w:rFonts w:ascii="Consolas" w:cs="Consolas" w:eastAsia="Consolas" w:hAnsi="Consolas"/>
          <w:b/>
          <w:bCs/>
          <w:color w:val="C2410C"/>
          <w:sz w:val="18"/>
          <w:szCs w:val="18"/>
        </w:rPr>
        <w:t xml:space="preserve">18  </w:t>
      </w:r>
      <w:r>
        <w:rPr>
          <w:rFonts w:ascii="Calibri" w:cs="Calibri" w:eastAsia="Calibri" w:hAnsi="Calibri"/>
          <w:b/>
          <w:bCs/>
          <w:color w:val="18181B"/>
          <w:sz w:val="22"/>
          <w:szCs w:val="22"/>
        </w:rPr>
        <w:t xml:space="preserve">Close Out, Billing Authorisation &amp; Invoicing</w:t>
      </w:r>
    </w:p>
    <w:p>
      <w:pPr>
        <w:pStyle w:val="ListParagraph"/>
        <w:numPr>
          <w:ilvl w:val="0"/>
          <w:numId w:val="2"/>
        </w:numPr>
        <w:spacing w:after="20"/>
      </w:pPr>
      <w:r>
        <w:rPr>
          <w:rFonts w:ascii="Calibri" w:cs="Calibri" w:eastAsia="Calibri" w:hAnsi="Calibri"/>
          <w:color w:val="52525B"/>
          <w:sz w:val="19"/>
          <w:szCs w:val="19"/>
        </w:rPr>
        <w:t xml:space="preserve">Close out converting inspected items and remedial findings into priced lines</w:t>
      </w:r>
    </w:p>
    <w:p>
      <w:pPr>
        <w:pStyle w:val="ListParagraph"/>
        <w:numPr>
          <w:ilvl w:val="0"/>
          <w:numId w:val="2"/>
        </w:numPr>
        <w:spacing w:after="20"/>
      </w:pPr>
      <w:r>
        <w:rPr>
          <w:rFonts w:ascii="Calibri" w:cs="Calibri" w:eastAsia="Calibri" w:hAnsi="Calibri"/>
          <w:color w:val="52525B"/>
          <w:sz w:val="19"/>
          <w:szCs w:val="19"/>
        </w:rPr>
        <w:t xml:space="preserve">Closeout requirements with description, UOM, rate, quantity and discount</w:t>
      </w:r>
    </w:p>
    <w:p>
      <w:pPr>
        <w:pStyle w:val="ListParagraph"/>
        <w:numPr>
          <w:ilvl w:val="0"/>
          <w:numId w:val="2"/>
        </w:numPr>
        <w:spacing w:after="20"/>
      </w:pPr>
      <w:r>
        <w:rPr>
          <w:rFonts w:ascii="Calibri" w:cs="Calibri" w:eastAsia="Calibri" w:hAnsi="Calibri"/>
          <w:color w:val="52525B"/>
          <w:sz w:val="19"/>
          <w:szCs w:val="19"/>
        </w:rPr>
        <w:t xml:space="preserve">Billing authorisation with priced recap by item and customer signature capture</w:t>
      </w:r>
    </w:p>
    <w:p>
      <w:pPr>
        <w:pStyle w:val="ListParagraph"/>
        <w:numPr>
          <w:ilvl w:val="0"/>
          <w:numId w:val="2"/>
        </w:numPr>
        <w:spacing w:after="20"/>
      </w:pPr>
      <w:r>
        <w:rPr>
          <w:rFonts w:ascii="Calibri" w:cs="Calibri" w:eastAsia="Calibri" w:hAnsi="Calibri"/>
          <w:color w:val="52525B"/>
          <w:sz w:val="19"/>
          <w:szCs w:val="19"/>
        </w:rPr>
        <w:t xml:space="preserve">Invoice generation from the approved billing authorisation</w:t>
      </w:r>
    </w:p>
    <w:p>
      <w:pPr>
        <w:pStyle w:val="ListParagraph"/>
        <w:numPr>
          <w:ilvl w:val="0"/>
          <w:numId w:val="2"/>
        </w:numPr>
        <w:spacing w:after="20"/>
      </w:pPr>
      <w:r>
        <w:rPr>
          <w:rFonts w:ascii="Calibri" w:cs="Calibri" w:eastAsia="Calibri" w:hAnsi="Calibri"/>
          <w:color w:val="52525B"/>
          <w:sz w:val="19"/>
          <w:szCs w:val="19"/>
        </w:rPr>
        <w:t xml:space="preserve">Invoice header — number, PO number, invoice date, due date computed from customer terms</w:t>
      </w:r>
    </w:p>
    <w:p>
      <w:pPr>
        <w:pStyle w:val="ListParagraph"/>
        <w:numPr>
          <w:ilvl w:val="0"/>
          <w:numId w:val="2"/>
        </w:numPr>
        <w:spacing w:after="20"/>
      </w:pPr>
      <w:r>
        <w:rPr>
          <w:rFonts w:ascii="Calibri" w:cs="Calibri" w:eastAsia="Calibri" w:hAnsi="Calibri"/>
          <w:color w:val="52525B"/>
          <w:sz w:val="19"/>
          <w:szCs w:val="19"/>
        </w:rPr>
        <w:t xml:space="preserve">Line items carried from close out with rate, UOM, quantity, discount and amount</w:t>
      </w:r>
    </w:p>
    <w:p>
      <w:pPr>
        <w:pStyle w:val="ListParagraph"/>
        <w:numPr>
          <w:ilvl w:val="0"/>
          <w:numId w:val="2"/>
        </w:numPr>
        <w:spacing w:after="20"/>
      </w:pPr>
      <w:r>
        <w:rPr>
          <w:rFonts w:ascii="Calibri" w:cs="Calibri" w:eastAsia="Calibri" w:hAnsi="Calibri"/>
          <w:color w:val="52525B"/>
          <w:sz w:val="19"/>
          <w:szCs w:val="19"/>
        </w:rPr>
        <w:t xml:space="preserve">Subtotal, tax at the customer rate, discount by percentage or fixed amount, and total</w:t>
      </w:r>
    </w:p>
    <w:p>
      <w:pPr>
        <w:pStyle w:val="ListParagraph"/>
        <w:numPr>
          <w:ilvl w:val="0"/>
          <w:numId w:val="2"/>
        </w:numPr>
        <w:spacing w:after="20"/>
      </w:pPr>
      <w:r>
        <w:rPr>
          <w:rFonts w:ascii="Calibri" w:cs="Calibri" w:eastAsia="Calibri" w:hAnsi="Calibri"/>
          <w:color w:val="52525B"/>
          <w:sz w:val="19"/>
          <w:szCs w:val="19"/>
        </w:rPr>
        <w:t xml:space="preserve">Payment recording including partial payments, method and reference</w:t>
      </w:r>
    </w:p>
    <w:p>
      <w:pPr>
        <w:pStyle w:val="ListParagraph"/>
        <w:numPr>
          <w:ilvl w:val="0"/>
          <w:numId w:val="2"/>
        </w:numPr>
        <w:spacing w:after="20"/>
      </w:pPr>
      <w:r>
        <w:rPr>
          <w:rFonts w:ascii="Calibri" w:cs="Calibri" w:eastAsia="Calibri" w:hAnsi="Calibri"/>
          <w:color w:val="52525B"/>
          <w:sz w:val="19"/>
          <w:szCs w:val="19"/>
        </w:rPr>
        <w:t xml:space="preserve">Invoice reminders and PO request reminders</w:t>
      </w:r>
    </w:p>
    <w:p>
      <w:pPr>
        <w:pStyle w:val="ListParagraph"/>
        <w:numPr>
          <w:ilvl w:val="0"/>
          <w:numId w:val="2"/>
        </w:numPr>
        <w:spacing w:after="20"/>
      </w:pPr>
      <w:r>
        <w:rPr>
          <w:rFonts w:ascii="Calibri" w:cs="Calibri" w:eastAsia="Calibri" w:hAnsi="Calibri"/>
          <w:color w:val="52525B"/>
          <w:sz w:val="19"/>
          <w:szCs w:val="19"/>
        </w:rPr>
        <w:t xml:space="preserve">Purchase order register mapped against invoices</w:t>
      </w:r>
    </w:p>
    <w:p>
      <w:pPr>
        <w:pStyle w:val="ListParagraph"/>
        <w:numPr>
          <w:ilvl w:val="0"/>
          <w:numId w:val="2"/>
        </w:numPr>
        <w:spacing w:after="20"/>
      </w:pPr>
      <w:r>
        <w:rPr>
          <w:rFonts w:ascii="Calibri" w:cs="Calibri" w:eastAsia="Calibri" w:hAnsi="Calibri"/>
          <w:color w:val="52525B"/>
          <w:sz w:val="19"/>
          <w:szCs w:val="19"/>
        </w:rPr>
        <w:t xml:space="preserve">Invoice status tracking — unsent, sent, overdue, paid, free</w:t>
      </w:r>
    </w:p>
    <w:p>
      <w:pPr>
        <w:pStyle w:val="ListParagraph"/>
        <w:numPr>
          <w:ilvl w:val="0"/>
          <w:numId w:val="2"/>
        </w:numPr>
        <w:spacing w:after="20"/>
      </w:pPr>
      <w:r>
        <w:rPr>
          <w:rFonts w:ascii="Calibri" w:cs="Calibri" w:eastAsia="Calibri" w:hAnsi="Calibri"/>
          <w:color w:val="52525B"/>
          <w:sz w:val="19"/>
          <w:szCs w:val="19"/>
        </w:rPr>
        <w:t xml:space="preserve">Invoice analytics — total billed, pending billing, paid, outstanding, average invoice value, status breakdown, payment methods and ageing analysis</w:t>
      </w:r>
    </w:p>
    <w:p>
      <w:pPr>
        <w:pStyle w:val="ListParagraph"/>
        <w:numPr>
          <w:ilvl w:val="0"/>
          <w:numId w:val="2"/>
        </w:numPr>
        <w:spacing w:after="20"/>
      </w:pPr>
      <w:r>
        <w:rPr>
          <w:rFonts w:ascii="Calibri" w:cs="Calibri" w:eastAsia="Calibri" w:hAnsi="Calibri"/>
          <w:color w:val="52525B"/>
          <w:sz w:val="19"/>
          <w:szCs w:val="19"/>
        </w:rPr>
        <w:t xml:space="preserve">Payment risk scoring per invoice based on the customer's own settlement history</w:t>
      </w:r>
    </w:p>
    <w:p>
      <w:pPr>
        <w:spacing w:after="80" w:before="220"/>
      </w:pPr>
      <w:r>
        <w:rPr>
          <w:rFonts w:ascii="Consolas" w:cs="Consolas" w:eastAsia="Consolas" w:hAnsi="Consolas"/>
          <w:b/>
          <w:bCs/>
          <w:color w:val="C2410C"/>
          <w:sz w:val="18"/>
          <w:szCs w:val="18"/>
        </w:rPr>
        <w:t xml:space="preserve">19  </w:t>
      </w:r>
      <w:r>
        <w:rPr>
          <w:rFonts w:ascii="Calibri" w:cs="Calibri" w:eastAsia="Calibri" w:hAnsi="Calibri"/>
          <w:b/>
          <w:bCs/>
          <w:color w:val="18181B"/>
          <w:sz w:val="22"/>
          <w:szCs w:val="22"/>
        </w:rPr>
        <w:t xml:space="preserve">Profitability &amp; Margin</w:t>
      </w:r>
    </w:p>
    <w:p>
      <w:pPr>
        <w:pStyle w:val="ListParagraph"/>
        <w:numPr>
          <w:ilvl w:val="0"/>
          <w:numId w:val="2"/>
        </w:numPr>
        <w:spacing w:after="20"/>
      </w:pPr>
      <w:r>
        <w:rPr>
          <w:rFonts w:ascii="Calibri" w:cs="Calibri" w:eastAsia="Calibri" w:hAnsi="Calibri"/>
          <w:color w:val="52525B"/>
          <w:sz w:val="19"/>
          <w:szCs w:val="19"/>
        </w:rPr>
        <w:t xml:space="preserve">Delivered cost per job — crew hours at real pay rates, overtime at the applicable multiplier, mileage and consumables</w:t>
      </w:r>
    </w:p>
    <w:p>
      <w:pPr>
        <w:pStyle w:val="ListParagraph"/>
        <w:numPr>
          <w:ilvl w:val="0"/>
          <w:numId w:val="2"/>
        </w:numPr>
        <w:spacing w:after="20"/>
      </w:pPr>
      <w:r>
        <w:rPr>
          <w:rFonts w:ascii="Calibri" w:cs="Calibri" w:eastAsia="Calibri" w:hAnsi="Calibri"/>
          <w:color w:val="52525B"/>
          <w:sz w:val="19"/>
          <w:szCs w:val="19"/>
        </w:rPr>
        <w:t xml:space="preserve">Revenue per job from the invoice and billing authorisation</w:t>
      </w:r>
    </w:p>
    <w:p>
      <w:pPr>
        <w:pStyle w:val="ListParagraph"/>
        <w:numPr>
          <w:ilvl w:val="0"/>
          <w:numId w:val="2"/>
        </w:numPr>
        <w:spacing w:after="20"/>
      </w:pPr>
      <w:r>
        <w:rPr>
          <w:rFonts w:ascii="Calibri" w:cs="Calibri" w:eastAsia="Calibri" w:hAnsi="Calibri"/>
          <w:color w:val="52525B"/>
          <w:sz w:val="19"/>
          <w:szCs w:val="19"/>
        </w:rPr>
        <w:t xml:space="preserve">Gross margin per job in currency and percentage</w:t>
      </w:r>
    </w:p>
    <w:p>
      <w:pPr>
        <w:pStyle w:val="ListParagraph"/>
        <w:numPr>
          <w:ilvl w:val="0"/>
          <w:numId w:val="2"/>
        </w:numPr>
        <w:spacing w:after="20"/>
      </w:pPr>
      <w:r>
        <w:rPr>
          <w:rFonts w:ascii="Calibri" w:cs="Calibri" w:eastAsia="Calibri" w:hAnsi="Calibri"/>
          <w:color w:val="52525B"/>
          <w:sz w:val="19"/>
          <w:szCs w:val="19"/>
        </w:rPr>
        <w:t xml:space="preserve">Profitability by inspection, customer, site, inspector and service category</w:t>
      </w:r>
    </w:p>
    <w:p>
      <w:pPr>
        <w:pStyle w:val="ListParagraph"/>
        <w:numPr>
          <w:ilvl w:val="0"/>
          <w:numId w:val="2"/>
        </w:numPr>
        <w:spacing w:after="20"/>
      </w:pPr>
      <w:r>
        <w:rPr>
          <w:rFonts w:ascii="Calibri" w:cs="Calibri" w:eastAsia="Calibri" w:hAnsi="Calibri"/>
          <w:color w:val="52525B"/>
          <w:sz w:val="19"/>
          <w:szCs w:val="19"/>
        </w:rPr>
        <w:t xml:space="preserve">Rate source visibility — purchase order, standard rate, project rate or holiday rate</w:t>
      </w:r>
    </w:p>
    <w:p>
      <w:pPr>
        <w:pStyle w:val="ListParagraph"/>
        <w:numPr>
          <w:ilvl w:val="0"/>
          <w:numId w:val="2"/>
        </w:numPr>
        <w:spacing w:after="20"/>
      </w:pPr>
      <w:r>
        <w:rPr>
          <w:rFonts w:ascii="Calibri" w:cs="Calibri" w:eastAsia="Calibri" w:hAnsi="Calibri"/>
          <w:color w:val="52525B"/>
          <w:sz w:val="19"/>
          <w:szCs w:val="19"/>
        </w:rPr>
        <w:t xml:space="preserve">Quoted value against invoiced value against delivered cost</w:t>
      </w:r>
    </w:p>
    <w:p>
      <w:pPr>
        <w:pStyle w:val="ListParagraph"/>
        <w:numPr>
          <w:ilvl w:val="0"/>
          <w:numId w:val="2"/>
        </w:numPr>
        <w:spacing w:after="20"/>
      </w:pPr>
      <w:r>
        <w:rPr>
          <w:rFonts w:ascii="Calibri" w:cs="Calibri" w:eastAsia="Calibri" w:hAnsi="Calibri"/>
          <w:color w:val="52525B"/>
          <w:sz w:val="19"/>
          <w:szCs w:val="19"/>
        </w:rPr>
        <w:t xml:space="preserve">Period roll-up of total revenue, total delivered cost and gross margin</w:t>
      </w:r>
    </w:p>
    <w:p>
      <w:pPr>
        <w:spacing w:after="80" w:before="220"/>
      </w:pPr>
      <w:r>
        <w:rPr>
          <w:rFonts w:ascii="Consolas" w:cs="Consolas" w:eastAsia="Consolas" w:hAnsi="Consolas"/>
          <w:b/>
          <w:bCs/>
          <w:color w:val="C2410C"/>
          <w:sz w:val="18"/>
          <w:szCs w:val="18"/>
        </w:rPr>
        <w:t xml:space="preserve">20  </w:t>
      </w:r>
      <w:r>
        <w:rPr>
          <w:rFonts w:ascii="Calibri" w:cs="Calibri" w:eastAsia="Calibri" w:hAnsi="Calibri"/>
          <w:b/>
          <w:bCs/>
          <w:color w:val="18181B"/>
          <w:sz w:val="22"/>
          <w:szCs w:val="22"/>
        </w:rPr>
        <w:t xml:space="preserve">Master Data &amp; Configuration</w:t>
      </w:r>
    </w:p>
    <w:p>
      <w:pPr>
        <w:pStyle w:val="ListParagraph"/>
        <w:numPr>
          <w:ilvl w:val="0"/>
          <w:numId w:val="2"/>
        </w:numPr>
        <w:spacing w:after="20"/>
      </w:pPr>
      <w:r>
        <w:rPr>
          <w:rFonts w:ascii="Calibri" w:cs="Calibri" w:eastAsia="Calibri" w:hAnsi="Calibri"/>
          <w:color w:val="52525B"/>
          <w:sz w:val="19"/>
          <w:szCs w:val="19"/>
        </w:rPr>
        <w:t xml:space="preserve">Methods, materials, tool types, makes, models, operators, units of measure, yards</w:t>
      </w:r>
    </w:p>
    <w:p>
      <w:pPr>
        <w:pStyle w:val="ListParagraph"/>
        <w:numPr>
          <w:ilvl w:val="0"/>
          <w:numId w:val="2"/>
        </w:numPr>
        <w:spacing w:after="20"/>
      </w:pPr>
      <w:r>
        <w:rPr>
          <w:rFonts w:ascii="Calibri" w:cs="Calibri" w:eastAsia="Calibri" w:hAnsi="Calibri"/>
          <w:color w:val="52525B"/>
          <w:sz w:val="19"/>
          <w:szCs w:val="19"/>
        </w:rPr>
        <w:t xml:space="preserve">Pin/box, body and weld acceptance codes</w:t>
      </w:r>
    </w:p>
    <w:p>
      <w:pPr>
        <w:pStyle w:val="ListParagraph"/>
        <w:numPr>
          <w:ilvl w:val="0"/>
          <w:numId w:val="2"/>
        </w:numPr>
        <w:spacing w:after="20"/>
      </w:pPr>
      <w:r>
        <w:rPr>
          <w:rFonts w:ascii="Calibri" w:cs="Calibri" w:eastAsia="Calibri" w:hAnsi="Calibri"/>
          <w:color w:val="52525B"/>
          <w:sz w:val="19"/>
          <w:szCs w:val="19"/>
        </w:rPr>
        <w:t xml:space="preserve">Territories and districts</w:t>
      </w:r>
    </w:p>
    <w:p>
      <w:pPr>
        <w:pStyle w:val="ListParagraph"/>
        <w:numPr>
          <w:ilvl w:val="0"/>
          <w:numId w:val="2"/>
        </w:numPr>
        <w:spacing w:after="20"/>
      </w:pPr>
      <w:r>
        <w:rPr>
          <w:rFonts w:ascii="Calibri" w:cs="Calibri" w:eastAsia="Calibri" w:hAnsi="Calibri"/>
          <w:color w:val="52525B"/>
          <w:sz w:val="19"/>
          <w:szCs w:val="19"/>
        </w:rPr>
        <w:t xml:space="preserve">Misc items with type and inspection-allowed flags</w:t>
      </w:r>
    </w:p>
    <w:p>
      <w:pPr>
        <w:pStyle w:val="ListParagraph"/>
        <w:numPr>
          <w:ilvl w:val="0"/>
          <w:numId w:val="2"/>
        </w:numPr>
        <w:spacing w:after="20"/>
      </w:pPr>
      <w:r>
        <w:rPr>
          <w:rFonts w:ascii="Calibri" w:cs="Calibri" w:eastAsia="Calibri" w:hAnsi="Calibri"/>
          <w:color w:val="52525B"/>
          <w:sz w:val="19"/>
          <w:szCs w:val="19"/>
        </w:rPr>
        <w:t xml:space="preserve">Connection types and reface types</w:t>
      </w:r>
    </w:p>
    <w:p>
      <w:pPr>
        <w:pStyle w:val="ListParagraph"/>
        <w:numPr>
          <w:ilvl w:val="0"/>
          <w:numId w:val="2"/>
        </w:numPr>
        <w:spacing w:after="20"/>
      </w:pPr>
      <w:r>
        <w:rPr>
          <w:rFonts w:ascii="Calibri" w:cs="Calibri" w:eastAsia="Calibri" w:hAnsi="Calibri"/>
          <w:color w:val="52525B"/>
          <w:sz w:val="19"/>
          <w:szCs w:val="19"/>
        </w:rPr>
        <w:t xml:space="preserve">Job types, inspection types and progress stages</w:t>
      </w:r>
    </w:p>
    <w:p>
      <w:pPr>
        <w:pStyle w:val="ListParagraph"/>
        <w:numPr>
          <w:ilvl w:val="0"/>
          <w:numId w:val="2"/>
        </w:numPr>
        <w:spacing w:after="20"/>
      </w:pPr>
      <w:r>
        <w:rPr>
          <w:rFonts w:ascii="Calibri" w:cs="Calibri" w:eastAsia="Calibri" w:hAnsi="Calibri"/>
          <w:color w:val="52525B"/>
          <w:sz w:val="19"/>
          <w:szCs w:val="19"/>
        </w:rPr>
        <w:t xml:space="preserve">Certification types, employee roles and departments</w:t>
      </w:r>
    </w:p>
    <w:p>
      <w:pPr>
        <w:pStyle w:val="ListParagraph"/>
        <w:numPr>
          <w:ilvl w:val="0"/>
          <w:numId w:val="2"/>
        </w:numPr>
        <w:spacing w:after="20"/>
      </w:pPr>
      <w:r>
        <w:rPr>
          <w:rFonts w:ascii="Calibri" w:cs="Calibri" w:eastAsia="Calibri" w:hAnsi="Calibri"/>
          <w:color w:val="52525B"/>
          <w:sz w:val="19"/>
          <w:szCs w:val="19"/>
        </w:rPr>
        <w:t xml:space="preserve">Client industry types, service types, site types and contact roles</w:t>
      </w:r>
    </w:p>
    <w:p>
      <w:pPr>
        <w:pStyle w:val="ListParagraph"/>
        <w:numPr>
          <w:ilvl w:val="0"/>
          <w:numId w:val="2"/>
        </w:numPr>
        <w:spacing w:after="20"/>
      </w:pPr>
      <w:r>
        <w:rPr>
          <w:rFonts w:ascii="Calibri" w:cs="Calibri" w:eastAsia="Calibri" w:hAnsi="Calibri"/>
          <w:color w:val="52525B"/>
          <w:sz w:val="19"/>
          <w:szCs w:val="19"/>
        </w:rPr>
        <w:t xml:space="preserve">Every list maintained centrally and reflected across the platform immediately</w:t>
      </w:r>
    </w:p>
    <w:p>
      <w:pPr>
        <w:spacing w:after="80" w:before="220"/>
      </w:pPr>
      <w:r>
        <w:rPr>
          <w:rFonts w:ascii="Consolas" w:cs="Consolas" w:eastAsia="Consolas" w:hAnsi="Consolas"/>
          <w:b/>
          <w:bCs/>
          <w:color w:val="C2410C"/>
          <w:sz w:val="18"/>
          <w:szCs w:val="18"/>
        </w:rPr>
        <w:t xml:space="preserve">21  </w:t>
      </w:r>
      <w:r>
        <w:rPr>
          <w:rFonts w:ascii="Calibri" w:cs="Calibri" w:eastAsia="Calibri" w:hAnsi="Calibri"/>
          <w:b/>
          <w:bCs/>
          <w:color w:val="18181B"/>
          <w:sz w:val="22"/>
          <w:szCs w:val="22"/>
        </w:rPr>
        <w:t xml:space="preserve">Data Migration</w:t>
      </w:r>
    </w:p>
    <w:p>
      <w:pPr>
        <w:pStyle w:val="ListParagraph"/>
        <w:numPr>
          <w:ilvl w:val="0"/>
          <w:numId w:val="2"/>
        </w:numPr>
        <w:spacing w:after="20"/>
      </w:pPr>
      <w:r>
        <w:rPr>
          <w:rFonts w:ascii="Calibri" w:cs="Calibri" w:eastAsia="Calibri" w:hAnsi="Calibri"/>
          <w:color w:val="52525B"/>
          <w:sz w:val="19"/>
          <w:szCs w:val="19"/>
        </w:rPr>
        <w:t xml:space="preserve">Customers, sites, divisions, contacts and email distribution lists</w:t>
      </w:r>
    </w:p>
    <w:p>
      <w:pPr>
        <w:pStyle w:val="ListParagraph"/>
        <w:numPr>
          <w:ilvl w:val="0"/>
          <w:numId w:val="2"/>
        </w:numPr>
        <w:spacing w:after="20"/>
      </w:pPr>
      <w:r>
        <w:rPr>
          <w:rFonts w:ascii="Calibri" w:cs="Calibri" w:eastAsia="Calibri" w:hAnsi="Calibri"/>
          <w:color w:val="52525B"/>
          <w:sz w:val="19"/>
          <w:szCs w:val="19"/>
        </w:rPr>
        <w:t xml:space="preserve">Employees, roles, certifications and pay rules</w:t>
      </w:r>
    </w:p>
    <w:p>
      <w:pPr>
        <w:pStyle w:val="ListParagraph"/>
        <w:numPr>
          <w:ilvl w:val="0"/>
          <w:numId w:val="2"/>
        </w:numPr>
        <w:spacing w:after="20"/>
      </w:pPr>
      <w:r>
        <w:rPr>
          <w:rFonts w:ascii="Calibri" w:cs="Calibri" w:eastAsia="Calibri" w:hAnsi="Calibri"/>
          <w:color w:val="52525B"/>
          <w:sz w:val="19"/>
          <w:szCs w:val="19"/>
        </w:rPr>
        <w:t xml:space="preserve">Tool templates, item templates and report formats</w:t>
      </w:r>
    </w:p>
    <w:p>
      <w:pPr>
        <w:pStyle w:val="ListParagraph"/>
        <w:numPr>
          <w:ilvl w:val="0"/>
          <w:numId w:val="2"/>
        </w:numPr>
        <w:spacing w:after="20"/>
      </w:pPr>
      <w:r>
        <w:rPr>
          <w:rFonts w:ascii="Calibri" w:cs="Calibri" w:eastAsia="Calibri" w:hAnsi="Calibri"/>
          <w:color w:val="52525B"/>
          <w:sz w:val="19"/>
          <w:szCs w:val="19"/>
        </w:rPr>
        <w:t xml:space="preserve">Connection types with their tolerance ranges</w:t>
      </w:r>
    </w:p>
    <w:p>
      <w:pPr>
        <w:pStyle w:val="ListParagraph"/>
        <w:numPr>
          <w:ilvl w:val="0"/>
          <w:numId w:val="2"/>
        </w:numPr>
        <w:spacing w:after="20"/>
      </w:pPr>
      <w:r>
        <w:rPr>
          <w:rFonts w:ascii="Calibri" w:cs="Calibri" w:eastAsia="Calibri" w:hAnsi="Calibri"/>
          <w:color w:val="52525B"/>
          <w:sz w:val="19"/>
          <w:szCs w:val="19"/>
        </w:rPr>
        <w:t xml:space="preserve">All master data and vocabularies</w:t>
      </w:r>
    </w:p>
    <w:p>
      <w:pPr>
        <w:pStyle w:val="ListParagraph"/>
        <w:numPr>
          <w:ilvl w:val="0"/>
          <w:numId w:val="2"/>
        </w:numPr>
        <w:spacing w:after="20"/>
      </w:pPr>
      <w:r>
        <w:rPr>
          <w:rFonts w:ascii="Calibri" w:cs="Calibri" w:eastAsia="Calibri" w:hAnsi="Calibri"/>
          <w:color w:val="52525B"/>
          <w:sz w:val="19"/>
          <w:szCs w:val="19"/>
        </w:rPr>
        <w:t xml:space="preserve">Active and recent inspections with inspected items, measurements and attachments</w:t>
      </w:r>
    </w:p>
    <w:p>
      <w:pPr>
        <w:pStyle w:val="ListParagraph"/>
        <w:numPr>
          <w:ilvl w:val="0"/>
          <w:numId w:val="2"/>
        </w:numPr>
        <w:spacing w:after="20"/>
      </w:pPr>
      <w:r>
        <w:rPr>
          <w:rFonts w:ascii="Calibri" w:cs="Calibri" w:eastAsia="Calibri" w:hAnsi="Calibri"/>
          <w:color w:val="52525B"/>
          <w:sz w:val="19"/>
          <w:szCs w:val="19"/>
        </w:rPr>
        <w:t xml:space="preserve">Open invoices, purchase orders and outstanding balances</w:t>
      </w:r>
    </w:p>
    <w:p>
      <w:pPr>
        <w:pStyle w:val="ListParagraph"/>
        <w:numPr>
          <w:ilvl w:val="0"/>
          <w:numId w:val="2"/>
        </w:numPr>
        <w:spacing w:after="20"/>
      </w:pPr>
      <w:r>
        <w:rPr>
          <w:rFonts w:ascii="Calibri" w:cs="Calibri" w:eastAsia="Calibri" w:hAnsi="Calibri"/>
          <w:color w:val="52525B"/>
          <w:sz w:val="19"/>
          <w:szCs w:val="19"/>
        </w:rPr>
        <w:t xml:space="preserve">Reconciliation report comparing source and destination record counts</w:t>
      </w:r>
    </w:p>
    <w:p>
      <w:pPr>
        <w:pStyle w:val="ListParagraph"/>
        <w:numPr>
          <w:ilvl w:val="0"/>
          <w:numId w:val="2"/>
        </w:numPr>
        <w:spacing w:after="20"/>
      </w:pPr>
      <w:r>
        <w:rPr>
          <w:rFonts w:ascii="Calibri" w:cs="Calibri" w:eastAsia="Calibri" w:hAnsi="Calibri"/>
          <w:color w:val="52525B"/>
          <w:sz w:val="19"/>
          <w:szCs w:val="19"/>
        </w:rPr>
        <w:t xml:space="preserve">Remaining historical records retained in a read-only archive, queryable from the platform</w:t>
      </w:r>
    </w:p>
    <w:p>
      <w:pPr>
        <w:spacing w:after="80" w:before="220"/>
      </w:pPr>
      <w:r>
        <w:rPr>
          <w:rFonts w:ascii="Consolas" w:cs="Consolas" w:eastAsia="Consolas" w:hAnsi="Consolas"/>
          <w:b/>
          <w:bCs/>
          <w:color w:val="C2410C"/>
          <w:sz w:val="18"/>
          <w:szCs w:val="18"/>
        </w:rPr>
        <w:t xml:space="preserve">22  </w:t>
      </w:r>
      <w:r>
        <w:rPr>
          <w:rFonts w:ascii="Calibri" w:cs="Calibri" w:eastAsia="Calibri" w:hAnsi="Calibri"/>
          <w:b/>
          <w:bCs/>
          <w:color w:val="18181B"/>
          <w:sz w:val="22"/>
          <w:szCs w:val="22"/>
        </w:rPr>
        <w:t xml:space="preserve">Mobile &amp; Field Use</w:t>
      </w:r>
    </w:p>
    <w:p>
      <w:pPr>
        <w:pStyle w:val="ListParagraph"/>
        <w:numPr>
          <w:ilvl w:val="0"/>
          <w:numId w:val="2"/>
        </w:numPr>
        <w:spacing w:after="20"/>
      </w:pPr>
      <w:r>
        <w:rPr>
          <w:rFonts w:ascii="Calibri" w:cs="Calibri" w:eastAsia="Calibri" w:hAnsi="Calibri"/>
          <w:color w:val="52525B"/>
          <w:sz w:val="19"/>
          <w:szCs w:val="19"/>
        </w:rPr>
        <w:t xml:space="preserve">Existing employee mobile applications updated to run against the unified platform</w:t>
      </w:r>
    </w:p>
    <w:p>
      <w:pPr>
        <w:pStyle w:val="ListParagraph"/>
        <w:numPr>
          <w:ilvl w:val="0"/>
          <w:numId w:val="2"/>
        </w:numPr>
        <w:spacing w:after="20"/>
      </w:pPr>
      <w:r>
        <w:rPr>
          <w:rFonts w:ascii="Calibri" w:cs="Calibri" w:eastAsia="Calibri" w:hAnsi="Calibri"/>
          <w:color w:val="52525B"/>
          <w:sz w:val="19"/>
          <w:szCs w:val="19"/>
        </w:rPr>
        <w:t xml:space="preserve">iPad-optimised inspection capture in the web application</w:t>
      </w:r>
    </w:p>
    <w:p>
      <w:pPr>
        <w:pStyle w:val="ListParagraph"/>
        <w:numPr>
          <w:ilvl w:val="0"/>
          <w:numId w:val="2"/>
        </w:numPr>
        <w:spacing w:after="20"/>
      </w:pPr>
      <w:r>
        <w:rPr>
          <w:rFonts w:ascii="Calibri" w:cs="Calibri" w:eastAsia="Calibri" w:hAnsi="Calibri"/>
          <w:color w:val="52525B"/>
          <w:sz w:val="19"/>
          <w:szCs w:val="19"/>
        </w:rPr>
        <w:t xml:space="preserve">Field check in and check out with location capture</w:t>
      </w:r>
    </w:p>
    <w:p>
      <w:pPr>
        <w:pStyle w:val="ListParagraph"/>
        <w:numPr>
          <w:ilvl w:val="0"/>
          <w:numId w:val="2"/>
        </w:numPr>
        <w:spacing w:after="20"/>
      </w:pPr>
      <w:r>
        <w:rPr>
          <w:rFonts w:ascii="Calibri" w:cs="Calibri" w:eastAsia="Calibri" w:hAnsi="Calibri"/>
          <w:color w:val="52525B"/>
          <w:sz w:val="19"/>
          <w:szCs w:val="19"/>
        </w:rPr>
        <w:t xml:space="preserve">Mileage capture and trip classification</w:t>
      </w:r>
    </w:p>
    <w:p>
      <w:pPr>
        <w:pStyle w:val="ListParagraph"/>
        <w:numPr>
          <w:ilvl w:val="0"/>
          <w:numId w:val="2"/>
        </w:numPr>
        <w:spacing w:after="20"/>
      </w:pPr>
      <w:r>
        <w:rPr>
          <w:rFonts w:ascii="Calibri" w:cs="Calibri" w:eastAsia="Calibri" w:hAnsi="Calibri"/>
          <w:color w:val="52525B"/>
          <w:sz w:val="19"/>
          <w:szCs w:val="19"/>
        </w:rPr>
        <w:t xml:space="preserve">Assigned job and task visibility</w:t>
      </w:r>
    </w:p>
    <w:p>
      <w:pPr>
        <w:pStyle w:val="ListParagraph"/>
        <w:numPr>
          <w:ilvl w:val="0"/>
          <w:numId w:val="2"/>
        </w:numPr>
        <w:spacing w:after="20"/>
      </w:pPr>
      <w:r>
        <w:rPr>
          <w:rFonts w:ascii="Calibri" w:cs="Calibri" w:eastAsia="Calibri" w:hAnsi="Calibri"/>
          <w:color w:val="52525B"/>
          <w:sz w:val="19"/>
          <w:szCs w:val="19"/>
        </w:rPr>
        <w:t xml:space="preserve">Document and photograph upload from the field</w:t>
      </w:r>
    </w:p>
    <w:p>
      <w:pPr>
        <w:spacing w:after="80" w:before="220"/>
      </w:pPr>
      <w:r>
        <w:rPr>
          <w:rFonts w:ascii="Consolas" w:cs="Consolas" w:eastAsia="Consolas" w:hAnsi="Consolas"/>
          <w:b/>
          <w:bCs/>
          <w:color w:val="C2410C"/>
          <w:sz w:val="18"/>
          <w:szCs w:val="18"/>
        </w:rPr>
        <w:t xml:space="preserve">23  </w:t>
      </w:r>
      <w:r>
        <w:rPr>
          <w:rFonts w:ascii="Calibri" w:cs="Calibri" w:eastAsia="Calibri" w:hAnsi="Calibri"/>
          <w:b/>
          <w:bCs/>
          <w:color w:val="18181B"/>
          <w:sz w:val="22"/>
          <w:szCs w:val="22"/>
        </w:rPr>
        <w:t xml:space="preserve">Deployment, Support &amp; Ownership</w:t>
      </w:r>
    </w:p>
    <w:p>
      <w:pPr>
        <w:pStyle w:val="ListParagraph"/>
        <w:numPr>
          <w:ilvl w:val="0"/>
          <w:numId w:val="2"/>
        </w:numPr>
        <w:spacing w:after="20"/>
      </w:pPr>
      <w:r>
        <w:rPr>
          <w:rFonts w:ascii="Calibri" w:cs="Calibri" w:eastAsia="Calibri" w:hAnsi="Calibri"/>
          <w:color w:val="52525B"/>
          <w:sz w:val="19"/>
          <w:szCs w:val="19"/>
        </w:rPr>
        <w:t xml:space="preserve">Cloud hosting setup and deployment</w:t>
      </w:r>
    </w:p>
    <w:p>
      <w:pPr>
        <w:pStyle w:val="ListParagraph"/>
        <w:numPr>
          <w:ilvl w:val="0"/>
          <w:numId w:val="2"/>
        </w:numPr>
        <w:spacing w:after="20"/>
      </w:pPr>
      <w:r>
        <w:rPr>
          <w:rFonts w:ascii="Calibri" w:cs="Calibri" w:eastAsia="Calibri" w:hAnsi="Calibri"/>
          <w:color w:val="52525B"/>
          <w:sz w:val="19"/>
          <w:szCs w:val="19"/>
        </w:rPr>
        <w:t xml:space="preserve">Environment configuration and release management</w:t>
      </w:r>
    </w:p>
    <w:p>
      <w:pPr>
        <w:pStyle w:val="ListParagraph"/>
        <w:numPr>
          <w:ilvl w:val="0"/>
          <w:numId w:val="2"/>
        </w:numPr>
        <w:spacing w:after="20"/>
      </w:pPr>
      <w:r>
        <w:rPr>
          <w:rFonts w:ascii="Calibri" w:cs="Calibri" w:eastAsia="Calibri" w:hAnsi="Calibri"/>
          <w:color w:val="52525B"/>
          <w:sz w:val="19"/>
          <w:szCs w:val="19"/>
        </w:rPr>
        <w:t xml:space="preserve">User acceptance testing support and defect resolution</w:t>
      </w:r>
    </w:p>
    <w:p>
      <w:pPr>
        <w:pStyle w:val="ListParagraph"/>
        <w:numPr>
          <w:ilvl w:val="0"/>
          <w:numId w:val="2"/>
        </w:numPr>
        <w:spacing w:after="20"/>
      </w:pPr>
      <w:r>
        <w:rPr>
          <w:rFonts w:ascii="Calibri" w:cs="Calibri" w:eastAsia="Calibri" w:hAnsi="Calibri"/>
          <w:color w:val="52525B"/>
          <w:sz w:val="19"/>
          <w:szCs w:val="19"/>
        </w:rPr>
        <w:t xml:space="preserve">Administrator and end-user handover sessions</w:t>
      </w:r>
    </w:p>
    <w:p>
      <w:pPr>
        <w:pStyle w:val="ListParagraph"/>
        <w:numPr>
          <w:ilvl w:val="0"/>
          <w:numId w:val="2"/>
        </w:numPr>
        <w:spacing w:after="20"/>
      </w:pPr>
      <w:r>
        <w:rPr>
          <w:rFonts w:ascii="Calibri" w:cs="Calibri" w:eastAsia="Calibri" w:hAnsi="Calibri"/>
          <w:color w:val="52525B"/>
          <w:sz w:val="19"/>
          <w:szCs w:val="19"/>
        </w:rPr>
        <w:t xml:space="preserve">Four months of post-deployment support at no additional cost</w:t>
      </w:r>
    </w:p>
    <w:p>
      <w:pPr>
        <w:pStyle w:val="ListParagraph"/>
        <w:numPr>
          <w:ilvl w:val="0"/>
          <w:numId w:val="2"/>
        </w:numPr>
        <w:spacing w:after="20"/>
      </w:pPr>
      <w:r>
        <w:rPr>
          <w:rFonts w:ascii="Calibri" w:cs="Calibri" w:eastAsia="Calibri" w:hAnsi="Calibri"/>
          <w:color w:val="52525B"/>
          <w:sz w:val="19"/>
          <w:szCs w:val="19"/>
        </w:rPr>
        <w:t xml:space="preserve">No recurring licence or platform fees payable to Nile</w:t>
      </w:r>
    </w:p>
    <w:p>
      <w:pPr>
        <w:pStyle w:val="ListParagraph"/>
        <w:numPr>
          <w:ilvl w:val="0"/>
          <w:numId w:val="2"/>
        </w:numPr>
        <w:spacing w:after="20"/>
      </w:pPr>
      <w:r>
        <w:rPr>
          <w:rFonts w:ascii="Calibri" w:cs="Calibri" w:eastAsia="Calibri" w:hAnsi="Calibri"/>
          <w:color w:val="52525B"/>
          <w:sz w:val="19"/>
          <w:szCs w:val="19"/>
        </w:rPr>
        <w:t xml:space="preserve">Full source code, database and intellectual property transferred to Zion</w:t>
      </w:r>
    </w:p>
    <w:p>
      <w:pPr>
        <w:pBdr>
          <w:bottom w:val="single" w:color="18181B" w:sz="12" w:space="6"/>
        </w:pBdr>
        <w:spacing w:after="120" w:before="340"/>
      </w:pPr>
      <w:r>
        <w:rPr>
          <w:rFonts w:ascii="Calibri" w:cs="Calibri" w:eastAsia="Calibri" w:hAnsi="Calibri"/>
          <w:b/>
          <w:bCs/>
          <w:color w:val="18181B"/>
          <w:spacing w:val="14"/>
          <w:sz w:val="24"/>
          <w:szCs w:val="24"/>
        </w:rPr>
        <w:t xml:space="preserve">OPTIONAL MODULES</w:t>
      </w:r>
    </w:p>
    <w:tbl>
      <w:tblPr>
        <w:tblW w:type="dxa" w:w="10080"/>
        <w:tblBorders>
          <w:top w:val="none" w:color="auto" w:sz="0"/>
          <w:left w:val="none" w:color="auto" w:sz="0"/>
          <w:bottom w:val="none" w:color="auto" w:sz="0"/>
          <w:right w:val="none" w:color="auto" w:sz="0"/>
          <w:insideH w:val="none" w:color="auto" w:sz="0"/>
          <w:insideV w:val="none" w:color="auto" w:sz="0"/>
        </w:tblBorders>
      </w:tblPr>
      <w:tblGrid>
        <w:gridCol w:w="7000"/>
        <w:gridCol w:w="1600"/>
        <w:gridCol w:w="1480"/>
      </w:tblGrid>
      <w:tr>
        <w:tc>
          <w:tcPr>
            <w:tcW w:type="dxa" w:w="7000"/>
            <w:tcBorders>
              <w:top w:val="none" w:color="auto" w:sz="0"/>
              <w:left w:val="none" w:color="auto" w:sz="0"/>
              <w:bottom w:val="none" w:color="auto" w:sz="0"/>
              <w:right w:val="none" w:color="auto" w:sz="0"/>
            </w:tcBorders>
            <w:tcMar>
              <w:top w:type="dxa" w:w="60"/>
              <w:left w:type="dxa" w:w="0"/>
              <w:bottom w:type="dxa" w:w="40"/>
            </w:tcMar>
          </w:tcPr>
          <w:p>
            <w:r>
              <w:rPr>
                <w:rFonts w:ascii="Calibri" w:cs="Calibri" w:eastAsia="Calibri" w:hAnsi="Calibri"/>
                <w:b/>
                <w:bCs/>
                <w:color w:val="18181B"/>
                <w:sz w:val="22"/>
                <w:szCs w:val="22"/>
              </w:rPr>
              <w:t xml:space="preserve">Communications Hub</w:t>
            </w:r>
          </w:p>
        </w:tc>
        <w:tc>
          <w:tcPr>
            <w:tcW w:type="dxa" w:w="1600"/>
            <w:tcBorders>
              <w:top w:val="none" w:color="auto" w:sz="0"/>
              <w:left w:val="none" w:color="auto" w:sz="0"/>
              <w:bottom w:val="none" w:color="auto" w:sz="0"/>
              <w:right w:val="none" w:color="auto" w:sz="0"/>
            </w:tcBorders>
            <w:tcMar>
              <w:top w:type="dxa" w:w="60"/>
              <w:bottom w:type="dxa" w:w="40"/>
            </w:tcMar>
          </w:tcPr>
          <w:p>
            <w:pPr>
              <w:jc w:val="right"/>
            </w:pPr>
            <w:r>
              <w:rPr>
                <w:rFonts w:ascii="Consolas" w:cs="Consolas" w:eastAsia="Consolas" w:hAnsi="Consolas"/>
                <w:color w:val="A1A1AA"/>
                <w:sz w:val="17"/>
                <w:szCs w:val="17"/>
              </w:rPr>
              <w:t xml:space="preserve">48 days</w:t>
            </w:r>
          </w:p>
        </w:tc>
        <w:tc>
          <w:tcPr>
            <w:tcW w:type="dxa" w:w="1480"/>
            <w:tcBorders>
              <w:top w:val="none" w:color="auto" w:sz="0"/>
              <w:left w:val="none" w:color="auto" w:sz="0"/>
              <w:bottom w:val="none" w:color="auto" w:sz="0"/>
              <w:right w:val="none" w:color="auto" w:sz="0"/>
            </w:tcBorders>
            <w:tcMar>
              <w:top w:type="dxa" w:w="60"/>
              <w:bottom w:type="dxa" w:w="40"/>
              <w:right w:type="dxa" w:w="0"/>
            </w:tcMar>
          </w:tcPr>
          <w:p>
            <w:pPr>
              <w:jc w:val="right"/>
            </w:pPr>
            <w:r>
              <w:rPr>
                <w:rFonts w:ascii="Consolas" w:cs="Consolas" w:eastAsia="Consolas" w:hAnsi="Consolas"/>
                <w:b/>
                <w:bCs/>
                <w:color w:val="9A3412"/>
                <w:sz w:val="18"/>
                <w:szCs w:val="18"/>
              </w:rPr>
              <w:t xml:space="preserve">$9,600</w:t>
            </w:r>
          </w:p>
        </w:tc>
      </w:tr>
    </w:tbl>
    <w:p>
      <w:pPr>
        <w:pStyle w:val="ListParagraph"/>
        <w:numPr>
          <w:ilvl w:val="0"/>
          <w:numId w:val="2"/>
        </w:numPr>
        <w:spacing w:after="20"/>
      </w:pPr>
      <w:r>
        <w:rPr>
          <w:rFonts w:ascii="Calibri" w:cs="Calibri" w:eastAsia="Calibri" w:hAnsi="Calibri"/>
          <w:color w:val="52525B"/>
          <w:sz w:val="19"/>
          <w:szCs w:val="19"/>
        </w:rPr>
        <w:t xml:space="preserve">In-app calling from crew to customer through platform-owned numbers</w:t>
      </w:r>
    </w:p>
    <w:p>
      <w:pPr>
        <w:pStyle w:val="ListParagraph"/>
        <w:numPr>
          <w:ilvl w:val="0"/>
          <w:numId w:val="2"/>
        </w:numPr>
        <w:spacing w:after="20"/>
      </w:pPr>
      <w:r>
        <w:rPr>
          <w:rFonts w:ascii="Calibri" w:cs="Calibri" w:eastAsia="Calibri" w:hAnsi="Calibri"/>
          <w:color w:val="52525B"/>
          <w:sz w:val="19"/>
          <w:szCs w:val="19"/>
        </w:rPr>
        <w:t xml:space="preserve">Customer telephone numbers never exposed to or stored on crew devices</w:t>
      </w:r>
    </w:p>
    <w:p>
      <w:pPr>
        <w:pStyle w:val="ListParagraph"/>
        <w:numPr>
          <w:ilvl w:val="0"/>
          <w:numId w:val="2"/>
        </w:numPr>
        <w:spacing w:after="20"/>
      </w:pPr>
      <w:r>
        <w:rPr>
          <w:rFonts w:ascii="Calibri" w:cs="Calibri" w:eastAsia="Calibri" w:hAnsi="Calibri"/>
          <w:color w:val="52525B"/>
          <w:sz w:val="19"/>
          <w:szCs w:val="19"/>
        </w:rPr>
        <w:t xml:space="preserve">Sticky number per customer so they always see the same Zion line</w:t>
      </w:r>
    </w:p>
    <w:p>
      <w:pPr>
        <w:pStyle w:val="ListParagraph"/>
        <w:numPr>
          <w:ilvl w:val="0"/>
          <w:numId w:val="2"/>
        </w:numPr>
        <w:spacing w:after="20"/>
      </w:pPr>
      <w:r>
        <w:rPr>
          <w:rFonts w:ascii="Calibri" w:cs="Calibri" w:eastAsia="Calibri" w:hAnsi="Calibri"/>
          <w:color w:val="52525B"/>
          <w:sz w:val="19"/>
          <w:szCs w:val="19"/>
        </w:rPr>
        <w:t xml:space="preserve">In-app messaging, crew to crew and crew to customer</w:t>
      </w:r>
    </w:p>
    <w:p>
      <w:pPr>
        <w:pStyle w:val="ListParagraph"/>
        <w:numPr>
          <w:ilvl w:val="0"/>
          <w:numId w:val="2"/>
        </w:numPr>
        <w:spacing w:after="20"/>
      </w:pPr>
      <w:r>
        <w:rPr>
          <w:rFonts w:ascii="Calibri" w:cs="Calibri" w:eastAsia="Calibri" w:hAnsi="Calibri"/>
          <w:color w:val="52525B"/>
          <w:sz w:val="19"/>
          <w:szCs w:val="19"/>
        </w:rPr>
        <w:t xml:space="preserve">Masked SMS through the same number</w:t>
      </w:r>
    </w:p>
    <w:p>
      <w:pPr>
        <w:pStyle w:val="ListParagraph"/>
        <w:numPr>
          <w:ilvl w:val="0"/>
          <w:numId w:val="2"/>
        </w:numPr>
        <w:spacing w:after="20"/>
      </w:pPr>
      <w:r>
        <w:rPr>
          <w:rFonts w:ascii="Calibri" w:cs="Calibri" w:eastAsia="Calibri" w:hAnsi="Calibri"/>
          <w:color w:val="52525B"/>
          <w:sz w:val="19"/>
          <w:szCs w:val="19"/>
        </w:rPr>
        <w:t xml:space="preserve">Full call and message log attached to the job it belongs to</w:t>
      </w:r>
    </w:p>
    <w:p>
      <w:pPr>
        <w:pStyle w:val="ListParagraph"/>
        <w:numPr>
          <w:ilvl w:val="0"/>
          <w:numId w:val="2"/>
        </w:numPr>
        <w:spacing w:after="20"/>
      </w:pPr>
      <w:r>
        <w:rPr>
          <w:rFonts w:ascii="Calibri" w:cs="Calibri" w:eastAsia="Calibri" w:hAnsi="Calibri"/>
          <w:color w:val="52525B"/>
          <w:sz w:val="19"/>
          <w:szCs w:val="19"/>
        </w:rPr>
        <w:t xml:space="preserve">Optional call recording with announcement</w:t>
      </w:r>
    </w:p>
    <w:p>
      <w:pPr>
        <w:pStyle w:val="ListParagraph"/>
        <w:numPr>
          <w:ilvl w:val="0"/>
          <w:numId w:val="2"/>
        </w:numPr>
        <w:spacing w:after="20"/>
      </w:pPr>
      <w:r>
        <w:rPr>
          <w:rFonts w:ascii="Calibri" w:cs="Calibri" w:eastAsia="Calibri" w:hAnsi="Calibri"/>
          <w:color w:val="52525B"/>
          <w:sz w:val="19"/>
          <w:szCs w:val="19"/>
        </w:rPr>
        <w:t xml:space="preserve">Instant revocation when an employee is terminated</w:t>
      </w:r>
    </w:p>
    <w:p>
      <w:pPr>
        <w:pStyle w:val="ListParagraph"/>
        <w:numPr>
          <w:ilvl w:val="0"/>
          <w:numId w:val="2"/>
        </w:numPr>
        <w:spacing w:after="20"/>
      </w:pPr>
      <w:r>
        <w:rPr>
          <w:rFonts w:ascii="Calibri" w:cs="Calibri" w:eastAsia="Calibri" w:hAnsi="Calibri"/>
          <w:color w:val="52525B"/>
          <w:sz w:val="19"/>
          <w:szCs w:val="19"/>
        </w:rPr>
        <w:t xml:space="preserve">Telephony provider account, carrier registration and usage charges are Zion's</w:t>
      </w:r>
    </w:p>
    <w:tbl>
      <w:tblPr>
        <w:tblW w:type="dxa" w:w="10080"/>
        <w:tblBorders>
          <w:top w:val="none" w:color="auto" w:sz="0"/>
          <w:left w:val="none" w:color="auto" w:sz="0"/>
          <w:bottom w:val="none" w:color="auto" w:sz="0"/>
          <w:right w:val="none" w:color="auto" w:sz="0"/>
          <w:insideH w:val="none" w:color="auto" w:sz="0"/>
          <w:insideV w:val="none" w:color="auto" w:sz="0"/>
        </w:tblBorders>
      </w:tblPr>
      <w:tblGrid>
        <w:gridCol w:w="7000"/>
        <w:gridCol w:w="1600"/>
        <w:gridCol w:w="1480"/>
      </w:tblGrid>
      <w:tr>
        <w:tc>
          <w:tcPr>
            <w:tcW w:type="dxa" w:w="7000"/>
            <w:tcBorders>
              <w:top w:val="none" w:color="auto" w:sz="0"/>
              <w:left w:val="none" w:color="auto" w:sz="0"/>
              <w:bottom w:val="none" w:color="auto" w:sz="0"/>
              <w:right w:val="none" w:color="auto" w:sz="0"/>
            </w:tcBorders>
            <w:tcMar>
              <w:top w:type="dxa" w:w="60"/>
              <w:left w:type="dxa" w:w="0"/>
              <w:bottom w:type="dxa" w:w="40"/>
            </w:tcMar>
          </w:tcPr>
          <w:p>
            <w:r>
              <w:rPr>
                <w:rFonts w:ascii="Calibri" w:cs="Calibri" w:eastAsia="Calibri" w:hAnsi="Calibri"/>
                <w:b/>
                <w:bCs/>
                <w:color w:val="18181B"/>
                <w:sz w:val="22"/>
                <w:szCs w:val="22"/>
              </w:rPr>
              <w:t xml:space="preserve">Customer Portal</w:t>
            </w:r>
          </w:p>
        </w:tc>
        <w:tc>
          <w:tcPr>
            <w:tcW w:type="dxa" w:w="1600"/>
            <w:tcBorders>
              <w:top w:val="none" w:color="auto" w:sz="0"/>
              <w:left w:val="none" w:color="auto" w:sz="0"/>
              <w:bottom w:val="none" w:color="auto" w:sz="0"/>
              <w:right w:val="none" w:color="auto" w:sz="0"/>
            </w:tcBorders>
            <w:tcMar>
              <w:top w:type="dxa" w:w="60"/>
              <w:bottom w:type="dxa" w:w="40"/>
            </w:tcMar>
          </w:tcPr>
          <w:p>
            <w:pPr>
              <w:jc w:val="right"/>
            </w:pPr>
            <w:r>
              <w:rPr>
                <w:rFonts w:ascii="Consolas" w:cs="Consolas" w:eastAsia="Consolas" w:hAnsi="Consolas"/>
                <w:color w:val="A1A1AA"/>
                <w:sz w:val="17"/>
                <w:szCs w:val="17"/>
              </w:rPr>
              <w:t xml:space="preserve">45 days</w:t>
            </w:r>
          </w:p>
        </w:tc>
        <w:tc>
          <w:tcPr>
            <w:tcW w:type="dxa" w:w="1480"/>
            <w:tcBorders>
              <w:top w:val="none" w:color="auto" w:sz="0"/>
              <w:left w:val="none" w:color="auto" w:sz="0"/>
              <w:bottom w:val="none" w:color="auto" w:sz="0"/>
              <w:right w:val="none" w:color="auto" w:sz="0"/>
            </w:tcBorders>
            <w:tcMar>
              <w:top w:type="dxa" w:w="60"/>
              <w:bottom w:type="dxa" w:w="40"/>
              <w:right w:type="dxa" w:w="0"/>
            </w:tcMar>
          </w:tcPr>
          <w:p>
            <w:pPr>
              <w:jc w:val="right"/>
            </w:pPr>
            <w:r>
              <w:rPr>
                <w:rFonts w:ascii="Consolas" w:cs="Consolas" w:eastAsia="Consolas" w:hAnsi="Consolas"/>
                <w:b/>
                <w:bCs/>
                <w:color w:val="9A3412"/>
                <w:sz w:val="18"/>
                <w:szCs w:val="18"/>
              </w:rPr>
              <w:t xml:space="preserve">$9,000</w:t>
            </w:r>
          </w:p>
        </w:tc>
      </w:tr>
    </w:tbl>
    <w:p>
      <w:pPr>
        <w:pStyle w:val="ListParagraph"/>
        <w:numPr>
          <w:ilvl w:val="0"/>
          <w:numId w:val="2"/>
        </w:numPr>
        <w:spacing w:after="20"/>
      </w:pPr>
      <w:r>
        <w:rPr>
          <w:rFonts w:ascii="Calibri" w:cs="Calibri" w:eastAsia="Calibri" w:hAnsi="Calibri"/>
          <w:color w:val="52525B"/>
          <w:sz w:val="19"/>
          <w:szCs w:val="19"/>
        </w:rPr>
        <w:t xml:space="preserve">Customer login with role-based access</w:t>
      </w:r>
    </w:p>
    <w:p>
      <w:pPr>
        <w:pStyle w:val="ListParagraph"/>
        <w:numPr>
          <w:ilvl w:val="0"/>
          <w:numId w:val="2"/>
        </w:numPr>
        <w:spacing w:after="20"/>
      </w:pPr>
      <w:r>
        <w:rPr>
          <w:rFonts w:ascii="Calibri" w:cs="Calibri" w:eastAsia="Calibri" w:hAnsi="Calibri"/>
          <w:color w:val="52525B"/>
          <w:sz w:val="19"/>
          <w:szCs w:val="19"/>
        </w:rPr>
        <w:t xml:space="preserve">Raise and track inspection tickets</w:t>
      </w:r>
    </w:p>
    <w:p>
      <w:pPr>
        <w:pStyle w:val="ListParagraph"/>
        <w:numPr>
          <w:ilvl w:val="0"/>
          <w:numId w:val="2"/>
        </w:numPr>
        <w:spacing w:after="20"/>
      </w:pPr>
      <w:r>
        <w:rPr>
          <w:rFonts w:ascii="Calibri" w:cs="Calibri" w:eastAsia="Calibri" w:hAnsi="Calibri"/>
          <w:color w:val="52525B"/>
          <w:sz w:val="19"/>
          <w:szCs w:val="19"/>
        </w:rPr>
        <w:t xml:space="preserve">Job and inspection status visibility</w:t>
      </w:r>
    </w:p>
    <w:p>
      <w:pPr>
        <w:pStyle w:val="ListParagraph"/>
        <w:numPr>
          <w:ilvl w:val="0"/>
          <w:numId w:val="2"/>
        </w:numPr>
        <w:spacing w:after="20"/>
      </w:pPr>
      <w:r>
        <w:rPr>
          <w:rFonts w:ascii="Calibri" w:cs="Calibri" w:eastAsia="Calibri" w:hAnsi="Calibri"/>
          <w:color w:val="52525B"/>
          <w:sz w:val="19"/>
          <w:szCs w:val="19"/>
        </w:rPr>
        <w:t xml:space="preserve">Report download and history</w:t>
      </w:r>
    </w:p>
    <w:p>
      <w:pPr>
        <w:pStyle w:val="ListParagraph"/>
        <w:numPr>
          <w:ilvl w:val="0"/>
          <w:numId w:val="2"/>
        </w:numPr>
        <w:spacing w:after="20"/>
      </w:pPr>
      <w:r>
        <w:rPr>
          <w:rFonts w:ascii="Calibri" w:cs="Calibri" w:eastAsia="Calibri" w:hAnsi="Calibri"/>
          <w:color w:val="52525B"/>
          <w:sz w:val="19"/>
          <w:szCs w:val="19"/>
        </w:rPr>
        <w:t xml:space="preserve">Outstanding and paid invoice visibility</w:t>
      </w:r>
    </w:p>
    <w:p>
      <w:pPr>
        <w:pStyle w:val="ListParagraph"/>
        <w:numPr>
          <w:ilvl w:val="0"/>
          <w:numId w:val="2"/>
        </w:numPr>
        <w:spacing w:after="20"/>
      </w:pPr>
      <w:r>
        <w:rPr>
          <w:rFonts w:ascii="Calibri" w:cs="Calibri" w:eastAsia="Calibri" w:hAnsi="Calibri"/>
          <w:color w:val="52525B"/>
          <w:sz w:val="19"/>
          <w:szCs w:val="19"/>
        </w:rPr>
        <w:t xml:space="preserve">Purchase order submission</w:t>
      </w:r>
    </w:p>
    <w:tbl>
      <w:tblPr>
        <w:tblW w:type="dxa" w:w="10080"/>
        <w:tblBorders>
          <w:top w:val="none" w:color="auto" w:sz="0"/>
          <w:left w:val="none" w:color="auto" w:sz="0"/>
          <w:bottom w:val="none" w:color="auto" w:sz="0"/>
          <w:right w:val="none" w:color="auto" w:sz="0"/>
          <w:insideH w:val="none" w:color="auto" w:sz="0"/>
          <w:insideV w:val="none" w:color="auto" w:sz="0"/>
        </w:tblBorders>
      </w:tblPr>
      <w:tblGrid>
        <w:gridCol w:w="7000"/>
        <w:gridCol w:w="1600"/>
        <w:gridCol w:w="1480"/>
      </w:tblGrid>
      <w:tr>
        <w:tc>
          <w:tcPr>
            <w:tcW w:type="dxa" w:w="7000"/>
            <w:tcBorders>
              <w:top w:val="none" w:color="auto" w:sz="0"/>
              <w:left w:val="none" w:color="auto" w:sz="0"/>
              <w:bottom w:val="none" w:color="auto" w:sz="0"/>
              <w:right w:val="none" w:color="auto" w:sz="0"/>
            </w:tcBorders>
            <w:tcMar>
              <w:top w:type="dxa" w:w="60"/>
              <w:left w:type="dxa" w:w="0"/>
              <w:bottom w:type="dxa" w:w="40"/>
            </w:tcMar>
          </w:tcPr>
          <w:p>
            <w:r>
              <w:rPr>
                <w:rFonts w:ascii="Calibri" w:cs="Calibri" w:eastAsia="Calibri" w:hAnsi="Calibri"/>
                <w:b/>
                <w:bCs/>
                <w:color w:val="18181B"/>
                <w:sz w:val="22"/>
                <w:szCs w:val="22"/>
              </w:rPr>
              <w:t xml:space="preserve">LMS &amp; Certification Management</w:t>
            </w:r>
          </w:p>
        </w:tc>
        <w:tc>
          <w:tcPr>
            <w:tcW w:type="dxa" w:w="1600"/>
            <w:tcBorders>
              <w:top w:val="none" w:color="auto" w:sz="0"/>
              <w:left w:val="none" w:color="auto" w:sz="0"/>
              <w:bottom w:val="none" w:color="auto" w:sz="0"/>
              <w:right w:val="none" w:color="auto" w:sz="0"/>
            </w:tcBorders>
            <w:tcMar>
              <w:top w:type="dxa" w:w="60"/>
              <w:bottom w:type="dxa" w:w="40"/>
            </w:tcMar>
          </w:tcPr>
          <w:p>
            <w:pPr>
              <w:jc w:val="right"/>
            </w:pPr>
            <w:r>
              <w:rPr>
                <w:rFonts w:ascii="Consolas" w:cs="Consolas" w:eastAsia="Consolas" w:hAnsi="Consolas"/>
                <w:color w:val="A1A1AA"/>
                <w:sz w:val="17"/>
                <w:szCs w:val="17"/>
              </w:rPr>
              <w:t xml:space="preserve">60 days</w:t>
            </w:r>
          </w:p>
        </w:tc>
        <w:tc>
          <w:tcPr>
            <w:tcW w:type="dxa" w:w="1480"/>
            <w:tcBorders>
              <w:top w:val="none" w:color="auto" w:sz="0"/>
              <w:left w:val="none" w:color="auto" w:sz="0"/>
              <w:bottom w:val="none" w:color="auto" w:sz="0"/>
              <w:right w:val="none" w:color="auto" w:sz="0"/>
            </w:tcBorders>
            <w:tcMar>
              <w:top w:type="dxa" w:w="60"/>
              <w:bottom w:type="dxa" w:w="40"/>
              <w:right w:type="dxa" w:w="0"/>
            </w:tcMar>
          </w:tcPr>
          <w:p>
            <w:pPr>
              <w:jc w:val="right"/>
            </w:pPr>
            <w:r>
              <w:rPr>
                <w:rFonts w:ascii="Consolas" w:cs="Consolas" w:eastAsia="Consolas" w:hAnsi="Consolas"/>
                <w:b/>
                <w:bCs/>
                <w:color w:val="9A3412"/>
                <w:sz w:val="18"/>
                <w:szCs w:val="18"/>
              </w:rPr>
              <w:t xml:space="preserve">$12,000</w:t>
            </w:r>
          </w:p>
        </w:tc>
      </w:tr>
    </w:tbl>
    <w:p>
      <w:pPr>
        <w:pStyle w:val="ListParagraph"/>
        <w:numPr>
          <w:ilvl w:val="0"/>
          <w:numId w:val="2"/>
        </w:numPr>
        <w:spacing w:after="20"/>
      </w:pPr>
      <w:r>
        <w:rPr>
          <w:rFonts w:ascii="Calibri" w:cs="Calibri" w:eastAsia="Calibri" w:hAnsi="Calibri"/>
          <w:color w:val="52525B"/>
          <w:sz w:val="19"/>
          <w:szCs w:val="19"/>
        </w:rPr>
        <w:t xml:space="preserve">Course and training material library</w:t>
      </w:r>
    </w:p>
    <w:p>
      <w:pPr>
        <w:pStyle w:val="ListParagraph"/>
        <w:numPr>
          <w:ilvl w:val="0"/>
          <w:numId w:val="2"/>
        </w:numPr>
        <w:spacing w:after="20"/>
      </w:pPr>
      <w:r>
        <w:rPr>
          <w:rFonts w:ascii="Calibri" w:cs="Calibri" w:eastAsia="Calibri" w:hAnsi="Calibri"/>
          <w:color w:val="52525B"/>
          <w:sz w:val="19"/>
          <w:szCs w:val="19"/>
        </w:rPr>
        <w:t xml:space="preserve">On-the-job training records per employee</w:t>
      </w:r>
    </w:p>
    <w:p>
      <w:pPr>
        <w:pStyle w:val="ListParagraph"/>
        <w:numPr>
          <w:ilvl w:val="0"/>
          <w:numId w:val="2"/>
        </w:numPr>
        <w:spacing w:after="20"/>
      </w:pPr>
      <w:r>
        <w:rPr>
          <w:rFonts w:ascii="Calibri" w:cs="Calibri" w:eastAsia="Calibri" w:hAnsi="Calibri"/>
          <w:color w:val="52525B"/>
          <w:sz w:val="19"/>
          <w:szCs w:val="19"/>
        </w:rPr>
        <w:t xml:space="preserve">Assessments and completion tracking</w:t>
      </w:r>
    </w:p>
    <w:p>
      <w:pPr>
        <w:pStyle w:val="ListParagraph"/>
        <w:numPr>
          <w:ilvl w:val="0"/>
          <w:numId w:val="2"/>
        </w:numPr>
        <w:spacing w:after="20"/>
      </w:pPr>
      <w:r>
        <w:rPr>
          <w:rFonts w:ascii="Calibri" w:cs="Calibri" w:eastAsia="Calibri" w:hAnsi="Calibri"/>
          <w:color w:val="52525B"/>
          <w:sz w:val="19"/>
          <w:szCs w:val="19"/>
        </w:rPr>
        <w:t xml:space="preserve">Certification register with levels, issue and expiry dates</w:t>
      </w:r>
    </w:p>
    <w:p>
      <w:pPr>
        <w:pStyle w:val="ListParagraph"/>
        <w:numPr>
          <w:ilvl w:val="0"/>
          <w:numId w:val="2"/>
        </w:numPr>
        <w:spacing w:after="20"/>
      </w:pPr>
      <w:r>
        <w:rPr>
          <w:rFonts w:ascii="Calibri" w:cs="Calibri" w:eastAsia="Calibri" w:hAnsi="Calibri"/>
          <w:color w:val="52525B"/>
          <w:sz w:val="19"/>
          <w:szCs w:val="19"/>
        </w:rPr>
        <w:t xml:space="preserve">Renewal reminders and expiry escalation</w:t>
      </w:r>
    </w:p>
    <w:p>
      <w:pPr>
        <w:pStyle w:val="ListParagraph"/>
        <w:numPr>
          <w:ilvl w:val="0"/>
          <w:numId w:val="2"/>
        </w:numPr>
        <w:spacing w:after="20"/>
      </w:pPr>
      <w:r>
        <w:rPr>
          <w:rFonts w:ascii="Calibri" w:cs="Calibri" w:eastAsia="Calibri" w:hAnsi="Calibri"/>
          <w:color w:val="52525B"/>
          <w:sz w:val="19"/>
          <w:szCs w:val="19"/>
        </w:rPr>
        <w:t xml:space="preserve">Competency matrix mapped to the qualifications each inspection procedure requires</w:t>
      </w:r>
    </w:p>
    <w:p>
      <w:pPr>
        <w:pStyle w:val="ListParagraph"/>
        <w:numPr>
          <w:ilvl w:val="0"/>
          <w:numId w:val="2"/>
        </w:numPr>
        <w:spacing w:after="20"/>
      </w:pPr>
      <w:r>
        <w:rPr>
          <w:rFonts w:ascii="Calibri" w:cs="Calibri" w:eastAsia="Calibri" w:hAnsi="Calibri"/>
          <w:color w:val="52525B"/>
          <w:sz w:val="19"/>
          <w:szCs w:val="19"/>
        </w:rPr>
        <w:t xml:space="preserve">Blocking or warning when an unqualified inspector is assigned</w:t>
      </w:r>
    </w:p>
    <w:tbl>
      <w:tblPr>
        <w:tblW w:type="dxa" w:w="10080"/>
        <w:tblBorders>
          <w:top w:val="none" w:color="auto" w:sz="0"/>
          <w:left w:val="none" w:color="auto" w:sz="0"/>
          <w:bottom w:val="none" w:color="auto" w:sz="0"/>
          <w:right w:val="none" w:color="auto" w:sz="0"/>
          <w:insideH w:val="none" w:color="auto" w:sz="0"/>
          <w:insideV w:val="none" w:color="auto" w:sz="0"/>
        </w:tblBorders>
      </w:tblPr>
      <w:tblGrid>
        <w:gridCol w:w="7000"/>
        <w:gridCol w:w="1600"/>
        <w:gridCol w:w="1480"/>
      </w:tblGrid>
      <w:tr>
        <w:tc>
          <w:tcPr>
            <w:tcW w:type="dxa" w:w="7000"/>
            <w:tcBorders>
              <w:top w:val="none" w:color="auto" w:sz="0"/>
              <w:left w:val="none" w:color="auto" w:sz="0"/>
              <w:bottom w:val="none" w:color="auto" w:sz="0"/>
              <w:right w:val="none" w:color="auto" w:sz="0"/>
            </w:tcBorders>
            <w:tcMar>
              <w:top w:type="dxa" w:w="60"/>
              <w:left w:type="dxa" w:w="0"/>
              <w:bottom w:type="dxa" w:w="40"/>
            </w:tcMar>
          </w:tcPr>
          <w:p>
            <w:r>
              <w:rPr>
                <w:rFonts w:ascii="Calibri" w:cs="Calibri" w:eastAsia="Calibri" w:hAnsi="Calibri"/>
                <w:b/>
                <w:bCs/>
                <w:color w:val="18181B"/>
                <w:sz w:val="22"/>
                <w:szCs w:val="22"/>
              </w:rPr>
              <w:t xml:space="preserve">Company Document Centre with AI</w:t>
            </w:r>
          </w:p>
        </w:tc>
        <w:tc>
          <w:tcPr>
            <w:tcW w:type="dxa" w:w="1600"/>
            <w:tcBorders>
              <w:top w:val="none" w:color="auto" w:sz="0"/>
              <w:left w:val="none" w:color="auto" w:sz="0"/>
              <w:bottom w:val="none" w:color="auto" w:sz="0"/>
              <w:right w:val="none" w:color="auto" w:sz="0"/>
            </w:tcBorders>
            <w:tcMar>
              <w:top w:type="dxa" w:w="60"/>
              <w:bottom w:type="dxa" w:w="40"/>
            </w:tcMar>
          </w:tcPr>
          <w:p>
            <w:pPr>
              <w:jc w:val="right"/>
            </w:pPr>
            <w:r>
              <w:rPr>
                <w:rFonts w:ascii="Consolas" w:cs="Consolas" w:eastAsia="Consolas" w:hAnsi="Consolas"/>
                <w:color w:val="A1A1AA"/>
                <w:sz w:val="17"/>
                <w:szCs w:val="17"/>
              </w:rPr>
              <w:t xml:space="preserve">42 days</w:t>
            </w:r>
          </w:p>
        </w:tc>
        <w:tc>
          <w:tcPr>
            <w:tcW w:type="dxa" w:w="1480"/>
            <w:tcBorders>
              <w:top w:val="none" w:color="auto" w:sz="0"/>
              <w:left w:val="none" w:color="auto" w:sz="0"/>
              <w:bottom w:val="none" w:color="auto" w:sz="0"/>
              <w:right w:val="none" w:color="auto" w:sz="0"/>
            </w:tcBorders>
            <w:tcMar>
              <w:top w:type="dxa" w:w="60"/>
              <w:bottom w:type="dxa" w:w="40"/>
              <w:right w:type="dxa" w:w="0"/>
            </w:tcMar>
          </w:tcPr>
          <w:p>
            <w:pPr>
              <w:jc w:val="right"/>
            </w:pPr>
            <w:r>
              <w:rPr>
                <w:rFonts w:ascii="Consolas" w:cs="Consolas" w:eastAsia="Consolas" w:hAnsi="Consolas"/>
                <w:b/>
                <w:bCs/>
                <w:color w:val="9A3412"/>
                <w:sz w:val="18"/>
                <w:szCs w:val="18"/>
              </w:rPr>
              <w:t xml:space="preserve">$8,400</w:t>
            </w:r>
          </w:p>
        </w:tc>
      </w:tr>
    </w:tbl>
    <w:p>
      <w:pPr>
        <w:pStyle w:val="ListParagraph"/>
        <w:numPr>
          <w:ilvl w:val="0"/>
          <w:numId w:val="2"/>
        </w:numPr>
        <w:spacing w:after="20"/>
      </w:pPr>
      <w:r>
        <w:rPr>
          <w:rFonts w:ascii="Calibri" w:cs="Calibri" w:eastAsia="Calibri" w:hAnsi="Calibri"/>
          <w:color w:val="52525B"/>
          <w:sz w:val="19"/>
          <w:szCs w:val="19"/>
        </w:rPr>
        <w:t xml:space="preserve">Central store for employee handbook, processes, W-9, certificates of insurance and policies</w:t>
      </w:r>
    </w:p>
    <w:p>
      <w:pPr>
        <w:pStyle w:val="ListParagraph"/>
        <w:numPr>
          <w:ilvl w:val="0"/>
          <w:numId w:val="2"/>
        </w:numPr>
        <w:spacing w:after="20"/>
      </w:pPr>
      <w:r>
        <w:rPr>
          <w:rFonts w:ascii="Calibri" w:cs="Calibri" w:eastAsia="Calibri" w:hAnsi="Calibri"/>
          <w:color w:val="52525B"/>
          <w:sz w:val="19"/>
          <w:szCs w:val="19"/>
        </w:rPr>
        <w:t xml:space="preserve">Version control and controlled-document flags</w:t>
      </w:r>
    </w:p>
    <w:p>
      <w:pPr>
        <w:pStyle w:val="ListParagraph"/>
        <w:numPr>
          <w:ilvl w:val="0"/>
          <w:numId w:val="2"/>
        </w:numPr>
        <w:spacing w:after="20"/>
      </w:pPr>
      <w:r>
        <w:rPr>
          <w:rFonts w:ascii="Calibri" w:cs="Calibri" w:eastAsia="Calibri" w:hAnsi="Calibri"/>
          <w:color w:val="52525B"/>
          <w:sz w:val="19"/>
          <w:szCs w:val="19"/>
        </w:rPr>
        <w:t xml:space="preserve">Acknowledgement tracking per employee</w:t>
      </w:r>
    </w:p>
    <w:p>
      <w:pPr>
        <w:pStyle w:val="ListParagraph"/>
        <w:numPr>
          <w:ilvl w:val="0"/>
          <w:numId w:val="2"/>
        </w:numPr>
        <w:spacing w:after="20"/>
      </w:pPr>
      <w:r>
        <w:rPr>
          <w:rFonts w:ascii="Calibri" w:cs="Calibri" w:eastAsia="Calibri" w:hAnsi="Calibri"/>
          <w:color w:val="52525B"/>
          <w:sz w:val="19"/>
          <w:szCs w:val="19"/>
        </w:rPr>
        <w:t xml:space="preserve">Secure share links with expiry</w:t>
      </w:r>
    </w:p>
    <w:p>
      <w:pPr>
        <w:pStyle w:val="ListParagraph"/>
        <w:numPr>
          <w:ilvl w:val="0"/>
          <w:numId w:val="2"/>
        </w:numPr>
        <w:spacing w:after="20"/>
      </w:pPr>
      <w:r>
        <w:rPr>
          <w:rFonts w:ascii="Calibri" w:cs="Calibri" w:eastAsia="Calibri" w:hAnsi="Calibri"/>
          <w:color w:val="52525B"/>
          <w:sz w:val="19"/>
          <w:szCs w:val="19"/>
        </w:rPr>
        <w:t xml:space="preserve">Email delivery to customers and staff</w:t>
      </w:r>
    </w:p>
    <w:p>
      <w:pPr>
        <w:pStyle w:val="ListParagraph"/>
        <w:numPr>
          <w:ilvl w:val="0"/>
          <w:numId w:val="2"/>
        </w:numPr>
        <w:spacing w:after="20"/>
      </w:pPr>
      <w:r>
        <w:rPr>
          <w:rFonts w:ascii="Calibri" w:cs="Calibri" w:eastAsia="Calibri" w:hAnsi="Calibri"/>
          <w:color w:val="52525B"/>
          <w:sz w:val="19"/>
          <w:szCs w:val="19"/>
        </w:rPr>
        <w:t xml:space="preserve">AI search and question answering across the document set</w:t>
      </w:r>
    </w:p>
    <w:tbl>
      <w:tblPr>
        <w:tblW w:type="dxa" w:w="10080"/>
        <w:tblBorders>
          <w:top w:val="none" w:color="auto" w:sz="0"/>
          <w:left w:val="none" w:color="auto" w:sz="0"/>
          <w:bottom w:val="none" w:color="auto" w:sz="0"/>
          <w:right w:val="none" w:color="auto" w:sz="0"/>
          <w:insideH w:val="none" w:color="auto" w:sz="0"/>
          <w:insideV w:val="none" w:color="auto" w:sz="0"/>
        </w:tblBorders>
      </w:tblPr>
      <w:tblGrid>
        <w:gridCol w:w="7000"/>
        <w:gridCol w:w="1600"/>
        <w:gridCol w:w="1480"/>
      </w:tblGrid>
      <w:tr>
        <w:tc>
          <w:tcPr>
            <w:tcW w:type="dxa" w:w="7000"/>
            <w:tcBorders>
              <w:top w:val="none" w:color="auto" w:sz="0"/>
              <w:left w:val="none" w:color="auto" w:sz="0"/>
              <w:bottom w:val="none" w:color="auto" w:sz="0"/>
              <w:right w:val="none" w:color="auto" w:sz="0"/>
            </w:tcBorders>
            <w:tcMar>
              <w:top w:type="dxa" w:w="60"/>
              <w:left w:type="dxa" w:w="0"/>
              <w:bottom w:type="dxa" w:w="40"/>
            </w:tcMar>
          </w:tcPr>
          <w:p>
            <w:r>
              <w:rPr>
                <w:rFonts w:ascii="Calibri" w:cs="Calibri" w:eastAsia="Calibri" w:hAnsi="Calibri"/>
                <w:b/>
                <w:bCs/>
                <w:color w:val="18181B"/>
                <w:sz w:val="22"/>
                <w:szCs w:val="22"/>
              </w:rPr>
              <w:t xml:space="preserve">Asset Management, Vendors &amp; Purchase Orders</w:t>
            </w:r>
          </w:p>
        </w:tc>
        <w:tc>
          <w:tcPr>
            <w:tcW w:type="dxa" w:w="1600"/>
            <w:tcBorders>
              <w:top w:val="none" w:color="auto" w:sz="0"/>
              <w:left w:val="none" w:color="auto" w:sz="0"/>
              <w:bottom w:val="none" w:color="auto" w:sz="0"/>
              <w:right w:val="none" w:color="auto" w:sz="0"/>
            </w:tcBorders>
            <w:tcMar>
              <w:top w:type="dxa" w:w="60"/>
              <w:bottom w:type="dxa" w:w="40"/>
            </w:tcMar>
          </w:tcPr>
          <w:p>
            <w:pPr>
              <w:jc w:val="right"/>
            </w:pPr>
            <w:r>
              <w:rPr>
                <w:rFonts w:ascii="Consolas" w:cs="Consolas" w:eastAsia="Consolas" w:hAnsi="Consolas"/>
                <w:color w:val="A1A1AA"/>
                <w:sz w:val="17"/>
                <w:szCs w:val="17"/>
              </w:rPr>
              <w:t xml:space="preserve">80 days</w:t>
            </w:r>
          </w:p>
        </w:tc>
        <w:tc>
          <w:tcPr>
            <w:tcW w:type="dxa" w:w="1480"/>
            <w:tcBorders>
              <w:top w:val="none" w:color="auto" w:sz="0"/>
              <w:left w:val="none" w:color="auto" w:sz="0"/>
              <w:bottom w:val="none" w:color="auto" w:sz="0"/>
              <w:right w:val="none" w:color="auto" w:sz="0"/>
            </w:tcBorders>
            <w:tcMar>
              <w:top w:type="dxa" w:w="60"/>
              <w:bottom w:type="dxa" w:w="40"/>
              <w:right w:type="dxa" w:w="0"/>
            </w:tcMar>
          </w:tcPr>
          <w:p>
            <w:pPr>
              <w:jc w:val="right"/>
            </w:pPr>
            <w:r>
              <w:rPr>
                <w:rFonts w:ascii="Consolas" w:cs="Consolas" w:eastAsia="Consolas" w:hAnsi="Consolas"/>
                <w:b/>
                <w:bCs/>
                <w:color w:val="9A3412"/>
                <w:sz w:val="18"/>
                <w:szCs w:val="18"/>
              </w:rPr>
              <w:t xml:space="preserve">$16,000</w:t>
            </w:r>
          </w:p>
        </w:tc>
      </w:tr>
    </w:tbl>
    <w:p>
      <w:pPr>
        <w:pStyle w:val="ListParagraph"/>
        <w:numPr>
          <w:ilvl w:val="0"/>
          <w:numId w:val="2"/>
        </w:numPr>
        <w:spacing w:after="20"/>
      </w:pPr>
      <w:r>
        <w:rPr>
          <w:rFonts w:ascii="Calibri" w:cs="Calibri" w:eastAsia="Calibri" w:hAnsi="Calibri"/>
          <w:color w:val="52525B"/>
          <w:sz w:val="19"/>
          <w:szCs w:val="19"/>
        </w:rPr>
        <w:t xml:space="preserve">Asset register with categories, locations and lifecycle events</w:t>
      </w:r>
    </w:p>
    <w:p>
      <w:pPr>
        <w:pStyle w:val="ListParagraph"/>
        <w:numPr>
          <w:ilvl w:val="0"/>
          <w:numId w:val="2"/>
        </w:numPr>
        <w:spacing w:after="20"/>
      </w:pPr>
      <w:r>
        <w:rPr>
          <w:rFonts w:ascii="Calibri" w:cs="Calibri" w:eastAsia="Calibri" w:hAnsi="Calibri"/>
          <w:color w:val="52525B"/>
          <w:sz w:val="19"/>
          <w:szCs w:val="19"/>
        </w:rPr>
        <w:t xml:space="preserve">Maintenance scheduling and history</w:t>
      </w:r>
    </w:p>
    <w:p>
      <w:pPr>
        <w:pStyle w:val="ListParagraph"/>
        <w:numPr>
          <w:ilvl w:val="0"/>
          <w:numId w:val="2"/>
        </w:numPr>
        <w:spacing w:after="20"/>
      </w:pPr>
      <w:r>
        <w:rPr>
          <w:rFonts w:ascii="Calibri" w:cs="Calibri" w:eastAsia="Calibri" w:hAnsi="Calibri"/>
          <w:color w:val="52525B"/>
          <w:sz w:val="19"/>
          <w:szCs w:val="19"/>
        </w:rPr>
        <w:t xml:space="preserve">Parts and supplies inventory with reorder rules</w:t>
      </w:r>
    </w:p>
    <w:p>
      <w:pPr>
        <w:pStyle w:val="ListParagraph"/>
        <w:numPr>
          <w:ilvl w:val="0"/>
          <w:numId w:val="2"/>
        </w:numPr>
        <w:spacing w:after="20"/>
      </w:pPr>
      <w:r>
        <w:rPr>
          <w:rFonts w:ascii="Calibri" w:cs="Calibri" w:eastAsia="Calibri" w:hAnsi="Calibri"/>
          <w:color w:val="52525B"/>
          <w:sz w:val="19"/>
          <w:szCs w:val="19"/>
        </w:rPr>
        <w:t xml:space="preserve">Vendor register and vendor SKUs</w:t>
      </w:r>
    </w:p>
    <w:p>
      <w:pPr>
        <w:pStyle w:val="ListParagraph"/>
        <w:numPr>
          <w:ilvl w:val="0"/>
          <w:numId w:val="2"/>
        </w:numPr>
        <w:spacing w:after="20"/>
      </w:pPr>
      <w:r>
        <w:rPr>
          <w:rFonts w:ascii="Calibri" w:cs="Calibri" w:eastAsia="Calibri" w:hAnsi="Calibri"/>
          <w:color w:val="52525B"/>
          <w:sz w:val="19"/>
          <w:szCs w:val="19"/>
        </w:rPr>
        <w:t xml:space="preserve">Purchase order raising and tracking</w:t>
      </w:r>
    </w:p>
    <w:p>
      <w:pPr>
        <w:pStyle w:val="ListParagraph"/>
        <w:numPr>
          <w:ilvl w:val="0"/>
          <w:numId w:val="2"/>
        </w:numPr>
        <w:spacing w:after="20"/>
      </w:pPr>
      <w:r>
        <w:rPr>
          <w:rFonts w:ascii="Calibri" w:cs="Calibri" w:eastAsia="Calibri" w:hAnsi="Calibri"/>
          <w:color w:val="52525B"/>
          <w:sz w:val="19"/>
          <w:szCs w:val="19"/>
        </w:rPr>
        <w:t xml:space="preserve">Vendor invoice capture and matching</w:t>
      </w:r>
    </w:p>
    <w:p>
      <w:pPr>
        <w:pStyle w:val="ListParagraph"/>
        <w:numPr>
          <w:ilvl w:val="0"/>
          <w:numId w:val="2"/>
        </w:numPr>
        <w:spacing w:after="20"/>
      </w:pPr>
      <w:r>
        <w:rPr>
          <w:rFonts w:ascii="Calibri" w:cs="Calibri" w:eastAsia="Calibri" w:hAnsi="Calibri"/>
          <w:color w:val="52525B"/>
          <w:sz w:val="19"/>
          <w:szCs w:val="19"/>
        </w:rPr>
        <w:t xml:space="preserve">Audit templates, schedules, runs and observations</w:t>
      </w:r>
    </w:p>
    <w:tbl>
      <w:tblPr>
        <w:tblW w:type="dxa" w:w="10080"/>
        <w:tblBorders>
          <w:top w:val="none" w:color="auto" w:sz="0"/>
          <w:left w:val="none" w:color="auto" w:sz="0"/>
          <w:bottom w:val="none" w:color="auto" w:sz="0"/>
          <w:right w:val="none" w:color="auto" w:sz="0"/>
          <w:insideH w:val="none" w:color="auto" w:sz="0"/>
          <w:insideV w:val="none" w:color="auto" w:sz="0"/>
        </w:tblBorders>
      </w:tblPr>
      <w:tblGrid>
        <w:gridCol w:w="7000"/>
        <w:gridCol w:w="1600"/>
        <w:gridCol w:w="1480"/>
      </w:tblGrid>
      <w:tr>
        <w:tc>
          <w:tcPr>
            <w:tcW w:type="dxa" w:w="7000"/>
            <w:tcBorders>
              <w:top w:val="none" w:color="auto" w:sz="0"/>
              <w:left w:val="none" w:color="auto" w:sz="0"/>
              <w:bottom w:val="none" w:color="auto" w:sz="0"/>
              <w:right w:val="none" w:color="auto" w:sz="0"/>
            </w:tcBorders>
            <w:tcMar>
              <w:top w:type="dxa" w:w="60"/>
              <w:left w:type="dxa" w:w="0"/>
              <w:bottom w:type="dxa" w:w="40"/>
            </w:tcMar>
          </w:tcPr>
          <w:p>
            <w:r>
              <w:rPr>
                <w:rFonts w:ascii="Calibri" w:cs="Calibri" w:eastAsia="Calibri" w:hAnsi="Calibri"/>
                <w:b/>
                <w:bCs/>
                <w:color w:val="18181B"/>
                <w:sz w:val="22"/>
                <w:szCs w:val="22"/>
              </w:rPr>
              <w:t xml:space="preserve">Advanced Billing</w:t>
            </w:r>
          </w:p>
        </w:tc>
        <w:tc>
          <w:tcPr>
            <w:tcW w:type="dxa" w:w="1600"/>
            <w:tcBorders>
              <w:top w:val="none" w:color="auto" w:sz="0"/>
              <w:left w:val="none" w:color="auto" w:sz="0"/>
              <w:bottom w:val="none" w:color="auto" w:sz="0"/>
              <w:right w:val="none" w:color="auto" w:sz="0"/>
            </w:tcBorders>
            <w:tcMar>
              <w:top w:type="dxa" w:w="60"/>
              <w:bottom w:type="dxa" w:w="40"/>
            </w:tcMar>
          </w:tcPr>
          <w:p>
            <w:pPr>
              <w:jc w:val="right"/>
            </w:pPr>
            <w:r>
              <w:rPr>
                <w:rFonts w:ascii="Consolas" w:cs="Consolas" w:eastAsia="Consolas" w:hAnsi="Consolas"/>
                <w:color w:val="A1A1AA"/>
                <w:sz w:val="17"/>
                <w:szCs w:val="17"/>
              </w:rPr>
              <w:t xml:space="preserve">55 days</w:t>
            </w:r>
          </w:p>
        </w:tc>
        <w:tc>
          <w:tcPr>
            <w:tcW w:type="dxa" w:w="1480"/>
            <w:tcBorders>
              <w:top w:val="none" w:color="auto" w:sz="0"/>
              <w:left w:val="none" w:color="auto" w:sz="0"/>
              <w:bottom w:val="none" w:color="auto" w:sz="0"/>
              <w:right w:val="none" w:color="auto" w:sz="0"/>
            </w:tcBorders>
            <w:tcMar>
              <w:top w:type="dxa" w:w="60"/>
              <w:bottom w:type="dxa" w:w="40"/>
              <w:right w:type="dxa" w:w="0"/>
            </w:tcMar>
          </w:tcPr>
          <w:p>
            <w:pPr>
              <w:jc w:val="right"/>
            </w:pPr>
            <w:r>
              <w:rPr>
                <w:rFonts w:ascii="Consolas" w:cs="Consolas" w:eastAsia="Consolas" w:hAnsi="Consolas"/>
                <w:b/>
                <w:bCs/>
                <w:color w:val="9A3412"/>
                <w:sz w:val="18"/>
                <w:szCs w:val="18"/>
              </w:rPr>
              <w:t xml:space="preserve">$11,000</w:t>
            </w:r>
          </w:p>
        </w:tc>
      </w:tr>
    </w:tbl>
    <w:p>
      <w:pPr>
        <w:pStyle w:val="ListParagraph"/>
        <w:numPr>
          <w:ilvl w:val="0"/>
          <w:numId w:val="2"/>
        </w:numPr>
        <w:spacing w:after="20"/>
      </w:pPr>
      <w:r>
        <w:rPr>
          <w:rFonts w:ascii="Calibri" w:cs="Calibri" w:eastAsia="Calibri" w:hAnsi="Calibri"/>
          <w:color w:val="52525B"/>
          <w:sz w:val="19"/>
          <w:szCs w:val="19"/>
        </w:rPr>
        <w:t xml:space="preserve">Recurring invoices</w:t>
      </w:r>
    </w:p>
    <w:p>
      <w:pPr>
        <w:pStyle w:val="ListParagraph"/>
        <w:numPr>
          <w:ilvl w:val="0"/>
          <w:numId w:val="2"/>
        </w:numPr>
        <w:spacing w:after="20"/>
      </w:pPr>
      <w:r>
        <w:rPr>
          <w:rFonts w:ascii="Calibri" w:cs="Calibri" w:eastAsia="Calibri" w:hAnsi="Calibri"/>
          <w:color w:val="52525B"/>
          <w:sz w:val="19"/>
          <w:szCs w:val="19"/>
        </w:rPr>
        <w:t xml:space="preserve">Customer statements and scheduled statement delivery</w:t>
      </w:r>
    </w:p>
    <w:p>
      <w:pPr>
        <w:pStyle w:val="ListParagraph"/>
        <w:numPr>
          <w:ilvl w:val="0"/>
          <w:numId w:val="2"/>
        </w:numPr>
        <w:spacing w:after="20"/>
      </w:pPr>
      <w:r>
        <w:rPr>
          <w:rFonts w:ascii="Calibri" w:cs="Calibri" w:eastAsia="Calibri" w:hAnsi="Calibri"/>
          <w:color w:val="52525B"/>
          <w:sz w:val="19"/>
          <w:szCs w:val="19"/>
        </w:rPr>
        <w:t xml:space="preserve">Combined invoices across multiple inspections</w:t>
      </w:r>
    </w:p>
    <w:p>
      <w:pPr>
        <w:pStyle w:val="ListParagraph"/>
        <w:numPr>
          <w:ilvl w:val="0"/>
          <w:numId w:val="2"/>
        </w:numPr>
        <w:spacing w:after="20"/>
      </w:pPr>
      <w:r>
        <w:rPr>
          <w:rFonts w:ascii="Calibri" w:cs="Calibri" w:eastAsia="Calibri" w:hAnsi="Calibri"/>
          <w:color w:val="52525B"/>
          <w:sz w:val="19"/>
          <w:szCs w:val="19"/>
        </w:rPr>
        <w:t xml:space="preserve">Inspector commission calculation and reporting</w:t>
      </w:r>
    </w:p>
    <w:p>
      <w:pPr>
        <w:pStyle w:val="ListParagraph"/>
        <w:numPr>
          <w:ilvl w:val="0"/>
          <w:numId w:val="2"/>
        </w:numPr>
        <w:spacing w:after="20"/>
      </w:pPr>
      <w:r>
        <w:rPr>
          <w:rFonts w:ascii="Calibri" w:cs="Calibri" w:eastAsia="Calibri" w:hAnsi="Calibri"/>
          <w:color w:val="52525B"/>
          <w:sz w:val="19"/>
          <w:szCs w:val="19"/>
        </w:rPr>
        <w:t xml:space="preserve">Payment gateway integration for card payment</w:t>
      </w:r>
    </w:p>
    <w:p>
      <w:pPr>
        <w:pStyle w:val="ListParagraph"/>
        <w:numPr>
          <w:ilvl w:val="0"/>
          <w:numId w:val="2"/>
        </w:numPr>
        <w:spacing w:after="20"/>
      </w:pPr>
      <w:r>
        <w:rPr>
          <w:rFonts w:ascii="Calibri" w:cs="Calibri" w:eastAsia="Calibri" w:hAnsi="Calibri"/>
          <w:color w:val="52525B"/>
          <w:sz w:val="19"/>
          <w:szCs w:val="19"/>
        </w:rPr>
        <w:t xml:space="preserve">Finance fee automation</w:t>
      </w:r>
    </w:p>
    <w:tbl>
      <w:tblPr>
        <w:tblW w:type="dxa" w:w="10080"/>
        <w:tblBorders>
          <w:top w:val="none" w:color="auto" w:sz="0"/>
          <w:left w:val="none" w:color="auto" w:sz="0"/>
          <w:bottom w:val="none" w:color="auto" w:sz="0"/>
          <w:right w:val="none" w:color="auto" w:sz="0"/>
          <w:insideH w:val="none" w:color="auto" w:sz="0"/>
          <w:insideV w:val="none" w:color="auto" w:sz="0"/>
        </w:tblBorders>
      </w:tblPr>
      <w:tblGrid>
        <w:gridCol w:w="7000"/>
        <w:gridCol w:w="1600"/>
        <w:gridCol w:w="1480"/>
      </w:tblGrid>
      <w:tr>
        <w:tc>
          <w:tcPr>
            <w:tcW w:type="dxa" w:w="7000"/>
            <w:tcBorders>
              <w:top w:val="none" w:color="auto" w:sz="0"/>
              <w:left w:val="none" w:color="auto" w:sz="0"/>
              <w:bottom w:val="none" w:color="auto" w:sz="0"/>
              <w:right w:val="none" w:color="auto" w:sz="0"/>
            </w:tcBorders>
            <w:tcMar>
              <w:top w:type="dxa" w:w="60"/>
              <w:left w:type="dxa" w:w="0"/>
              <w:bottom w:type="dxa" w:w="40"/>
            </w:tcMar>
          </w:tcPr>
          <w:p>
            <w:r>
              <w:rPr>
                <w:rFonts w:ascii="Calibri" w:cs="Calibri" w:eastAsia="Calibri" w:hAnsi="Calibri"/>
                <w:b/>
                <w:bCs/>
                <w:color w:val="18181B"/>
                <w:sz w:val="22"/>
                <w:szCs w:val="22"/>
              </w:rPr>
              <w:t xml:space="preserve">QMS &amp; Safety Data Sheets</w:t>
            </w:r>
          </w:p>
        </w:tc>
        <w:tc>
          <w:tcPr>
            <w:tcW w:type="dxa" w:w="1600"/>
            <w:tcBorders>
              <w:top w:val="none" w:color="auto" w:sz="0"/>
              <w:left w:val="none" w:color="auto" w:sz="0"/>
              <w:bottom w:val="none" w:color="auto" w:sz="0"/>
              <w:right w:val="none" w:color="auto" w:sz="0"/>
            </w:tcBorders>
            <w:tcMar>
              <w:top w:type="dxa" w:w="60"/>
              <w:bottom w:type="dxa" w:w="40"/>
            </w:tcMar>
          </w:tcPr>
          <w:p>
            <w:pPr>
              <w:jc w:val="right"/>
            </w:pPr>
            <w:r>
              <w:rPr>
                <w:rFonts w:ascii="Consolas" w:cs="Consolas" w:eastAsia="Consolas" w:hAnsi="Consolas"/>
                <w:color w:val="A1A1AA"/>
                <w:sz w:val="17"/>
                <w:szCs w:val="17"/>
              </w:rPr>
              <w:t xml:space="preserve">32 days</w:t>
            </w:r>
          </w:p>
        </w:tc>
        <w:tc>
          <w:tcPr>
            <w:tcW w:type="dxa" w:w="1480"/>
            <w:tcBorders>
              <w:top w:val="none" w:color="auto" w:sz="0"/>
              <w:left w:val="none" w:color="auto" w:sz="0"/>
              <w:bottom w:val="none" w:color="auto" w:sz="0"/>
              <w:right w:val="none" w:color="auto" w:sz="0"/>
            </w:tcBorders>
            <w:tcMar>
              <w:top w:type="dxa" w:w="60"/>
              <w:bottom w:type="dxa" w:w="40"/>
              <w:right w:type="dxa" w:w="0"/>
            </w:tcMar>
          </w:tcPr>
          <w:p>
            <w:pPr>
              <w:jc w:val="right"/>
            </w:pPr>
            <w:r>
              <w:rPr>
                <w:rFonts w:ascii="Consolas" w:cs="Consolas" w:eastAsia="Consolas" w:hAnsi="Consolas"/>
                <w:b/>
                <w:bCs/>
                <w:color w:val="9A3412"/>
                <w:sz w:val="18"/>
                <w:szCs w:val="18"/>
              </w:rPr>
              <w:t xml:space="preserve">$6,400</w:t>
            </w:r>
          </w:p>
        </w:tc>
      </w:tr>
    </w:tbl>
    <w:p>
      <w:pPr>
        <w:pStyle w:val="ListParagraph"/>
        <w:numPr>
          <w:ilvl w:val="0"/>
          <w:numId w:val="2"/>
        </w:numPr>
        <w:spacing w:after="20"/>
      </w:pPr>
      <w:r>
        <w:rPr>
          <w:rFonts w:ascii="Calibri" w:cs="Calibri" w:eastAsia="Calibri" w:hAnsi="Calibri"/>
          <w:color w:val="52525B"/>
          <w:sz w:val="19"/>
          <w:szCs w:val="19"/>
        </w:rPr>
        <w:t xml:space="preserve">Corrective and preventive action reports tied to inspections and employees</w:t>
      </w:r>
    </w:p>
    <w:p>
      <w:pPr>
        <w:pStyle w:val="ListParagraph"/>
        <w:numPr>
          <w:ilvl w:val="0"/>
          <w:numId w:val="2"/>
        </w:numPr>
        <w:spacing w:after="20"/>
      </w:pPr>
      <w:r>
        <w:rPr>
          <w:rFonts w:ascii="Calibri" w:cs="Calibri" w:eastAsia="Calibri" w:hAnsi="Calibri"/>
          <w:color w:val="52525B"/>
          <w:sz w:val="19"/>
          <w:szCs w:val="19"/>
        </w:rPr>
        <w:t xml:space="preserve">Risk level, warning stage and follow-up tracking</w:t>
      </w:r>
    </w:p>
    <w:p>
      <w:pPr>
        <w:pStyle w:val="ListParagraph"/>
        <w:numPr>
          <w:ilvl w:val="0"/>
          <w:numId w:val="2"/>
        </w:numPr>
        <w:spacing w:after="20"/>
      </w:pPr>
      <w:r>
        <w:rPr>
          <w:rFonts w:ascii="Calibri" w:cs="Calibri" w:eastAsia="Calibri" w:hAnsi="Calibri"/>
          <w:color w:val="52525B"/>
          <w:sz w:val="19"/>
          <w:szCs w:val="19"/>
        </w:rPr>
        <w:t xml:space="preserve">Supplier register</w:t>
      </w:r>
    </w:p>
    <w:p>
      <w:pPr>
        <w:pStyle w:val="ListParagraph"/>
        <w:numPr>
          <w:ilvl w:val="0"/>
          <w:numId w:val="2"/>
        </w:numPr>
        <w:spacing w:after="20"/>
      </w:pPr>
      <w:r>
        <w:rPr>
          <w:rFonts w:ascii="Calibri" w:cs="Calibri" w:eastAsia="Calibri" w:hAnsi="Calibri"/>
          <w:color w:val="52525B"/>
          <w:sz w:val="19"/>
          <w:szCs w:val="19"/>
        </w:rPr>
        <w:t xml:space="preserve">Safety data sheet library with supplier links</w:t>
      </w:r>
    </w:p>
    <w:p>
      <w:pPr>
        <w:pStyle w:val="ListParagraph"/>
        <w:numPr>
          <w:ilvl w:val="0"/>
          <w:numId w:val="2"/>
        </w:numPr>
        <w:spacing w:after="20"/>
      </w:pPr>
      <w:r>
        <w:rPr>
          <w:rFonts w:ascii="Calibri" w:cs="Calibri" w:eastAsia="Calibri" w:hAnsi="Calibri"/>
          <w:color w:val="52525B"/>
          <w:sz w:val="19"/>
          <w:szCs w:val="19"/>
        </w:rPr>
        <w:t xml:space="preserve">Controlled document handling</w:t>
      </w:r>
    </w:p>
    <w:tbl>
      <w:tblPr>
        <w:tblW w:type="dxa" w:w="10080"/>
        <w:tblBorders>
          <w:top w:val="none" w:color="auto" w:sz="0"/>
          <w:left w:val="none" w:color="auto" w:sz="0"/>
          <w:bottom w:val="none" w:color="auto" w:sz="0"/>
          <w:right w:val="none" w:color="auto" w:sz="0"/>
          <w:insideH w:val="none" w:color="auto" w:sz="0"/>
          <w:insideV w:val="none" w:color="auto" w:sz="0"/>
        </w:tblBorders>
      </w:tblPr>
      <w:tblGrid>
        <w:gridCol w:w="7000"/>
        <w:gridCol w:w="1600"/>
        <w:gridCol w:w="1480"/>
      </w:tblGrid>
      <w:tr>
        <w:tc>
          <w:tcPr>
            <w:tcW w:type="dxa" w:w="7000"/>
            <w:tcBorders>
              <w:top w:val="none" w:color="auto" w:sz="0"/>
              <w:left w:val="none" w:color="auto" w:sz="0"/>
              <w:bottom w:val="none" w:color="auto" w:sz="0"/>
              <w:right w:val="none" w:color="auto" w:sz="0"/>
            </w:tcBorders>
            <w:tcMar>
              <w:top w:type="dxa" w:w="60"/>
              <w:left w:type="dxa" w:w="0"/>
              <w:bottom w:type="dxa" w:w="40"/>
            </w:tcMar>
          </w:tcPr>
          <w:p>
            <w:r>
              <w:rPr>
                <w:rFonts w:ascii="Calibri" w:cs="Calibri" w:eastAsia="Calibri" w:hAnsi="Calibri"/>
                <w:b/>
                <w:bCs/>
                <w:color w:val="18181B"/>
                <w:sz w:val="22"/>
                <w:szCs w:val="22"/>
              </w:rPr>
              <w:t xml:space="preserve">Standards Content Encoding</w:t>
            </w:r>
          </w:p>
        </w:tc>
        <w:tc>
          <w:tcPr>
            <w:tcW w:type="dxa" w:w="1600"/>
            <w:tcBorders>
              <w:top w:val="none" w:color="auto" w:sz="0"/>
              <w:left w:val="none" w:color="auto" w:sz="0"/>
              <w:bottom w:val="none" w:color="auto" w:sz="0"/>
              <w:right w:val="none" w:color="auto" w:sz="0"/>
            </w:tcBorders>
            <w:tcMar>
              <w:top w:type="dxa" w:w="60"/>
              <w:bottom w:type="dxa" w:w="40"/>
            </w:tcMar>
          </w:tcPr>
          <w:p>
            <w:pPr>
              <w:jc w:val="right"/>
            </w:pPr>
            <w:r>
              <w:rPr>
                <w:rFonts w:ascii="Consolas" w:cs="Consolas" w:eastAsia="Consolas" w:hAnsi="Consolas"/>
                <w:color w:val="A1A1AA"/>
                <w:sz w:val="17"/>
                <w:szCs w:val="17"/>
              </w:rPr>
              <w:t xml:space="preserve">30 days</w:t>
            </w:r>
          </w:p>
        </w:tc>
        <w:tc>
          <w:tcPr>
            <w:tcW w:type="dxa" w:w="1480"/>
            <w:tcBorders>
              <w:top w:val="none" w:color="auto" w:sz="0"/>
              <w:left w:val="none" w:color="auto" w:sz="0"/>
              <w:bottom w:val="none" w:color="auto" w:sz="0"/>
              <w:right w:val="none" w:color="auto" w:sz="0"/>
            </w:tcBorders>
            <w:tcMar>
              <w:top w:type="dxa" w:w="60"/>
              <w:bottom w:type="dxa" w:w="40"/>
              <w:right w:type="dxa" w:w="0"/>
            </w:tcMar>
          </w:tcPr>
          <w:p>
            <w:pPr>
              <w:jc w:val="right"/>
            </w:pPr>
            <w:r>
              <w:rPr>
                <w:rFonts w:ascii="Consolas" w:cs="Consolas" w:eastAsia="Consolas" w:hAnsi="Consolas"/>
                <w:b/>
                <w:bCs/>
                <w:color w:val="9A3412"/>
                <w:sz w:val="18"/>
                <w:szCs w:val="18"/>
              </w:rPr>
              <w:t xml:space="preserve">$6,000</w:t>
            </w:r>
          </w:p>
        </w:tc>
      </w:tr>
    </w:tbl>
    <w:p>
      <w:pPr>
        <w:pStyle w:val="ListParagraph"/>
        <w:numPr>
          <w:ilvl w:val="0"/>
          <w:numId w:val="2"/>
        </w:numPr>
        <w:spacing w:after="20"/>
      </w:pPr>
      <w:r>
        <w:rPr>
          <w:rFonts w:ascii="Calibri" w:cs="Calibri" w:eastAsia="Calibri" w:hAnsi="Calibri"/>
          <w:color w:val="52525B"/>
          <w:sz w:val="19"/>
          <w:szCs w:val="19"/>
        </w:rPr>
        <w:t xml:space="preserve">Encoding of acceptance criteria from the standards Zion supplies</w:t>
      </w:r>
    </w:p>
    <w:p>
      <w:pPr>
        <w:pStyle w:val="ListParagraph"/>
        <w:numPr>
          <w:ilvl w:val="0"/>
          <w:numId w:val="2"/>
        </w:numPr>
        <w:spacing w:after="20"/>
      </w:pPr>
      <w:r>
        <w:rPr>
          <w:rFonts w:ascii="Calibri" w:cs="Calibri" w:eastAsia="Calibri" w:hAnsi="Calibri"/>
          <w:color w:val="52525B"/>
          <w:sz w:val="19"/>
          <w:szCs w:val="19"/>
        </w:rPr>
        <w:t xml:space="preserve">Priority set: API RP 7G-2, API RP 8B, API RP 4G with API Spec 4F, AWS D1.1</w:t>
      </w:r>
    </w:p>
    <w:p>
      <w:pPr>
        <w:pStyle w:val="ListParagraph"/>
        <w:numPr>
          <w:ilvl w:val="0"/>
          <w:numId w:val="2"/>
        </w:numPr>
        <w:spacing w:after="20"/>
      </w:pPr>
      <w:r>
        <w:rPr>
          <w:rFonts w:ascii="Calibri" w:cs="Calibri" w:eastAsia="Calibri" w:hAnsi="Calibri"/>
          <w:color w:val="52525B"/>
          <w:sz w:val="19"/>
          <w:szCs w:val="19"/>
        </w:rPr>
        <w:t xml:space="preserve">Mapping of criteria to asset classes, methods and techniques</w:t>
      </w:r>
    </w:p>
    <w:p>
      <w:pPr>
        <w:pStyle w:val="ListParagraph"/>
        <w:numPr>
          <w:ilvl w:val="0"/>
          <w:numId w:val="2"/>
        </w:numPr>
        <w:spacing w:after="20"/>
      </w:pPr>
      <w:r>
        <w:rPr>
          <w:rFonts w:ascii="Calibri" w:cs="Calibri" w:eastAsia="Calibri" w:hAnsi="Calibri"/>
          <w:color w:val="52525B"/>
          <w:sz w:val="19"/>
          <w:szCs w:val="19"/>
        </w:rPr>
        <w:t xml:space="preserve">Zion supplies licensed standards documents and validates the encoded criteria</w:t>
      </w:r>
    </w:p>
    <w:tbl>
      <w:tblPr>
        <w:tblW w:type="dxa" w:w="10080"/>
        <w:tblBorders>
          <w:top w:val="none" w:color="auto" w:sz="0"/>
          <w:left w:val="none" w:color="auto" w:sz="0"/>
          <w:bottom w:val="none" w:color="auto" w:sz="0"/>
          <w:right w:val="none" w:color="auto" w:sz="0"/>
          <w:insideH w:val="none" w:color="auto" w:sz="0"/>
          <w:insideV w:val="none" w:color="auto" w:sz="0"/>
        </w:tblBorders>
      </w:tblPr>
      <w:tblGrid>
        <w:gridCol w:w="7000"/>
        <w:gridCol w:w="1600"/>
        <w:gridCol w:w="1480"/>
      </w:tblGrid>
      <w:tr>
        <w:tc>
          <w:tcPr>
            <w:tcW w:type="dxa" w:w="7000"/>
            <w:tcBorders>
              <w:top w:val="none" w:color="auto" w:sz="0"/>
              <w:left w:val="none" w:color="auto" w:sz="0"/>
              <w:bottom w:val="none" w:color="auto" w:sz="0"/>
              <w:right w:val="none" w:color="auto" w:sz="0"/>
            </w:tcBorders>
            <w:tcMar>
              <w:top w:type="dxa" w:w="60"/>
              <w:left w:type="dxa" w:w="0"/>
              <w:bottom w:type="dxa" w:w="40"/>
            </w:tcMar>
          </w:tcPr>
          <w:p>
            <w:r>
              <w:rPr>
                <w:rFonts w:ascii="Calibri" w:cs="Calibri" w:eastAsia="Calibri" w:hAnsi="Calibri"/>
                <w:b/>
                <w:bCs/>
                <w:color w:val="18181B"/>
                <w:sz w:val="22"/>
                <w:szCs w:val="22"/>
              </w:rPr>
              <w:t xml:space="preserve">Full Historical Data Migration</w:t>
            </w:r>
          </w:p>
        </w:tc>
        <w:tc>
          <w:tcPr>
            <w:tcW w:type="dxa" w:w="1600"/>
            <w:tcBorders>
              <w:top w:val="none" w:color="auto" w:sz="0"/>
              <w:left w:val="none" w:color="auto" w:sz="0"/>
              <w:bottom w:val="none" w:color="auto" w:sz="0"/>
              <w:right w:val="none" w:color="auto" w:sz="0"/>
            </w:tcBorders>
            <w:tcMar>
              <w:top w:type="dxa" w:w="60"/>
              <w:bottom w:type="dxa" w:w="40"/>
            </w:tcMar>
          </w:tcPr>
          <w:p>
            <w:pPr>
              <w:jc w:val="right"/>
            </w:pPr>
            <w:r>
              <w:rPr>
                <w:rFonts w:ascii="Consolas" w:cs="Consolas" w:eastAsia="Consolas" w:hAnsi="Consolas"/>
                <w:color w:val="A1A1AA"/>
                <w:sz w:val="17"/>
                <w:szCs w:val="17"/>
              </w:rPr>
              <w:t xml:space="preserve">38 days</w:t>
            </w:r>
          </w:p>
        </w:tc>
        <w:tc>
          <w:tcPr>
            <w:tcW w:type="dxa" w:w="1480"/>
            <w:tcBorders>
              <w:top w:val="none" w:color="auto" w:sz="0"/>
              <w:left w:val="none" w:color="auto" w:sz="0"/>
              <w:bottom w:val="none" w:color="auto" w:sz="0"/>
              <w:right w:val="none" w:color="auto" w:sz="0"/>
            </w:tcBorders>
            <w:tcMar>
              <w:top w:type="dxa" w:w="60"/>
              <w:bottom w:type="dxa" w:w="40"/>
              <w:right w:type="dxa" w:w="0"/>
            </w:tcMar>
          </w:tcPr>
          <w:p>
            <w:pPr>
              <w:jc w:val="right"/>
            </w:pPr>
            <w:r>
              <w:rPr>
                <w:rFonts w:ascii="Consolas" w:cs="Consolas" w:eastAsia="Consolas" w:hAnsi="Consolas"/>
                <w:b/>
                <w:bCs/>
                <w:color w:val="9A3412"/>
                <w:sz w:val="18"/>
                <w:szCs w:val="18"/>
              </w:rPr>
              <w:t xml:space="preserve">$7,600</w:t>
            </w:r>
          </w:p>
        </w:tc>
      </w:tr>
    </w:tbl>
    <w:p>
      <w:pPr>
        <w:pStyle w:val="ListParagraph"/>
        <w:numPr>
          <w:ilvl w:val="0"/>
          <w:numId w:val="2"/>
        </w:numPr>
        <w:spacing w:after="20"/>
      </w:pPr>
      <w:r>
        <w:rPr>
          <w:rFonts w:ascii="Calibri" w:cs="Calibri" w:eastAsia="Calibri" w:hAnsi="Calibri"/>
          <w:color w:val="52525B"/>
          <w:sz w:val="19"/>
          <w:szCs w:val="19"/>
        </w:rPr>
        <w:t xml:space="preserve">Complete five-year history transformed into the new model rather than archived</w:t>
      </w:r>
    </w:p>
    <w:p>
      <w:pPr>
        <w:pStyle w:val="ListParagraph"/>
        <w:numPr>
          <w:ilvl w:val="0"/>
          <w:numId w:val="2"/>
        </w:numPr>
        <w:spacing w:after="20"/>
      </w:pPr>
      <w:r>
        <w:rPr>
          <w:rFonts w:ascii="Calibri" w:cs="Calibri" w:eastAsia="Calibri" w:hAnsi="Calibri"/>
          <w:color w:val="52525B"/>
          <w:sz w:val="19"/>
          <w:szCs w:val="19"/>
        </w:rPr>
        <w:t xml:space="preserve">Historical inspections, items, connections and measurements</w:t>
      </w:r>
    </w:p>
    <w:p>
      <w:pPr>
        <w:pStyle w:val="ListParagraph"/>
        <w:numPr>
          <w:ilvl w:val="0"/>
          <w:numId w:val="2"/>
        </w:numPr>
        <w:spacing w:after="20"/>
      </w:pPr>
      <w:r>
        <w:rPr>
          <w:rFonts w:ascii="Calibri" w:cs="Calibri" w:eastAsia="Calibri" w:hAnsi="Calibri"/>
          <w:color w:val="52525B"/>
          <w:sz w:val="19"/>
          <w:szCs w:val="19"/>
        </w:rPr>
        <w:t xml:space="preserve">Historical invoices, line items and payments</w:t>
      </w:r>
    </w:p>
    <w:p>
      <w:pPr>
        <w:pStyle w:val="ListParagraph"/>
        <w:numPr>
          <w:ilvl w:val="0"/>
          <w:numId w:val="2"/>
        </w:numPr>
        <w:spacing w:after="20"/>
      </w:pPr>
      <w:r>
        <w:rPr>
          <w:rFonts w:ascii="Calibri" w:cs="Calibri" w:eastAsia="Calibri" w:hAnsi="Calibri"/>
          <w:color w:val="52525B"/>
          <w:sz w:val="19"/>
          <w:szCs w:val="19"/>
        </w:rPr>
        <w:t xml:space="preserve">Historical attachments and evidence</w:t>
      </w:r>
    </w:p>
    <w:p>
      <w:pPr>
        <w:pStyle w:val="ListParagraph"/>
        <w:numPr>
          <w:ilvl w:val="0"/>
          <w:numId w:val="2"/>
        </w:numPr>
        <w:spacing w:after="20"/>
      </w:pPr>
      <w:r>
        <w:rPr>
          <w:rFonts w:ascii="Calibri" w:cs="Calibri" w:eastAsia="Calibri" w:hAnsi="Calibri"/>
          <w:color w:val="52525B"/>
          <w:sz w:val="19"/>
          <w:szCs w:val="19"/>
        </w:rPr>
        <w:t xml:space="preserve">Full reconciliation reporting</w:t>
      </w:r>
    </w:p>
    <w:tbl>
      <w:tblPr>
        <w:tblW w:type="dxa" w:w="10080"/>
        <w:tblBorders>
          <w:top w:val="none" w:color="auto" w:sz="0"/>
          <w:left w:val="none" w:color="auto" w:sz="0"/>
          <w:bottom w:val="none" w:color="auto" w:sz="0"/>
          <w:right w:val="none" w:color="auto" w:sz="0"/>
          <w:insideH w:val="none" w:color="auto" w:sz="0"/>
          <w:insideV w:val="none" w:color="auto" w:sz="0"/>
        </w:tblBorders>
      </w:tblPr>
      <w:tblGrid>
        <w:gridCol w:w="7000"/>
        <w:gridCol w:w="1600"/>
        <w:gridCol w:w="1480"/>
      </w:tblGrid>
      <w:tr>
        <w:tc>
          <w:tcPr>
            <w:tcW w:type="dxa" w:w="7000"/>
            <w:tcBorders>
              <w:top w:val="none" w:color="auto" w:sz="0"/>
              <w:left w:val="none" w:color="auto" w:sz="0"/>
              <w:bottom w:val="none" w:color="auto" w:sz="0"/>
              <w:right w:val="none" w:color="auto" w:sz="0"/>
            </w:tcBorders>
            <w:tcMar>
              <w:top w:type="dxa" w:w="60"/>
              <w:left w:type="dxa" w:w="0"/>
              <w:bottom w:type="dxa" w:w="40"/>
            </w:tcMar>
          </w:tcPr>
          <w:p>
            <w:r>
              <w:rPr>
                <w:rFonts w:ascii="Calibri" w:cs="Calibri" w:eastAsia="Calibri" w:hAnsi="Calibri"/>
                <w:b/>
                <w:bCs/>
                <w:color w:val="18181B"/>
                <w:sz w:val="22"/>
                <w:szCs w:val="22"/>
              </w:rPr>
              <w:t xml:space="preserve">Zion Intelligence — AI Layer</w:t>
            </w:r>
          </w:p>
        </w:tc>
        <w:tc>
          <w:tcPr>
            <w:tcW w:type="dxa" w:w="1600"/>
            <w:tcBorders>
              <w:top w:val="none" w:color="auto" w:sz="0"/>
              <w:left w:val="none" w:color="auto" w:sz="0"/>
              <w:bottom w:val="none" w:color="auto" w:sz="0"/>
              <w:right w:val="none" w:color="auto" w:sz="0"/>
            </w:tcBorders>
            <w:tcMar>
              <w:top w:type="dxa" w:w="60"/>
              <w:bottom w:type="dxa" w:w="40"/>
            </w:tcMar>
          </w:tcPr>
          <w:p>
            <w:pPr>
              <w:jc w:val="right"/>
            </w:pPr>
            <w:r>
              <w:rPr>
                <w:rFonts w:ascii="Consolas" w:cs="Consolas" w:eastAsia="Consolas" w:hAnsi="Consolas"/>
                <w:color w:val="A1A1AA"/>
                <w:sz w:val="17"/>
                <w:szCs w:val="17"/>
              </w:rPr>
              <w:t xml:space="preserve">To be scoped</w:t>
            </w:r>
          </w:p>
        </w:tc>
        <w:tc>
          <w:tcPr>
            <w:tcW w:type="dxa" w:w="1480"/>
            <w:tcBorders>
              <w:top w:val="none" w:color="auto" w:sz="0"/>
              <w:left w:val="none" w:color="auto" w:sz="0"/>
              <w:bottom w:val="none" w:color="auto" w:sz="0"/>
              <w:right w:val="none" w:color="auto" w:sz="0"/>
            </w:tcBorders>
            <w:tcMar>
              <w:top w:type="dxa" w:w="60"/>
              <w:bottom w:type="dxa" w:w="40"/>
              <w:right w:type="dxa" w:w="0"/>
            </w:tcMar>
          </w:tcPr>
          <w:p>
            <w:pPr>
              <w:jc w:val="right"/>
            </w:pPr>
            <w:r>
              <w:rPr>
                <w:rFonts w:ascii="Consolas" w:cs="Consolas" w:eastAsia="Consolas" w:hAnsi="Consolas"/>
                <w:b/>
                <w:bCs/>
                <w:color w:val="9A3412"/>
                <w:sz w:val="18"/>
                <w:szCs w:val="18"/>
              </w:rPr>
              <w:t xml:space="preserve">Phase 2</w:t>
            </w:r>
          </w:p>
        </w:tc>
      </w:tr>
    </w:tbl>
    <w:p>
      <w:pPr>
        <w:pStyle w:val="ListParagraph"/>
        <w:numPr>
          <w:ilvl w:val="0"/>
          <w:numId w:val="2"/>
        </w:numPr>
        <w:spacing w:after="20"/>
      </w:pPr>
      <w:r>
        <w:rPr>
          <w:rFonts w:ascii="Calibri" w:cs="Calibri" w:eastAsia="Calibri" w:hAnsi="Calibri"/>
          <w:color w:val="52525B"/>
          <w:sz w:val="19"/>
          <w:szCs w:val="19"/>
        </w:rPr>
        <w:t xml:space="preserve">Automatic inspection package generation — job type determines assets, standards, procedures, methods, equipment and specifications</w:t>
      </w:r>
    </w:p>
    <w:p>
      <w:pPr>
        <w:pStyle w:val="ListParagraph"/>
        <w:numPr>
          <w:ilvl w:val="0"/>
          <w:numId w:val="2"/>
        </w:numPr>
        <w:spacing w:after="20"/>
      </w:pPr>
      <w:r>
        <w:rPr>
          <w:rFonts w:ascii="Calibri" w:cs="Calibri" w:eastAsia="Calibri" w:hAnsi="Calibri"/>
          <w:color w:val="52525B"/>
          <w:sz w:val="19"/>
          <w:szCs w:val="19"/>
        </w:rPr>
        <w:t xml:space="preserve">Pre-job checklist generated from the inspection package</w:t>
      </w:r>
    </w:p>
    <w:p>
      <w:pPr>
        <w:pStyle w:val="ListParagraph"/>
        <w:numPr>
          <w:ilvl w:val="0"/>
          <w:numId w:val="2"/>
        </w:numPr>
        <w:spacing w:after="20"/>
      </w:pPr>
      <w:r>
        <w:rPr>
          <w:rFonts w:ascii="Calibri" w:cs="Calibri" w:eastAsia="Calibri" w:hAnsi="Calibri"/>
          <w:color w:val="52525B"/>
          <w:sz w:val="19"/>
          <w:szCs w:val="19"/>
        </w:rPr>
        <w:t xml:space="preserve">AI-assisted report generation and certificate of compliance</w:t>
      </w:r>
    </w:p>
    <w:p>
      <w:pPr>
        <w:pStyle w:val="ListParagraph"/>
        <w:numPr>
          <w:ilvl w:val="0"/>
          <w:numId w:val="2"/>
        </w:numPr>
        <w:spacing w:after="20"/>
      </w:pPr>
      <w:r>
        <w:rPr>
          <w:rFonts w:ascii="Calibri" w:cs="Calibri" w:eastAsia="Calibri" w:hAnsi="Calibri"/>
          <w:color w:val="52525B"/>
          <w:sz w:val="19"/>
          <w:szCs w:val="19"/>
        </w:rPr>
        <w:t xml:space="preserve">AI quality control of completed reports against the applicable rules</w:t>
      </w:r>
    </w:p>
    <w:p>
      <w:pPr>
        <w:pStyle w:val="ListParagraph"/>
        <w:numPr>
          <w:ilvl w:val="0"/>
          <w:numId w:val="2"/>
        </w:numPr>
        <w:spacing w:after="20"/>
      </w:pPr>
      <w:r>
        <w:rPr>
          <w:rFonts w:ascii="Calibri" w:cs="Calibri" w:eastAsia="Calibri" w:hAnsi="Calibri"/>
          <w:color w:val="52525B"/>
          <w:sz w:val="19"/>
          <w:szCs w:val="19"/>
        </w:rPr>
        <w:t xml:space="preserve">AI-assisted invoicing from historical patterns</w:t>
      </w:r>
    </w:p>
    <w:p>
      <w:pPr>
        <w:pStyle w:val="ListParagraph"/>
        <w:numPr>
          <w:ilvl w:val="0"/>
          <w:numId w:val="2"/>
        </w:numPr>
        <w:spacing w:after="20"/>
      </w:pPr>
      <w:r>
        <w:rPr>
          <w:rFonts w:ascii="Calibri" w:cs="Calibri" w:eastAsia="Calibri" w:hAnsi="Calibri"/>
          <w:color w:val="52525B"/>
          <w:sz w:val="19"/>
          <w:szCs w:val="19"/>
        </w:rPr>
        <w:t xml:space="preserve">Per-module intelligence panels surfacing what needs attention</w:t>
      </w:r>
    </w:p>
    <w:p>
      <w:pPr>
        <w:pStyle w:val="ListParagraph"/>
        <w:numPr>
          <w:ilvl w:val="0"/>
          <w:numId w:val="2"/>
        </w:numPr>
        <w:spacing w:after="20"/>
      </w:pPr>
      <w:r>
        <w:rPr>
          <w:rFonts w:ascii="Calibri" w:cs="Calibri" w:eastAsia="Calibri" w:hAnsi="Calibri"/>
          <w:color w:val="52525B"/>
          <w:sz w:val="19"/>
          <w:szCs w:val="19"/>
        </w:rPr>
        <w:t xml:space="preserve">Ask Zion — natural language questions answered from live platform data</w:t>
      </w:r>
    </w:p>
    <w:p>
      <w:pPr>
        <w:pStyle w:val="ListParagraph"/>
        <w:numPr>
          <w:ilvl w:val="0"/>
          <w:numId w:val="2"/>
        </w:numPr>
        <w:spacing w:after="20"/>
      </w:pPr>
      <w:r>
        <w:rPr>
          <w:rFonts w:ascii="Calibri" w:cs="Calibri" w:eastAsia="Calibri" w:hAnsi="Calibri"/>
          <w:color w:val="52525B"/>
          <w:sz w:val="19"/>
          <w:szCs w:val="19"/>
        </w:rPr>
        <w:t xml:space="preserve">Scoped and priced once the unified platform is in production</w:t>
      </w:r>
    </w:p>
    <w:p>
      <w:pPr>
        <w:spacing w:after="260"/>
      </w:pPr>
    </w:p>
    <w:tbl>
      <w:tblPr>
        <w:tblW w:type="dxa" w:w="10080"/>
        <w:tblBorders>
          <w:top w:val="none" w:color="auto" w:sz="0"/>
          <w:left w:val="single" w:color="C2410C" w:sz="18"/>
          <w:bottom w:val="none" w:color="auto" w:sz="0"/>
          <w:right w:val="none" w:color="auto" w:sz="0"/>
          <w:insideH w:val="none" w:color="auto" w:sz="0"/>
          <w:insideV w:val="none" w:color="auto" w:sz="0"/>
        </w:tblBorders>
      </w:tblPr>
      <w:tblGrid>
        <w:gridCol w:w="10080"/>
      </w:tblGrid>
      <w:tr>
        <w:tc>
          <w:tcPr>
            <w:tcW w:type="dxa" w:w="10080"/>
            <w:shd w:fill="FAFAFA" w:color="auto" w:val="clear"/>
            <w:tcMar>
              <w:top w:type="dxa" w:w="140"/>
              <w:left w:type="dxa" w:w="180"/>
              <w:bottom w:type="dxa" w:w="140"/>
              <w:right w:type="dxa" w:w="180"/>
            </w:tcMar>
          </w:tcPr>
          <w:p>
            <w:r>
              <w:rPr>
                <w:rFonts w:ascii="Calibri" w:cs="Calibri" w:eastAsia="Calibri" w:hAnsi="Calibri"/>
                <w:b/>
                <w:bCs/>
                <w:color w:val="18181B"/>
                <w:sz w:val="19"/>
                <w:szCs w:val="19"/>
              </w:rPr>
              <w:t xml:space="preserve">Assumptions. </w:t>
            </w:r>
            <w:r>
              <w:rPr>
                <w:rFonts w:ascii="Calibri" w:cs="Calibri" w:eastAsia="Calibri" w:hAnsi="Calibri"/>
                <w:color w:val="52525B"/>
                <w:sz w:val="19"/>
                <w:szCs w:val="19"/>
              </w:rPr>
              <w:t xml:space="preserve">Zion provides access to the existing system and its database for migration, supplies licensed copies of any standards to be encoded, and makes operational staff available for walkthrough sessions and user acceptance testing. Third-party accounts — telephony, payment gateway, app store, mapping — are held in Zion’s name. Hosting infrastructure costs are billed to Zion at cost.</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4E4E7" w:sz="4" w:space="6"/>
      </w:pBdr>
      <w:tabs>
        <w:tab w:val="right" w:pos="10080"/>
      </w:tabs>
    </w:pPr>
    <w:r>
      <w:rPr>
        <w:rFonts w:ascii="Consolas" w:cs="Consolas" w:eastAsia="Consolas" w:hAnsi="Consolas"/>
        <w:color w:val="A1A1AA"/>
        <w:spacing w:val="8"/>
        <w:sz w:val="14"/>
        <w:szCs w:val="14"/>
      </w:rPr>
      <w:t xml:space="preserve">ZION UNIFIED · FUNCTIONAL SCOPE · NILE TECHNOLOGIES</w:t>
    </w:r>
    <w:r>
      <w:rPr>
        <w:rFonts w:ascii="Calibri" w:cs="Calibri" w:eastAsia="Calibri" w:hAnsi="Calibri"/>
      </w:rPr>
      <w:t xml:space="preserve">		</w:t>
    </w:r>
    <w:r>
      <w:rPr>
        <w:rFonts w:ascii="Consolas" w:cs="Consolas" w:eastAsia="Consolas" w:hAnsi="Consolas"/>
        <w:color w:val="A1A1AA"/>
        <w:sz w:val="14"/>
        <w:szCs w:val="14"/>
      </w:rPr>
      <w:t xml:space="preserve">PAGE </w:t>
    </w:r>
    <w:r>
      <w:rPr>
        <w:rFonts w:ascii="Consolas" w:cs="Consolas" w:eastAsia="Consolas" w:hAnsi="Consolas"/>
        <w:color w:val="A1A1AA"/>
        <w:sz w:val="14"/>
        <w:szCs w:val="14"/>
      </w:rPr>
      <w:fldChar w:fldCharType="begin"/>
      <w:instrText xml:space="preserve">PAGE</w:instrText>
      <w:fldChar w:fldCharType="separate"/>
      <w:fldChar w:fldCharType="end"/>
    </w:r>
    <w:r>
      <w:rPr>
        <w:rFonts w:ascii="Consolas" w:cs="Consolas" w:eastAsia="Consolas" w:hAnsi="Consolas"/>
        <w:color w:val="A1A1AA"/>
        <w:sz w:val="14"/>
        <w:szCs w:val="14"/>
      </w:rPr>
      <w:t xml:space="preserve"> OF </w:t>
    </w:r>
    <w:r>
      <w:rPr>
        <w:rFonts w:ascii="Consolas" w:cs="Consolas" w:eastAsia="Consolas" w:hAnsi="Consolas"/>
        <w:color w:val="A1A1AA"/>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none" w:color="auto" w:sz="0"/>
        <w:left w:val="none" w:color="auto" w:sz="0"/>
        <w:bottom w:val="none" w:color="auto" w:sz="0"/>
        <w:right w:val="none" w:color="auto" w:sz="0"/>
        <w:insideH w:val="none" w:color="auto" w:sz="0"/>
        <w:insideV w:val="none" w:color="auto" w:sz="0"/>
      </w:tblBorders>
    </w:tblPr>
    <w:tblGrid>
      <w:gridCol w:w="5040"/>
      <w:gridCol w:w="5040"/>
    </w:tblGrid>
    <w:tr>
      <w:tc>
        <w:tcPr>
          <w:tcW w:type="dxa" w:w="5040"/>
          <w:tcBorders>
            <w:top w:val="none" w:color="auto" w:sz="0"/>
            <w:left w:val="none" w:color="auto" w:sz="0"/>
            <w:bottom w:val="none" w:color="auto" w:sz="0"/>
            <w:right w:val="none" w:color="auto" w:sz="0"/>
          </w:tcBorders>
          <w:tcMar>
            <w:left w:type="dxa" w:w="0"/>
          </w:tcMar>
        </w:tcPr>
        <w:p>
          <w:r>
            <w:rPr>
              <w:rFonts w:ascii="Calibri" w:cs="Calibri" w:eastAsia="Calibri" w:hAnsi="Calibri"/>
              <w:b/>
              <w:bCs/>
              <w:color w:val="18181B"/>
              <w:spacing w:val="24"/>
              <w:sz w:val="22"/>
              <w:szCs w:val="22"/>
            </w:rPr>
            <w:t xml:space="preserve">ZION ENERGY SERVICES</w:t>
          </w:r>
        </w:p>
      </w:tc>
      <w:tc>
        <w:tcPr>
          <w:tcW w:type="dxa" w:w="5040"/>
          <w:tcBorders>
            <w:top w:val="none" w:color="auto" w:sz="0"/>
            <w:left w:val="none" w:color="auto" w:sz="0"/>
            <w:bottom w:val="none" w:color="auto" w:sz="0"/>
            <w:right w:val="none" w:color="auto" w:sz="0"/>
          </w:tcBorders>
          <w:tcMar>
            <w:right w:type="dxa" w:w="0"/>
          </w:tcMar>
        </w:tcPr>
        <w:p>
          <w:pPr>
            <w:jc w:val="right"/>
          </w:pPr>
          <w:r>
            <w:rPr>
              <w:rFonts w:ascii="Consolas" w:cs="Consolas" w:eastAsia="Consolas" w:hAnsi="Consolas"/>
              <w:color w:val="A1A1AA"/>
              <w:spacing w:val="10"/>
              <w:sz w:val="15"/>
              <w:szCs w:val="15"/>
            </w:rPr>
            <w:t xml:space="preserve">FUNCTIONAL SCOPE
ZION UNIFIED PLATFORM</w:t>
          </w:r>
        </w:p>
      </w:tc>
    </w:tr>
  </w:tbl>
  <w:p>
    <w:pPr>
      <w:pBdr>
        <w:bottom w:val="single" w:color="18181B" w:sz="18" w:space="4"/>
      </w:pBdr>
      <w:spacing w:after="22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190"/>
      </w:pPr>
      <w:rPr>
        <w:color w:val="C2410C"/>
        <w:sz w:val="19"/>
        <w:szCs w:val="19"/>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8181B"/>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2026-08-24T11:23:04.678Z</dcterms:created>
  <dcterms:modified xsi:type="dcterms:W3CDTF">2026-08-24T11:23:04.679Z</dcterms:modified>
</cp:coreProperties>
</file>

<file path=docProps/custom.xml><?xml version="1.0" encoding="utf-8"?>
<Properties xmlns="http://schemas.openxmlformats.org/officeDocument/2006/custom-properties" xmlns:vt="http://schemas.openxmlformats.org/officeDocument/2006/docPropsVTypes"/>
</file>