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Register and Matrix</w:t>
      </w:r>
    </w:p>
    <w:p>
      <w:r>
        <w:rPr>
          <w:b/>
        </w:rPr>
        <w:t xml:space="preserve">Prepared by: </w:t>
      </w:r>
      <w:r>
        <w:t>Sunil Hajong</w:t>
        <w:br/>
        <w:t>Google Cybersecurity Portfolio</w:t>
        <w:br/>
        <w:t>Course 2 – Manage Security Risks</w:t>
        <w:br/>
        <w:t>Version: 1.0</w:t>
      </w:r>
    </w:p>
    <w:p>
      <w:pPr>
        <w:pStyle w:val="Heading2"/>
      </w:pPr>
      <w:r>
        <w:t>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Likelihood</w:t>
            </w:r>
          </w:p>
        </w:tc>
        <w:tc>
          <w:tcPr>
            <w:tcW w:type="dxa" w:w="1728"/>
          </w:tcPr>
          <w:p>
            <w:r>
              <w:t>Impact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F-01</w:t>
            </w:r>
          </w:p>
        </w:tc>
        <w:tc>
          <w:tcPr>
            <w:tcW w:type="dxa" w:w="1728"/>
          </w:tcPr>
          <w:p>
            <w:r>
              <w:t>Excessive user privileges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F-02</w:t>
            </w:r>
          </w:p>
        </w:tc>
        <w:tc>
          <w:tcPr>
            <w:tcW w:type="dxa" w:w="1728"/>
          </w:tcPr>
          <w:p>
            <w:r>
              <w:t>No intrusion detection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F-03</w:t>
            </w:r>
          </w:p>
        </w:tc>
        <w:tc>
          <w:tcPr>
            <w:tcW w:type="dxa" w:w="1728"/>
          </w:tcPr>
          <w:p>
            <w:r>
              <w:t>Unencrypted sensitive data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F-04</w:t>
            </w:r>
          </w:p>
        </w:tc>
        <w:tc>
          <w:tcPr>
            <w:tcW w:type="dxa" w:w="1728"/>
          </w:tcPr>
          <w:p>
            <w:r>
              <w:t>No disaster recovery plan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F-05</w:t>
            </w:r>
          </w:p>
        </w:tc>
        <w:tc>
          <w:tcPr>
            <w:tcW w:type="dxa" w:w="1728"/>
          </w:tcPr>
          <w:p>
            <w:r>
              <w:t>Weak password management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F-06</w:t>
            </w:r>
          </w:p>
        </w:tc>
        <w:tc>
          <w:tcPr>
            <w:tcW w:type="dxa" w:w="1728"/>
          </w:tcPr>
          <w:p>
            <w:r>
              <w:t>Compliance gaps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>
      <w:pPr>
        <w:pStyle w:val="Heading2"/>
      </w:pPr>
      <w:r>
        <w:t>Risk Matrix</w:t>
      </w:r>
    </w:p>
    <w:p>
      <w:r>
        <w:t>Critical: F-01, F-02, F-03</w:t>
        <w:br/>
        <w:t>High: F-04</w:t>
        <w:br/>
        <w:t>Medium: F-05, F-06</w:t>
      </w:r>
    </w:p>
    <w:p>
      <w:pPr>
        <w:pStyle w:val="Heading2"/>
      </w:pPr>
      <w:r>
        <w:t>Risk Summary</w:t>
      </w:r>
    </w:p>
    <w:p>
      <w:r>
        <w:t>The assessment identified three critical risks requiring immediate remediation. The remaining findings should be addressed through planned security improvements to reduce operational and compliance exposure.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Prepared by Sunil Hajong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