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Audit Scope and Goals</w:t>
      </w:r>
    </w:p>
    <w:p>
      <w:r>
        <w:rPr>
          <w:b/>
        </w:rPr>
        <w:t xml:space="preserve">Prepared by: </w:t>
      </w:r>
      <w:r>
        <w:t>Sunil Hajong</w:t>
        <w:br/>
      </w:r>
      <w:r>
        <w:rPr>
          <w:b/>
        </w:rPr>
        <w:t xml:space="preserve">Portfolio: </w:t>
      </w:r>
      <w:r>
        <w:t>Google Cybersecurity Portfolio</w:t>
        <w:br/>
      </w:r>
      <w:r>
        <w:rPr>
          <w:b/>
        </w:rPr>
        <w:t xml:space="preserve">Course: </w:t>
      </w:r>
      <w:r>
        <w:t>Course 2 – Manage Security Risks</w:t>
        <w:br/>
      </w:r>
      <w:r>
        <w:rPr>
          <w:b/>
        </w:rPr>
        <w:t xml:space="preserve">Version: </w:t>
      </w:r>
      <w:r>
        <w:t>1.0</w:t>
      </w:r>
    </w:p>
    <w:p>
      <w:pPr>
        <w:pStyle w:val="Heading2"/>
      </w:pPr>
      <w:r>
        <w:t>Organization Overview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20"/>
        <w:gridCol w:w="5220"/>
      </w:tblGrid>
      <w:tr>
        <w:tc>
          <w:tcPr>
            <w:tcW w:type="dxa" w:w="5220"/>
          </w:tcPr>
          <w:p>
            <w:r>
              <w:t>Organization</w:t>
            </w:r>
          </w:p>
        </w:tc>
        <w:tc>
          <w:tcPr>
            <w:tcW w:type="dxa" w:w="5220"/>
          </w:tcPr>
          <w:p>
            <w:r>
              <w:t>Botium Toys</w:t>
            </w:r>
          </w:p>
        </w:tc>
      </w:tr>
      <w:tr>
        <w:tc>
          <w:tcPr>
            <w:tcW w:type="dxa" w:w="5220"/>
          </w:tcPr>
          <w:p>
            <w:r>
              <w:t>Industry</w:t>
            </w:r>
          </w:p>
        </w:tc>
        <w:tc>
          <w:tcPr>
            <w:tcW w:type="dxa" w:w="5220"/>
          </w:tcPr>
          <w:p>
            <w:r>
              <w:t>Retail &amp; E-Commerce</w:t>
            </w:r>
          </w:p>
        </w:tc>
      </w:tr>
      <w:tr>
        <w:tc>
          <w:tcPr>
            <w:tcW w:type="dxa" w:w="5220"/>
          </w:tcPr>
          <w:p>
            <w:r>
              <w:t>Audit Frameworks</w:t>
            </w:r>
          </w:p>
        </w:tc>
        <w:tc>
          <w:tcPr>
            <w:tcW w:type="dxa" w:w="5220"/>
          </w:tcPr>
          <w:p>
            <w:r>
              <w:t>NIST CSF, PCI DSS, GDPR, SOC</w:t>
            </w:r>
          </w:p>
        </w:tc>
      </w:tr>
      <w:tr>
        <w:tc>
          <w:tcPr>
            <w:tcW w:type="dxa" w:w="5220"/>
          </w:tcPr>
          <w:p>
            <w:r>
              <w:t>Overall Risk Score</w:t>
            </w:r>
          </w:p>
        </w:tc>
        <w:tc>
          <w:tcPr>
            <w:tcW w:type="dxa" w:w="5220"/>
          </w:tcPr>
          <w:p>
            <w:r>
              <w:t>8 / 10</w:t>
            </w:r>
          </w:p>
        </w:tc>
      </w:tr>
      <w:tr>
        <w:tc>
          <w:tcPr>
            <w:tcW w:type="dxa" w:w="5220"/>
          </w:tcPr>
          <w:p>
            <w:r>
              <w:t>Overall Security Rating</w:t>
            </w:r>
          </w:p>
        </w:tc>
        <w:tc>
          <w:tcPr>
            <w:tcW w:type="dxa" w:w="5220"/>
          </w:tcPr>
          <w:p>
            <w:r>
              <w:t>HIGH</w:t>
            </w:r>
          </w:p>
        </w:tc>
      </w:tr>
    </w:tbl>
    <w:p>
      <w:pPr>
        <w:pStyle w:val="Heading2"/>
      </w:pPr>
      <w:r>
        <w:t>Audit Scope</w:t>
      </w:r>
    </w:p>
    <w:p>
      <w:r>
        <w:rPr>
          <w:b/>
        </w:rPr>
        <w:t>In Scope</w:t>
        <w:br/>
      </w:r>
    </w:p>
    <w:p>
      <w:pPr>
        <w:pStyle w:val="ListBullet"/>
      </w:pPr>
      <w:r>
        <w:t>Employee devices and remote workstations</w:t>
      </w:r>
    </w:p>
    <w:p>
      <w:pPr>
        <w:pStyle w:val="ListBullet"/>
      </w:pPr>
      <w:r>
        <w:t>Internal network infrastructure</w:t>
      </w:r>
    </w:p>
    <w:p>
      <w:pPr>
        <w:pStyle w:val="ListBullet"/>
      </w:pPr>
      <w:r>
        <w:t>Customer payment systems</w:t>
      </w:r>
    </w:p>
    <w:p>
      <w:pPr>
        <w:pStyle w:val="ListBullet"/>
      </w:pPr>
      <w:r>
        <w:t>Customer and vendor databases</w:t>
      </w:r>
    </w:p>
    <w:p>
      <w:pPr>
        <w:pStyle w:val="ListBullet"/>
      </w:pPr>
      <w:r>
        <w:t>Warehouse, physical offices, and CCTV systems</w:t>
      </w:r>
    </w:p>
    <w:p>
      <w:pPr>
        <w:pStyle w:val="Heading2"/>
      </w:pPr>
      <w:r>
        <w:t>Audit Goals</w:t>
      </w:r>
    </w:p>
    <w:p>
      <w:pPr>
        <w:pStyle w:val="ListBullet"/>
      </w:pPr>
      <w:r>
        <w:t>Assess the effectiveness of existing security controls.</w:t>
      </w:r>
    </w:p>
    <w:p>
      <w:pPr>
        <w:pStyle w:val="ListBullet"/>
      </w:pPr>
      <w:r>
        <w:t>Identify security risks affecting business operations.</w:t>
      </w:r>
    </w:p>
    <w:p>
      <w:pPr>
        <w:pStyle w:val="ListBullet"/>
      </w:pPr>
      <w:r>
        <w:t>Evaluate compliance with NIST CSF, PCI DSS, GDPR, and SOC requirements.</w:t>
      </w:r>
    </w:p>
    <w:p>
      <w:pPr>
        <w:pStyle w:val="ListBullet"/>
      </w:pPr>
      <w:r>
        <w:t>Prioritize findings based on business impact and risk.</w:t>
      </w:r>
    </w:p>
    <w:p>
      <w:pPr>
        <w:pStyle w:val="ListBullet"/>
      </w:pPr>
      <w:r>
        <w:t>Provide actionable recommendations to strengthen the security posture.</w:t>
      </w:r>
    </w:p>
    <w:p>
      <w:pPr>
        <w:pStyle w:val="Heading2"/>
      </w:pPr>
      <w:r>
        <w:t>Expected Deliverables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20"/>
        <w:gridCol w:w="5220"/>
      </w:tblGrid>
      <w:tr>
        <w:tc>
          <w:tcPr>
            <w:tcW w:type="dxa" w:w="5220"/>
          </w:tcPr>
          <w:p>
            <w:r>
              <w:t>Deliverable</w:t>
            </w:r>
          </w:p>
        </w:tc>
        <w:tc>
          <w:tcPr>
            <w:tcW w:type="dxa" w:w="5220"/>
          </w:tcPr>
          <w:p>
            <w:r>
              <w:t>Purpose</w:t>
            </w:r>
          </w:p>
        </w:tc>
      </w:tr>
      <w:tr>
        <w:tc>
          <w:tcPr>
            <w:tcW w:type="dxa" w:w="5220"/>
          </w:tcPr>
          <w:p>
            <w:r>
              <w:t>Security Audit Report</w:t>
            </w:r>
          </w:p>
        </w:tc>
        <w:tc>
          <w:tcPr>
            <w:tcW w:type="dxa" w:w="5220"/>
          </w:tcPr>
          <w:p>
            <w:r>
              <w:t>Summarize findings and control gaps</w:t>
            </w:r>
          </w:p>
        </w:tc>
      </w:tr>
      <w:tr>
        <w:tc>
          <w:tcPr>
            <w:tcW w:type="dxa" w:w="5220"/>
          </w:tcPr>
          <w:p>
            <w:r>
              <w:t>Risk Register</w:t>
            </w:r>
          </w:p>
        </w:tc>
        <w:tc>
          <w:tcPr>
            <w:tcW w:type="dxa" w:w="5220"/>
          </w:tcPr>
          <w:p>
            <w:r>
              <w:t>Track identified risks and priorities</w:t>
            </w:r>
          </w:p>
        </w:tc>
      </w:tr>
      <w:tr>
        <w:tc>
          <w:tcPr>
            <w:tcW w:type="dxa" w:w="5220"/>
          </w:tcPr>
          <w:p>
            <w:r>
              <w:t>Compliance Checklist</w:t>
            </w:r>
          </w:p>
        </w:tc>
        <w:tc>
          <w:tcPr>
            <w:tcW w:type="dxa" w:w="5220"/>
          </w:tcPr>
          <w:p>
            <w:r>
              <w:t>Review framework alignment</w:t>
            </w:r>
          </w:p>
        </w:tc>
      </w:tr>
      <w:tr>
        <w:tc>
          <w:tcPr>
            <w:tcW w:type="dxa" w:w="5220"/>
          </w:tcPr>
          <w:p>
            <w:r>
              <w:t>Security Improvement Plan</w:t>
            </w:r>
          </w:p>
        </w:tc>
        <w:tc>
          <w:tcPr>
            <w:tcW w:type="dxa" w:w="5220"/>
          </w:tcPr>
          <w:p>
            <w:r>
              <w:t>Recommend remediation actions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720" w:right="900" w:bottom="720" w:left="9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Prepared by Sunil Hajong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