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Security Audit Report</w:t>
      </w:r>
    </w:p>
    <w:p>
      <w:r>
        <w:rPr>
          <w:b/>
        </w:rPr>
        <w:t xml:space="preserve">Prepared by: </w:t>
      </w:r>
      <w:r>
        <w:t>Sunil Hajong</w:t>
        <w:br/>
        <w:t>Google Cybersecurity Portfolio</w:t>
        <w:br/>
        <w:t>Course 2 – Manage Security Risks</w:t>
        <w:br/>
        <w:t>Version: 1.0</w:t>
      </w:r>
    </w:p>
    <w:p>
      <w:pPr>
        <w:pStyle w:val="Heading2"/>
      </w:pPr>
      <w:r>
        <w:t>Executive Summary</w:t>
      </w:r>
    </w:p>
    <w:p>
      <w:r>
        <w:t>An internal security audit of Botium Toys identified several high-risk security gaps affecting critical systems and sensitive information. The organization received an overall risk score of 8/10 with a HIGH security risk rating.</w:t>
      </w:r>
    </w:p>
    <w:p>
      <w:pPr>
        <w:pStyle w:val="Heading2"/>
      </w:pPr>
      <w:r>
        <w:t>Key Findings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Finding ID</w:t>
            </w:r>
          </w:p>
        </w:tc>
        <w:tc>
          <w:tcPr>
            <w:tcW w:type="dxa" w:w="2880"/>
          </w:tcPr>
          <w:p>
            <w:r>
              <w:t>Finding</w:t>
            </w:r>
          </w:p>
        </w:tc>
        <w:tc>
          <w:tcPr>
            <w:tcW w:type="dxa" w:w="2880"/>
          </w:tcPr>
          <w:p>
            <w:r>
              <w:t>Risk</w:t>
            </w:r>
          </w:p>
        </w:tc>
      </w:tr>
      <w:tr>
        <w:tc>
          <w:tcPr>
            <w:tcW w:type="dxa" w:w="2880"/>
          </w:tcPr>
          <w:p>
            <w:r>
              <w:t>F-01</w:t>
            </w:r>
          </w:p>
        </w:tc>
        <w:tc>
          <w:tcPr>
            <w:tcW w:type="dxa" w:w="2880"/>
          </w:tcPr>
          <w:p>
            <w:r>
              <w:t>Least Privilege not implemented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F-02</w:t>
            </w:r>
          </w:p>
        </w:tc>
        <w:tc>
          <w:tcPr>
            <w:tcW w:type="dxa" w:w="2880"/>
          </w:tcPr>
          <w:p>
            <w:r>
              <w:t>No Intrusion Detection System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F-03</w:t>
            </w:r>
          </w:p>
        </w:tc>
        <w:tc>
          <w:tcPr>
            <w:tcW w:type="dxa" w:w="2880"/>
          </w:tcPr>
          <w:p>
            <w:r>
              <w:t>Sensitive data not encrypted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F-04</w:t>
            </w:r>
          </w:p>
        </w:tc>
        <w:tc>
          <w:tcPr>
            <w:tcW w:type="dxa" w:w="2880"/>
          </w:tcPr>
          <w:p>
            <w:r>
              <w:t>No Disaster Recovery Plan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F-05</w:t>
            </w:r>
          </w:p>
        </w:tc>
        <w:tc>
          <w:tcPr>
            <w:tcW w:type="dxa" w:w="2880"/>
          </w:tcPr>
          <w:p>
            <w:r>
              <w:t>Weak Password Management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F-06</w:t>
            </w:r>
          </w:p>
        </w:tc>
        <w:tc>
          <w:tcPr>
            <w:tcW w:type="dxa" w:w="2880"/>
          </w:tcPr>
          <w:p>
            <w:r>
              <w:t>Incomplete GDPR/SOC compliance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</w:tbl>
    <w:p>
      <w:pPr>
        <w:pStyle w:val="Heading2"/>
      </w:pPr>
      <w:r>
        <w:t>Business Impact</w:t>
      </w:r>
    </w:p>
    <w:p>
      <w:r>
        <w:t>These control deficiencies increase the likelihood of unauthorized access, data breaches, service disruption, regulatory noncompliance, and financial loss. Immediate remediation is recommended for all High-risk findings.</w:t>
      </w:r>
    </w:p>
    <w:p>
      <w:pPr>
        <w:pStyle w:val="Heading2"/>
      </w:pPr>
      <w:r>
        <w:t>Conclusion</w:t>
      </w:r>
    </w:p>
    <w:p>
      <w:r>
        <w:t>Botium Toys should prioritize identity and access management, network monitoring, data protection, business continuity planning, and compliance improvements to reduce overall organizational risk.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Prepared by Sunil Hajong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