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Arial" w:hAnsi="Arial"/>
          <w:color w:val="AAAAAA"/>
          <w:sz w:val="18"/>
        </w:rPr>
        <w:t>__________________________________________________________________________________________</w:t>
      </w:r>
    </w:p>
    <w:p>
      <w:pPr>
        <w:spacing w:before="1440" w:after="480"/>
        <w:jc w:val="center"/>
      </w:pPr>
      <w:r>
        <w:rPr>
          <w:rFonts w:ascii="Arial" w:hAnsi="Arial"/>
          <w:b/>
          <w:color w:val="0F3F66"/>
          <w:sz w:val="44"/>
        </w:rPr>
        <w:t>SOFTWARE REQUIREMENTS SPECIFICATION</w:t>
      </w:r>
    </w:p>
    <w:p>
      <w:pPr>
        <w:spacing w:after="560"/>
        <w:jc w:val="center"/>
      </w:pPr>
      <w:r>
        <w:rPr>
          <w:rFonts w:ascii="Arial" w:hAnsi="Arial"/>
          <w:i/>
          <w:color w:val="606060"/>
          <w:sz w:val="24"/>
        </w:rPr>
        <w:t>Prepared in IEEE 830 style</w:t>
      </w:r>
    </w:p>
    <w:p>
      <w:pPr>
        <w:spacing w:after="880"/>
        <w:jc w:val="center"/>
      </w:pPr>
      <w:r>
        <w:rPr>
          <w:rFonts w:ascii="Arial" w:hAnsi="Arial"/>
          <w:b/>
          <w:color w:val="191919"/>
          <w:sz w:val="36"/>
        </w:rPr>
        <w:t>Untitled Project</w:t>
      </w:r>
    </w:p>
    <w:p>
      <w:pPr>
        <w:spacing w:after="320"/>
        <w:jc w:val="center"/>
      </w:pPr>
      <w:r>
        <w:rPr>
          <w:rFonts w:ascii="Arial" w:hAnsi="Arial"/>
          <w:b/>
          <w:color w:val="0F3F66"/>
          <w:sz w:val="24"/>
        </w:rPr>
        <w:t>Document Information</w:t>
      </w:r>
    </w:p>
    <w:p>
      <w:pPr>
        <w:spacing w:after="240"/>
        <w:jc w:val="center"/>
      </w:pPr>
      <w:r>
        <w:rPr>
          <w:rFonts w:ascii="Arial" w:hAnsi="Arial"/>
          <w:sz w:val="24"/>
        </w:rPr>
        <w:t>Prepared by: Unknown</w:t>
      </w:r>
    </w:p>
    <w:p>
      <w:pPr>
        <w:spacing w:after="240"/>
        <w:jc w:val="center"/>
      </w:pPr>
      <w:r>
        <w:rPr>
          <w:rFonts w:ascii="Arial" w:hAnsi="Arial"/>
          <w:sz w:val="24"/>
        </w:rPr>
        <w:t>Organization: Unspecified</w:t>
      </w:r>
    </w:p>
    <w:p>
      <w:pPr>
        <w:spacing w:after="240"/>
        <w:jc w:val="center"/>
      </w:pPr>
      <w:r>
        <w:rPr>
          <w:rFonts w:ascii="Arial" w:hAnsi="Arial"/>
          <w:sz w:val="24"/>
        </w:rPr>
        <w:t>Version: 1.0</w:t>
      </w:r>
    </w:p>
    <w:p>
      <w:pPr>
        <w:spacing w:after="520"/>
        <w:jc w:val="center"/>
      </w:pPr>
      <w:r>
        <w:rPr>
          <w:rFonts w:ascii="Arial" w:hAnsi="Arial"/>
          <w:sz w:val="24"/>
        </w:rPr>
        <w:t>Date Created: 05/03/2026</w:t>
      </w:r>
    </w:p>
    <w:tbl>
      <w:tblPr>
        <w:tblStyle w:val="TableGrid"/>
        <w:tblW w:type="auto" w:w="0"/>
        <w:tblLayout w:type="autofit"/>
        <w:tblLook w:firstColumn="1" w:firstRow="1" w:lastColumn="0" w:lastRow="0" w:noHBand="0" w:noVBand="1" w:val="04A0"/>
      </w:tblPr>
      <w:tblGrid>
        <w:gridCol w:w="4680"/>
        <w:gridCol w:w="4680"/>
      </w:tblGrid>
      <w:tr>
        <w:tc>
          <w:tcPr>
            <w:tcW w:type="dxa" w:w="4680"/>
          </w:tcPr>
          <w:p>
            <w:r>
              <w:rPr>
                <w:rFonts w:ascii="Arial" w:hAnsi="Arial"/>
                <w:b/>
                <w:sz w:val="20"/>
              </w:rPr>
              <w:t>Document ID</w:t>
            </w:r>
          </w:p>
        </w:tc>
        <w:tc>
          <w:tcPr>
            <w:tcW w:type="dxa" w:w="4680"/>
          </w:tcPr>
          <w:p>
            <w:r>
              <w:rPr>
                <w:rFonts w:ascii="Arial" w:hAnsi="Arial"/>
                <w:sz w:val="20"/>
              </w:rPr>
              <w:t>SRS-UNTITLED-PROJECT-001</w:t>
            </w:r>
          </w:p>
        </w:tc>
      </w:tr>
      <w:tr>
        <w:tc>
          <w:tcPr>
            <w:tcW w:type="dxa" w:w="4680"/>
          </w:tcPr>
          <w:p>
            <w:r>
              <w:rPr>
                <w:rFonts w:ascii="Arial" w:hAnsi="Arial"/>
                <w:b/>
                <w:sz w:val="20"/>
              </w:rPr>
              <w:t>Document Status</w:t>
            </w:r>
          </w:p>
        </w:tc>
        <w:tc>
          <w:tcPr>
            <w:tcW w:type="dxa" w:w="4680"/>
          </w:tcPr>
          <w:p>
            <w:r>
              <w:rPr>
                <w:rFonts w:ascii="Arial" w:hAnsi="Arial"/>
                <w:sz w:val="20"/>
              </w:rPr>
              <w:t>Draft</w:t>
            </w:r>
          </w:p>
        </w:tc>
      </w:tr>
      <w:tr>
        <w:tc>
          <w:tcPr>
            <w:tcW w:type="dxa" w:w="4680"/>
          </w:tcPr>
          <w:p>
            <w:r>
              <w:rPr>
                <w:rFonts w:ascii="Arial" w:hAnsi="Arial"/>
                <w:b/>
                <w:sz w:val="20"/>
              </w:rPr>
              <w:t>Prepared For</w:t>
            </w:r>
          </w:p>
        </w:tc>
        <w:tc>
          <w:tcPr>
            <w:tcW w:type="dxa" w:w="4680"/>
          </w:tcPr>
          <w:p>
            <w:r>
              <w:rPr>
                <w:rFonts w:ascii="Arial" w:hAnsi="Arial"/>
                <w:sz w:val="20"/>
              </w:rPr>
              <w:t>Unspecified</w:t>
            </w:r>
          </w:p>
        </w:tc>
      </w:tr>
    </w:tbl>
    <w:p>
      <w:pPr>
        <w:jc w:val="center"/>
      </w:pPr>
      <w:r>
        <w:rPr>
          <w:rFonts w:ascii="Arial" w:hAnsi="Arial"/>
          <w:color w:val="AAAAAA"/>
          <w:sz w:val="18"/>
        </w:rPr>
        <w:t>__________________________________________________________________________________________</w:t>
      </w:r>
    </w:p>
    <w:p>
      <w:pPr>
        <w:sectPr>
          <w:headerReference w:type="default" r:id="rId19"/>
          <w:footerReference w:type="default" r:id="rId20"/>
          <w:pgSz w:w="12240" w:h="15840"/>
          <w:pgMar w:top="1440" w:right="1440" w:bottom="1440" w:left="1440" w:header="720" w:footer="720" w:gutter="0"/>
          <w:cols w:space="720"/>
          <w:docGrid w:linePitch="360"/>
        </w:sectPr>
      </w:pPr>
    </w:p>
    <w:p>
      <w:pPr>
        <w:pStyle w:val="TOCHeading"/>
        <w:spacing w:after="360"/>
        <w:jc w:val="center"/>
      </w:pPr>
      <w:r>
        <w:rPr>
          <w:rFonts w:ascii="Arial" w:hAnsi="Arial"/>
          <w:b/>
          <w:sz w:val="32"/>
        </w:rPr>
        <w:t>Table of Contents</w:t>
      </w:r>
    </w:p>
    <w:p>
      <w:r>
        <w:fldChar w:fldCharType="begin"/>
        <w:instrText xml:space="preserve">TOC \o "1-3" \h \z \u</w:instrText>
        <w:fldChar w:fldCharType="separate"/>
        <w:t>Right-click and update field to generate Table of Contents.</w:t>
        <w:fldChar w:fldCharType="end"/>
      </w:r>
    </w:p>
    <w:p>
      <w:pPr>
        <w:spacing w:before="200"/>
        <w:jc w:val="center"/>
      </w:pPr>
      <w:r>
        <w:rPr>
          <w:i/>
          <w:color w:val="808080"/>
          <w:sz w:val="18"/>
        </w:rPr>
        <w:t>Open in Microsoft Word and use 'Update Field' to refresh page numbers.</w:t>
      </w:r>
    </w:p>
    <w:p>
      <w:pPr>
        <w:sectPr>
          <w:pgSz w:w="12240" w:h="15840"/>
          <w:pgMar w:top="1440" w:right="1440" w:bottom="1440" w:left="1440" w:header="720" w:footer="720" w:gutter="0"/>
          <w:cols w:space="720"/>
          <w:docGrid w:linePitch="360"/>
        </w:sectPr>
      </w:pPr>
    </w:p>
    <w:p>
      <w:pPr>
        <w:pStyle w:val="Heading1"/>
      </w:pPr>
      <w:r>
        <w:t>Visual Overview</w:t>
      </w:r>
    </w:p>
    <w:tbl>
      <w:tblPr>
        <w:tblStyle w:val="TableGrid"/>
        <w:tblW w:type="auto" w:w="0"/>
        <w:tblLayout w:type="autofit"/>
        <w:tblLook w:firstColumn="1" w:firstRow="1" w:lastColumn="0" w:lastRow="0" w:noHBand="0" w:noVBand="1" w:val="04A0"/>
      </w:tblPr>
      <w:tblGrid>
        <w:gridCol w:w="4680"/>
        <w:gridCol w:w="4680"/>
      </w:tblGrid>
      <w:tr>
        <w:tc>
          <w:tcPr>
            <w:tcW w:type="dxa" w:w="4680"/>
          </w:tcPr>
          <w:p>
            <w:pPr>
              <w:jc w:val="center"/>
            </w:pPr>
            <w:r/>
            <w:r>
              <w:drawing>
                <wp:inline xmlns:a="http://schemas.openxmlformats.org/drawingml/2006/main" xmlns:pic="http://schemas.openxmlformats.org/drawingml/2006/picture">
                  <wp:extent cx="2651760" cy="1619364"/>
                  <wp:docPr id="1" name="Picture 1"/>
                  <wp:cNvGraphicFramePr>
                    <a:graphicFrameLocks noChangeAspect="1"/>
                  </wp:cNvGraphicFramePr>
                  <a:graphic>
                    <a:graphicData uri="http://schemas.openxmlformats.org/drawingml/2006/picture">
                      <pic:pic>
                        <pic:nvPicPr>
                          <pic:cNvPr id="0" name="69f7521a9e7de9583e2ec20e_system_context.png"/>
                          <pic:cNvPicPr/>
                        </pic:nvPicPr>
                        <pic:blipFill>
                          <a:blip r:embed="rId9"/>
                          <a:stretch>
                            <a:fillRect/>
                          </a:stretch>
                        </pic:blipFill>
                        <pic:spPr>
                          <a:xfrm>
                            <a:off x="0" y="0"/>
                            <a:ext cx="2651760" cy="1619364"/>
                          </a:xfrm>
                          <a:prstGeom prst="rect"/>
                        </pic:spPr>
                      </pic:pic>
                    </a:graphicData>
                  </a:graphic>
                </wp:inline>
              </w:drawing>
            </w:r>
          </w:p>
          <w:p>
            <w:pPr>
              <w:pStyle w:val="Caption"/>
            </w:pPr>
            <w:r>
              <w:t>Figure A1: System Context</w:t>
            </w:r>
          </w:p>
        </w:tc>
        <w:tc>
          <w:tcPr>
            <w:tcW w:type="dxa" w:w="4680"/>
          </w:tcPr>
          <w:p>
            <w:pPr>
              <w:jc w:val="center"/>
            </w:pPr>
            <w:r/>
            <w:r>
              <w:drawing>
                <wp:inline xmlns:a="http://schemas.openxmlformats.org/drawingml/2006/main" xmlns:pic="http://schemas.openxmlformats.org/drawingml/2006/picture">
                  <wp:extent cx="2651760" cy="1672237"/>
                  <wp:docPr id="2" name="Picture 2"/>
                  <wp:cNvGraphicFramePr>
                    <a:graphicFrameLocks noChangeAspect="1"/>
                  </wp:cNvGraphicFramePr>
                  <a:graphic>
                    <a:graphicData uri="http://schemas.openxmlformats.org/drawingml/2006/picture">
                      <pic:pic>
                        <pic:nvPicPr>
                          <pic:cNvPr id="0" name="69f7521a9e7de9583e2ec20e_system_architecture.png"/>
                          <pic:cNvPicPr/>
                        </pic:nvPicPr>
                        <pic:blipFill>
                          <a:blip r:embed="rId10"/>
                          <a:stretch>
                            <a:fillRect/>
                          </a:stretch>
                        </pic:blipFill>
                        <pic:spPr>
                          <a:xfrm>
                            <a:off x="0" y="0"/>
                            <a:ext cx="2651760" cy="1672237"/>
                          </a:xfrm>
                          <a:prstGeom prst="rect"/>
                        </pic:spPr>
                      </pic:pic>
                    </a:graphicData>
                  </a:graphic>
                </wp:inline>
              </w:drawing>
            </w:r>
          </w:p>
          <w:p>
            <w:pPr>
              <w:pStyle w:val="Caption"/>
            </w:pPr>
            <w:r>
              <w:t>Figure A2: System Architecture</w:t>
            </w:r>
          </w:p>
        </w:tc>
      </w:tr>
      <w:tr>
        <w:tc>
          <w:tcPr>
            <w:tcW w:type="dxa" w:w="4680"/>
          </w:tcPr>
          <w:p>
            <w:pPr>
              <w:jc w:val="center"/>
            </w:pPr>
            <w:r/>
            <w:r>
              <w:drawing>
                <wp:inline xmlns:a="http://schemas.openxmlformats.org/drawingml/2006/main" xmlns:pic="http://schemas.openxmlformats.org/drawingml/2006/picture">
                  <wp:extent cx="2651760" cy="801828"/>
                  <wp:docPr id="3" name="Picture 3"/>
                  <wp:cNvGraphicFramePr>
                    <a:graphicFrameLocks noChangeAspect="1"/>
                  </wp:cNvGraphicFramePr>
                  <a:graphic>
                    <a:graphicData uri="http://schemas.openxmlformats.org/drawingml/2006/picture">
                      <pic:pic>
                        <pic:nvPicPr>
                          <pic:cNvPr id="0" name="69f7521a9e7de9583e2ec20e_use_case.png"/>
                          <pic:cNvPicPr/>
                        </pic:nvPicPr>
                        <pic:blipFill>
                          <a:blip r:embed="rId11"/>
                          <a:stretch>
                            <a:fillRect/>
                          </a:stretch>
                        </pic:blipFill>
                        <pic:spPr>
                          <a:xfrm>
                            <a:off x="0" y="0"/>
                            <a:ext cx="2651760" cy="801828"/>
                          </a:xfrm>
                          <a:prstGeom prst="rect"/>
                        </pic:spPr>
                      </pic:pic>
                    </a:graphicData>
                  </a:graphic>
                </wp:inline>
              </w:drawing>
            </w:r>
          </w:p>
          <w:p>
            <w:pPr>
              <w:pStyle w:val="Caption"/>
            </w:pPr>
            <w:r>
              <w:t>Figure A3: Use Case Diagram</w:t>
            </w:r>
          </w:p>
        </w:tc>
        <w:tc>
          <w:tcPr>
            <w:tcW w:type="dxa" w:w="4680"/>
          </w:tcPr>
          <w:p>
            <w:pPr>
              <w:jc w:val="center"/>
            </w:pPr>
            <w:r/>
            <w:r>
              <w:drawing>
                <wp:inline xmlns:a="http://schemas.openxmlformats.org/drawingml/2006/main" xmlns:pic="http://schemas.openxmlformats.org/drawingml/2006/picture">
                  <wp:extent cx="2651760" cy="243147"/>
                  <wp:docPr id="4" name="Picture 4"/>
                  <wp:cNvGraphicFramePr>
                    <a:graphicFrameLocks noChangeAspect="1"/>
                  </wp:cNvGraphicFramePr>
                  <a:graphic>
                    <a:graphicData uri="http://schemas.openxmlformats.org/drawingml/2006/picture">
                      <pic:pic>
                        <pic:nvPicPr>
                          <pic:cNvPr id="0" name="69f7521a9e7de9583e2ec20e_user_workflow.png"/>
                          <pic:cNvPicPr/>
                        </pic:nvPicPr>
                        <pic:blipFill>
                          <a:blip r:embed="rId12"/>
                          <a:stretch>
                            <a:fillRect/>
                          </a:stretch>
                        </pic:blipFill>
                        <pic:spPr>
                          <a:xfrm>
                            <a:off x="0" y="0"/>
                            <a:ext cx="2651760" cy="243147"/>
                          </a:xfrm>
                          <a:prstGeom prst="rect"/>
                        </pic:spPr>
                      </pic:pic>
                    </a:graphicData>
                  </a:graphic>
                </wp:inline>
              </w:drawing>
            </w:r>
          </w:p>
          <w:p>
            <w:pPr>
              <w:pStyle w:val="Caption"/>
            </w:pPr>
            <w:r>
              <w:t>Figure A4: User Workflow</w:t>
            </w:r>
          </w:p>
        </w:tc>
      </w:tr>
      <w:tr>
        <w:tc>
          <w:tcPr>
            <w:tcW w:type="dxa" w:w="4680"/>
          </w:tcPr>
          <w:p>
            <w:pPr>
              <w:jc w:val="center"/>
            </w:pPr>
            <w:r/>
            <w:r>
              <w:drawing>
                <wp:inline xmlns:a="http://schemas.openxmlformats.org/drawingml/2006/main" xmlns:pic="http://schemas.openxmlformats.org/drawingml/2006/picture">
                  <wp:extent cx="2651760" cy="236559"/>
                  <wp:docPr id="5" name="Picture 5"/>
                  <wp:cNvGraphicFramePr>
                    <a:graphicFrameLocks noChangeAspect="1"/>
                  </wp:cNvGraphicFramePr>
                  <a:graphic>
                    <a:graphicData uri="http://schemas.openxmlformats.org/drawingml/2006/picture">
                      <pic:pic>
                        <pic:nvPicPr>
                          <pic:cNvPr id="0" name="69f7521a9e7de9583e2ec20e_security_flow.png"/>
                          <pic:cNvPicPr/>
                        </pic:nvPicPr>
                        <pic:blipFill>
                          <a:blip r:embed="rId13"/>
                          <a:stretch>
                            <a:fillRect/>
                          </a:stretch>
                        </pic:blipFill>
                        <pic:spPr>
                          <a:xfrm>
                            <a:off x="0" y="0"/>
                            <a:ext cx="2651760" cy="236559"/>
                          </a:xfrm>
                          <a:prstGeom prst="rect"/>
                        </pic:spPr>
                      </pic:pic>
                    </a:graphicData>
                  </a:graphic>
                </wp:inline>
              </w:drawing>
            </w:r>
          </w:p>
          <w:p>
            <w:pPr>
              <w:pStyle w:val="Caption"/>
            </w:pPr>
            <w:r>
              <w:t>Figure A5: Security Flow</w:t>
            </w:r>
          </w:p>
        </w:tc>
        <w:tc>
          <w:tcPr>
            <w:tcW w:type="dxa" w:w="4680"/>
          </w:tcPr>
          <w:p>
            <w:pPr>
              <w:jc w:val="center"/>
            </w:pPr>
            <w:r/>
            <w:r>
              <w:drawing>
                <wp:inline xmlns:a="http://schemas.openxmlformats.org/drawingml/2006/main" xmlns:pic="http://schemas.openxmlformats.org/drawingml/2006/picture">
                  <wp:extent cx="2651760" cy="2184372"/>
                  <wp:docPr id="6" name="Picture 6"/>
                  <wp:cNvGraphicFramePr>
                    <a:graphicFrameLocks noChangeAspect="1"/>
                  </wp:cNvGraphicFramePr>
                  <a:graphic>
                    <a:graphicData uri="http://schemas.openxmlformats.org/drawingml/2006/picture">
                      <pic:pic>
                        <pic:nvPicPr>
                          <pic:cNvPr id="0" name="69f7521a9e7de9583e2ec20e_data_erd.png"/>
                          <pic:cNvPicPr/>
                        </pic:nvPicPr>
                        <pic:blipFill>
                          <a:blip r:embed="rId14"/>
                          <a:stretch>
                            <a:fillRect/>
                          </a:stretch>
                        </pic:blipFill>
                        <pic:spPr>
                          <a:xfrm>
                            <a:off x="0" y="0"/>
                            <a:ext cx="2651760" cy="2184372"/>
                          </a:xfrm>
                          <a:prstGeom prst="rect"/>
                        </pic:spPr>
                      </pic:pic>
                    </a:graphicData>
                  </a:graphic>
                </wp:inline>
              </w:drawing>
            </w:r>
          </w:p>
          <w:p>
            <w:pPr>
              <w:pStyle w:val="Caption"/>
            </w:pPr>
            <w:r>
              <w:t>Figure A6: Data ERD</w:t>
            </w:r>
          </w:p>
        </w:tc>
      </w:tr>
    </w:tbl>
    <w:p>
      <w:pPr>
        <w:pStyle w:val="Heading1"/>
      </w:pPr>
      <w:r>
        <w:t>1. Introduction</w:t>
      </w:r>
    </w:p>
    <w:p>
      <w:pPr>
        <w:pStyle w:val="Heading2"/>
      </w:pPr>
      <w:r>
        <w:t>1.1 Purpose</w:t>
      </w:r>
    </w:p>
    <w:p>
      <w:r>
        <w:t>No problem statement provided. This SRS defines a structured Web Application solution that centralizes core operations, standardizes workflows, improves data quality, and supports auditable execution across key departments. The platform is designed for maintainability, secure role-based access, and progressive enhancement as usage scales.</w:t>
      </w:r>
    </w:p>
    <w:p>
      <w:pPr>
        <w:pStyle w:val="Heading2"/>
      </w:pPr>
      <w:r>
        <w:t>1.2 Scope of the System</w:t>
      </w:r>
    </w:p>
    <w:p>
      <w:r>
        <w:t>The solution delivers a centralized General platform with secure user access, modular service boundaries, measurable SLAs, and operational reporting. It includes business process automation, data governance controls, and API-ready integration support. Items that are not explicitly listed in this specification remain out of scope for the current release.</w:t>
      </w:r>
    </w:p>
    <w:p>
      <w:pPr>
        <w:pStyle w:val="Heading3"/>
      </w:pPr>
      <w:r>
        <w:t>Included in scope:</w:t>
      </w:r>
    </w:p>
    <w:p>
      <w:pPr>
        <w:pStyle w:val="ListBullet"/>
      </w:pPr>
      <w:r>
        <w:t>Default Feature</w:t>
      </w:r>
    </w:p>
    <w:p>
      <w:pPr>
        <w:pStyle w:val="Heading3"/>
      </w:pPr>
      <w:r>
        <w:t>Excluded from scope:</w:t>
      </w:r>
    </w:p>
    <w:p>
      <w:pPr>
        <w:pStyle w:val="ListBullet"/>
      </w:pPr>
      <w:r>
        <w:t>Direct replacement of unrelated legacy tools outside defined domain boundaries</w:t>
      </w:r>
    </w:p>
    <w:p>
      <w:pPr>
        <w:pStyle w:val="ListBullet"/>
      </w:pPr>
      <w:r>
        <w:t>Custom integrations not listed in technical preferences</w:t>
      </w:r>
    </w:p>
    <w:p>
      <w:pPr>
        <w:pStyle w:val="ListBullet"/>
      </w:pPr>
      <w:r>
        <w:t>Unapproved feature expansions outside the release objective</w:t>
      </w:r>
    </w:p>
    <w:p>
      <w:pPr>
        <w:pStyle w:val="Heading2"/>
      </w:pPr>
      <w:r>
        <w:t>1.3 Definitions, Acronyms, and Abbreviations</w:t>
      </w:r>
    </w:p>
    <w:p>
      <w:pPr>
        <w:pStyle w:val="ListBullet"/>
      </w:pPr>
      <w:r>
        <w:t>SRS – Software Requirements Specification</w:t>
      </w:r>
    </w:p>
    <w:p>
      <w:pPr>
        <w:pStyle w:val="ListBullet"/>
      </w:pPr>
      <w:r>
        <w:t>RBAC – Role-Based Access Control</w:t>
      </w:r>
    </w:p>
    <w:p>
      <w:pPr>
        <w:pStyle w:val="ListBullet"/>
      </w:pPr>
      <w:r>
        <w:t>CRUD – Create, Read, Update, Delete</w:t>
      </w:r>
    </w:p>
    <w:p>
      <w:pPr>
        <w:pStyle w:val="ListBullet"/>
      </w:pPr>
      <w:r>
        <w:t>UI – User Interface</w:t>
      </w:r>
    </w:p>
    <w:p>
      <w:pPr>
        <w:pStyle w:val="ListBullet"/>
      </w:pPr>
      <w:r>
        <w:t>API – Application Programming Interface</w:t>
      </w:r>
    </w:p>
    <w:p>
      <w:pPr>
        <w:pStyle w:val="Heading2"/>
      </w:pPr>
      <w:r>
        <w:t>1.4 Document Conventions</w:t>
      </w:r>
    </w:p>
    <w:p>
      <w:pPr>
        <w:pStyle w:val="ListBullet"/>
      </w:pPr>
      <w:r>
        <w:t>IEEE 830-1998 style</w:t>
      </w:r>
    </w:p>
    <w:p>
      <w:pPr>
        <w:pStyle w:val="Heading1"/>
      </w:pPr>
      <w:r>
        <w:t>2. Feasibility &amp; Cost Estimation</w:t>
      </w:r>
    </w:p>
    <w:p>
      <w:r>
        <w:t>The following cost and effort estimates are based on the COCOMO II model.</w:t>
      </w:r>
    </w:p>
    <w:tbl>
      <w:tblPr>
        <w:tblStyle w:val="TableGrid"/>
        <w:tblW w:type="auto" w:w="0"/>
        <w:tblLook w:firstColumn="1" w:firstRow="1" w:lastColumn="0" w:lastRow="0" w:noHBand="0" w:noVBand="1" w:val="04A0"/>
      </w:tblPr>
      <w:tblGrid>
        <w:gridCol w:w="4680"/>
        <w:gridCol w:w="4680"/>
      </w:tblGrid>
      <w:tr>
        <w:tc>
          <w:tcPr>
            <w:tcW w:type="dxa" w:w="4680"/>
          </w:tcPr>
          <w:p>
            <w:r>
              <w:t>Metric</w:t>
            </w:r>
          </w:p>
        </w:tc>
        <w:tc>
          <w:tcPr>
            <w:tcW w:type="dxa" w:w="4680"/>
          </w:tcPr>
          <w:p>
            <w:r>
              <w:t>Estimated Value</w:t>
            </w:r>
          </w:p>
        </w:tc>
      </w:tr>
      <w:tr>
        <w:tc>
          <w:tcPr>
            <w:tcW w:type="dxa" w:w="4680"/>
          </w:tcPr>
          <w:p>
            <w:r>
              <w:t>Estimated Lines of Code (KLOC)</w:t>
            </w:r>
          </w:p>
        </w:tc>
        <w:tc>
          <w:tcPr>
            <w:tcW w:type="dxa" w:w="4680"/>
          </w:tcPr>
          <w:p>
            <w:r>
              <w:t>5.2 KLOC</w:t>
            </w:r>
          </w:p>
        </w:tc>
      </w:tr>
      <w:tr>
        <w:tc>
          <w:tcPr>
            <w:tcW w:type="dxa" w:w="4680"/>
          </w:tcPr>
          <w:p>
            <w:r>
              <w:t>Development Effort</w:t>
            </w:r>
          </w:p>
        </w:tc>
        <w:tc>
          <w:tcPr>
            <w:tcW w:type="dxa" w:w="4680"/>
          </w:tcPr>
          <w:p>
            <w:r>
              <w:t>14.5 Person-Months</w:t>
            </w:r>
          </w:p>
        </w:tc>
      </w:tr>
      <w:tr>
        <w:tc>
          <w:tcPr>
            <w:tcW w:type="dxa" w:w="4680"/>
          </w:tcPr>
          <w:p>
            <w:r>
              <w:t>Development Cost</w:t>
            </w:r>
          </w:p>
        </w:tc>
        <w:tc>
          <w:tcPr>
            <w:tcW w:type="dxa" w:w="4680"/>
          </w:tcPr>
          <w:p>
            <w:r>
              <w:t>$45,000</w:t>
            </w:r>
          </w:p>
        </w:tc>
      </w:tr>
      <w:tr>
        <w:tc>
          <w:tcPr>
            <w:tcW w:type="dxa" w:w="4680"/>
          </w:tcPr>
          <w:p>
            <w:r>
              <w:t>Required Schedule</w:t>
            </w:r>
          </w:p>
        </w:tc>
        <w:tc>
          <w:tcPr>
            <w:tcW w:type="dxa" w:w="4680"/>
          </w:tcPr>
          <w:p>
            <w:r>
              <w:t>6 Months</w:t>
            </w:r>
          </w:p>
        </w:tc>
      </w:tr>
    </w:tbl>
    <w:p>
      <w:pPr>
        <w:pStyle w:val="Heading1"/>
      </w:pPr>
      <w:r>
        <w:t>2. Overall Description</w:t>
      </w:r>
    </w:p>
    <w:p>
      <w:pPr>
        <w:pStyle w:val="Heading2"/>
      </w:pPr>
      <w:r>
        <w:t>2.1 Product Perspective</w:t>
      </w:r>
    </w:p>
    <w:p>
      <w:r>
        <w:t>The product is a Web Application platform operating in the General domain. It serves as a unified control point for business workflows, combining secure identity, transaction lifecycle handling, reporting, and integration readiness. The architecture is designed to support phased rollout, future scaling, and clear separation between UI, service, and data concerns.</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drawing>
                <wp:inline xmlns:a="http://schemas.openxmlformats.org/drawingml/2006/main" xmlns:pic="http://schemas.openxmlformats.org/drawingml/2006/picture">
                  <wp:extent cx="5303520" cy="3238728"/>
                  <wp:docPr id="7" name="Picture 7"/>
                  <wp:cNvGraphicFramePr>
                    <a:graphicFrameLocks noChangeAspect="1"/>
                  </wp:cNvGraphicFramePr>
                  <a:graphic>
                    <a:graphicData uri="http://schemas.openxmlformats.org/drawingml/2006/picture">
                      <pic:pic>
                        <pic:nvPicPr>
                          <pic:cNvPr id="0" name="69f7521a9e7de9583e2ec20e_system_context.png"/>
                          <pic:cNvPicPr/>
                        </pic:nvPicPr>
                        <pic:blipFill>
                          <a:blip r:embed="rId9"/>
                          <a:stretch>
                            <a:fillRect/>
                          </a:stretch>
                        </pic:blipFill>
                        <pic:spPr>
                          <a:xfrm>
                            <a:off x="0" y="0"/>
                            <a:ext cx="5303520" cy="3238728"/>
                          </a:xfrm>
                          <a:prstGeom prst="rect"/>
                        </pic:spPr>
                      </pic:pic>
                    </a:graphicData>
                  </a:graphic>
                </wp:inline>
              </w:drawing>
            </w:r>
          </w:p>
        </w:tc>
      </w:tr>
    </w:tbl>
    <w:p>
      <w:pPr>
        <w:pStyle w:val="Caption"/>
      </w:pPr>
      <w:r>
        <w:rPr>
          <w:rFonts w:ascii="Arial" w:hAnsi="Arial"/>
          <w:i/>
          <w:sz w:val="20"/>
        </w:rPr>
        <w:t>Figure 1: System Context Diagram</w:t>
      </w:r>
    </w:p>
    <w:p>
      <w:pPr>
        <w:pStyle w:val="Heading2"/>
      </w:pPr>
      <w:r>
        <w:t>2.2 Product Features</w:t>
      </w:r>
    </w:p>
    <w:p>
      <w:pPr>
        <w:pStyle w:val="ListBullet"/>
      </w:pPr>
      <w:r>
        <w:t>Default Feature</w:t>
      </w:r>
    </w:p>
    <w:p>
      <w:pPr>
        <w:pStyle w:val="Heading2"/>
      </w:pPr>
      <w:r>
        <w:t>2.3 User Classes and Characteristics</w:t>
      </w:r>
    </w:p>
    <w:p>
      <w:pPr>
        <w:pStyle w:val="ListBullet"/>
      </w:pPr>
      <w:r>
        <w:t>End User: Uses role-specific modules and dashboards relevant to assigned responsibilities.</w:t>
      </w:r>
    </w:p>
    <w:p>
      <w:pPr>
        <w:pStyle w:val="Heading2"/>
      </w:pPr>
      <w:r>
        <w:t>2.4 Operating Environment</w:t>
      </w:r>
    </w:p>
    <w:p>
      <w:pPr>
        <w:pStyle w:val="ListBullet"/>
      </w:pPr>
      <w:r>
        <w:t>Modern web browsers (Chrome, Edge, Firefox)</w:t>
      </w:r>
    </w:p>
    <w:p>
      <w:pPr>
        <w:pStyle w:val="ListBullet"/>
      </w:pPr>
      <w:r>
        <w:t>Containerized API services with managed cloud runtime</w:t>
      </w:r>
    </w:p>
    <w:p>
      <w:pPr>
        <w:pStyle w:val="ListBullet"/>
      </w:pPr>
      <w:r>
        <w:t>Managed database service with backup and monitoring</w:t>
      </w:r>
    </w:p>
    <w:p>
      <w:pPr>
        <w:pStyle w:val="Heading2"/>
      </w:pPr>
      <w:r>
        <w:t>2.5 Design and Implementation Constraints</w:t>
      </w:r>
    </w:p>
    <w:p>
      <w:pPr>
        <w:pStyle w:val="ListBullet"/>
      </w:pPr>
      <w:r>
        <w:t>All sensitive operations must be authenticated and authorized</w:t>
      </w:r>
    </w:p>
    <w:p>
      <w:pPr>
        <w:pStyle w:val="ListBullet"/>
      </w:pPr>
      <w:r>
        <w:t>APIs should remain backward compatible within the major release</w:t>
      </w:r>
    </w:p>
    <w:p>
      <w:pPr>
        <w:pStyle w:val="ListBullet"/>
      </w:pPr>
      <w:r>
        <w:t>Document generation and reporting should complete within acceptable SLA limits</w:t>
      </w:r>
    </w:p>
    <w:p>
      <w:pPr>
        <w:pStyle w:val="Heading2"/>
      </w:pPr>
      <w:r>
        <w:t>2.6 User Documentation</w:t>
      </w:r>
    </w:p>
    <w:p>
      <w:pPr>
        <w:pStyle w:val="ListBullet"/>
      </w:pPr>
      <w:r>
        <w:t>Administrator setup and role configuration guide</w:t>
      </w:r>
    </w:p>
    <w:p>
      <w:pPr>
        <w:pStyle w:val="ListBullet"/>
      </w:pPr>
      <w:r>
        <w:t>Operations handbook for day-to-day usage</w:t>
      </w:r>
    </w:p>
    <w:p>
      <w:pPr>
        <w:pStyle w:val="ListBullet"/>
      </w:pPr>
      <w:r>
        <w:t>Troubleshooting and escalation reference</w:t>
      </w:r>
    </w:p>
    <w:p>
      <w:pPr>
        <w:pStyle w:val="Heading2"/>
      </w:pPr>
      <w:r>
        <w:t>2.7 Assumptions and Dependencies</w:t>
      </w:r>
    </w:p>
    <w:p>
      <w:pPr>
        <w:pStyle w:val="Heading3"/>
      </w:pPr>
      <w:r>
        <w:t>Assumptions:</w:t>
      </w:r>
    </w:p>
    <w:p>
      <w:pPr>
        <w:pStyle w:val="ListBullet"/>
      </w:pPr>
      <w:r>
        <w:t>Stakeholders provide complete business rules and approval logic</w:t>
      </w:r>
    </w:p>
    <w:p>
      <w:pPr>
        <w:pStyle w:val="ListBullet"/>
      </w:pPr>
      <w:r>
        <w:t>Users have stable internet connectivity and modern browser support</w:t>
      </w:r>
    </w:p>
    <w:p>
      <w:pPr>
        <w:pStyle w:val="Heading3"/>
      </w:pPr>
      <w:r>
        <w:t>Dependencies:</w:t>
      </w:r>
    </w:p>
    <w:p>
      <w:pPr>
        <w:pStyle w:val="ListBullet"/>
      </w:pPr>
      <w:r>
        <w:t>Email delivery provider for notifications and review loops</w:t>
      </w:r>
    </w:p>
    <w:p>
      <w:pPr>
        <w:pStyle w:val="ListBullet"/>
      </w:pPr>
      <w:r>
        <w:t>Database availability for persistent records and audit trails</w:t>
      </w:r>
    </w:p>
    <w:p>
      <w:pPr>
        <w:pStyle w:val="Heading1"/>
      </w:pPr>
      <w:r>
        <w:t>3. System Architecture</w:t>
      </w:r>
    </w:p>
    <w:p>
      <w:r>
        <w:t>The system follows a layered architecture consisting of: Presentation Layer (Web UI), Application Layer (Backend services), Data Layer (Database), and External Integration Layer (APIs, third-party services).</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drawing>
                <wp:inline xmlns:a="http://schemas.openxmlformats.org/drawingml/2006/main" xmlns:pic="http://schemas.openxmlformats.org/drawingml/2006/picture">
                  <wp:extent cx="5303520" cy="3344475"/>
                  <wp:docPr id="8" name="Picture 8"/>
                  <wp:cNvGraphicFramePr>
                    <a:graphicFrameLocks noChangeAspect="1"/>
                  </wp:cNvGraphicFramePr>
                  <a:graphic>
                    <a:graphicData uri="http://schemas.openxmlformats.org/drawingml/2006/picture">
                      <pic:pic>
                        <pic:nvPicPr>
                          <pic:cNvPr id="0" name="69f7521a9e7de9583e2ec20e_system_architecture.png"/>
                          <pic:cNvPicPr/>
                        </pic:nvPicPr>
                        <pic:blipFill>
                          <a:blip r:embed="rId10"/>
                          <a:stretch>
                            <a:fillRect/>
                          </a:stretch>
                        </pic:blipFill>
                        <pic:spPr>
                          <a:xfrm>
                            <a:off x="0" y="0"/>
                            <a:ext cx="5303520" cy="3344475"/>
                          </a:xfrm>
                          <a:prstGeom prst="rect"/>
                        </pic:spPr>
                      </pic:pic>
                    </a:graphicData>
                  </a:graphic>
                </wp:inline>
              </w:drawing>
            </w:r>
          </w:p>
        </w:tc>
      </w:tr>
    </w:tbl>
    <w:p>
      <w:pPr>
        <w:pStyle w:val="Caption"/>
      </w:pPr>
      <w:r>
        <w:rPr>
          <w:rFonts w:ascii="Arial" w:hAnsi="Arial"/>
          <w:i/>
          <w:sz w:val="20"/>
        </w:rPr>
        <w:t>Figure 2: System Architecture Diagram</w:t>
      </w:r>
    </w:p>
    <w:p>
      <w:pPr>
        <w:pStyle w:val="Heading1"/>
      </w:pPr>
      <w:r>
        <w:t>4. Functional Requirements</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drawing>
                <wp:inline xmlns:a="http://schemas.openxmlformats.org/drawingml/2006/main" xmlns:pic="http://schemas.openxmlformats.org/drawingml/2006/picture">
                  <wp:extent cx="5303520" cy="1603656"/>
                  <wp:docPr id="9" name="Picture 9"/>
                  <wp:cNvGraphicFramePr>
                    <a:graphicFrameLocks noChangeAspect="1"/>
                  </wp:cNvGraphicFramePr>
                  <a:graphic>
                    <a:graphicData uri="http://schemas.openxmlformats.org/drawingml/2006/picture">
                      <pic:pic>
                        <pic:nvPicPr>
                          <pic:cNvPr id="0" name="69f7521a9e7de9583e2ec20e_use_case.png"/>
                          <pic:cNvPicPr/>
                        </pic:nvPicPr>
                        <pic:blipFill>
                          <a:blip r:embed="rId11"/>
                          <a:stretch>
                            <a:fillRect/>
                          </a:stretch>
                        </pic:blipFill>
                        <pic:spPr>
                          <a:xfrm>
                            <a:off x="0" y="0"/>
                            <a:ext cx="5303520" cy="1603656"/>
                          </a:xfrm>
                          <a:prstGeom prst="rect"/>
                        </pic:spPr>
                      </pic:pic>
                    </a:graphicData>
                  </a:graphic>
                </wp:inline>
              </w:drawing>
            </w:r>
          </w:p>
        </w:tc>
      </w:tr>
    </w:tbl>
    <w:p>
      <w:pPr>
        <w:pStyle w:val="Caption"/>
      </w:pPr>
      <w:r>
        <w:rPr>
          <w:rFonts w:ascii="Arial" w:hAnsi="Arial"/>
          <w:i/>
          <w:sz w:val="20"/>
        </w:rPr>
        <w:t>Figure 3: Use Case Diagram</w:t>
      </w:r>
    </w:p>
    <w:p>
      <w:pPr>
        <w:pStyle w:val="Heading2"/>
      </w:pPr>
      <w:r>
        <w:t>4.1 Default Feature</w:t>
      </w:r>
    </w:p>
    <w:p>
      <w:r>
        <w:t>Description: Standard user flow.</w:t>
      </w:r>
    </w:p>
    <w:p>
      <w:pPr>
        <w:pStyle w:val="Heading3"/>
      </w:pPr>
      <w:r>
        <w:t>Functional Requirements:</w:t>
      </w:r>
    </w:p>
    <w:p>
      <w:pPr>
        <w:pStyle w:val="ListBullet"/>
      </w:pPr>
      <w:r>
        <w:t>Support: Default Feature</w:t>
      </w:r>
    </w:p>
    <w:p>
      <w:pPr>
        <w:pStyle w:val="Heading1"/>
      </w:pPr>
      <w:r>
        <w:t>5. User Workflow</w:t>
      </w:r>
    </w:p>
    <w:p>
      <w:r>
        <w:t>The typical user workflow includes: User logs into the system; System validates credentials; User accesses role-based dashboard; User performs permitted actions; System processes and stores data; User views results or reports.</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drawing>
                <wp:inline xmlns:a="http://schemas.openxmlformats.org/drawingml/2006/main" xmlns:pic="http://schemas.openxmlformats.org/drawingml/2006/picture">
                  <wp:extent cx="5303520" cy="486293"/>
                  <wp:docPr id="10" name="Picture 10"/>
                  <wp:cNvGraphicFramePr>
                    <a:graphicFrameLocks noChangeAspect="1"/>
                  </wp:cNvGraphicFramePr>
                  <a:graphic>
                    <a:graphicData uri="http://schemas.openxmlformats.org/drawingml/2006/picture">
                      <pic:pic>
                        <pic:nvPicPr>
                          <pic:cNvPr id="0" name="69f7521a9e7de9583e2ec20e_user_workflow.png"/>
                          <pic:cNvPicPr/>
                        </pic:nvPicPr>
                        <pic:blipFill>
                          <a:blip r:embed="rId12"/>
                          <a:stretch>
                            <a:fillRect/>
                          </a:stretch>
                        </pic:blipFill>
                        <pic:spPr>
                          <a:xfrm>
                            <a:off x="0" y="0"/>
                            <a:ext cx="5303520" cy="486293"/>
                          </a:xfrm>
                          <a:prstGeom prst="rect"/>
                        </pic:spPr>
                      </pic:pic>
                    </a:graphicData>
                  </a:graphic>
                </wp:inline>
              </w:drawing>
            </w:r>
          </w:p>
        </w:tc>
      </w:tr>
    </w:tbl>
    <w:p>
      <w:pPr>
        <w:pStyle w:val="Caption"/>
      </w:pPr>
      <w:r>
        <w:rPr>
          <w:rFonts w:ascii="Arial" w:hAnsi="Arial"/>
          <w:i/>
          <w:sz w:val="20"/>
        </w:rPr>
        <w:t>Figure 4: User Workflow Diagram</w:t>
      </w:r>
    </w:p>
    <w:p>
      <w:pPr>
        <w:pStyle w:val="Heading1"/>
      </w:pPr>
      <w:r>
        <w:t>6. Non-Functional Requirements</w:t>
      </w:r>
    </w:p>
    <w:p>
      <w:pPr>
        <w:pStyle w:val="Heading2"/>
      </w:pPr>
      <w:r>
        <w:t>6.1 Performance</w:t>
      </w:r>
    </w:p>
    <w:p>
      <w:pPr>
        <w:pStyle w:val="ListBullet"/>
      </w:pPr>
      <w:r>
        <w:t>System performance target: Normal under expected user scale 100-1k.</w:t>
      </w:r>
      <w:r>
        <w:rPr>
          <w:i/>
        </w:rPr>
        <w:br/>
        <w:t>Rationale: User-specified baseline.</w:t>
      </w:r>
    </w:p>
    <w:p>
      <w:pPr>
        <w:pStyle w:val="ListBullet"/>
      </w:pPr>
      <w:r>
        <w:t>Primary API operations should return within acceptable interactive latency for standard workloads.</w:t>
      </w:r>
      <w:r>
        <w:rPr>
          <w:i/>
        </w:rPr>
        <w:br/>
        <w:t>Rationale: Usability and productivity.</w:t>
      </w:r>
    </w:p>
    <w:p>
      <w:pPr>
        <w:pStyle w:val="ListBullet"/>
      </w:pPr>
      <w:r>
        <w:t>Report and document generation pipelines should provide progress status and deterministic completion behavior.</w:t>
      </w:r>
      <w:r>
        <w:rPr>
          <w:i/>
        </w:rPr>
        <w:br/>
        <w:t>Rationale: Operational reliability.</w:t>
      </w:r>
    </w:p>
    <w:p>
      <w:pPr>
        <w:pStyle w:val="Heading2"/>
      </w:pPr>
      <w:r>
        <w:t>6.2 Safety</w:t>
      </w:r>
    </w:p>
    <w:p>
      <w:pPr>
        <w:pStyle w:val="ListBullet"/>
      </w:pPr>
      <w:r>
        <w:t>Critical operations must validate business rules before persisting state changes.</w:t>
      </w:r>
      <w:r>
        <w:rPr>
          <w:i/>
        </w:rPr>
        <w:br/>
        <w:t>Rationale: Prevent invalid transactions.</w:t>
      </w:r>
    </w:p>
    <w:p>
      <w:pPr>
        <w:pStyle w:val="ListBullet"/>
      </w:pPr>
      <w:r>
        <w:t>System should provide safe rollback/retry behavior for failed asynchronous operations.</w:t>
      </w:r>
      <w:r>
        <w:rPr>
          <w:i/>
        </w:rPr>
        <w:br/>
        <w:t>Rationale: Data consistency.</w:t>
      </w:r>
    </w:p>
    <w:p>
      <w:pPr>
        <w:pStyle w:val="Heading2"/>
      </w:pPr>
      <w:r>
        <w:t>6.3 Security</w:t>
      </w:r>
    </w:p>
    <w:p>
      <w:pPr>
        <w:pStyle w:val="ListBullet"/>
      </w:pPr>
      <w:r>
        <w:t>Authentication required.</w:t>
      </w:r>
      <w:r>
        <w:rPr>
          <w:i/>
        </w:rPr>
        <w:br/>
        <w:t>Rationale: Security.</w:t>
      </w:r>
    </w:p>
    <w:p>
      <w:pPr>
        <w:pStyle w:val="ListBullet"/>
      </w:pPr>
      <w:r>
        <w:t>Role-based authorization must be enforced at API and workflow layers.</w:t>
      </w:r>
      <w:r>
        <w:rPr>
          <w:i/>
        </w:rPr>
        <w:br/>
        <w:t>Rationale: Access control.</w:t>
      </w:r>
    </w:p>
    <w:p>
      <w:pPr>
        <w:pStyle w:val="ListBullet"/>
      </w:pPr>
      <w:r>
        <w:t>Sensitive data should be protected in transit and at rest.</w:t>
      </w:r>
      <w:r>
        <w:rPr>
          <w:i/>
        </w:rPr>
        <w:br/>
        <w:t>Rationale: Compliance and risk reduction.</w:t>
      </w:r>
    </w:p>
    <w:p>
      <w:pPr>
        <w:pStyle w:val="Heading2"/>
      </w:pPr>
      <w:r>
        <w:t>6.4 Quality</w:t>
      </w:r>
    </w:p>
    <w:p>
      <w:pPr>
        <w:pStyle w:val="ListBullet"/>
      </w:pPr>
      <w:r>
        <w:t>Maintainable module boundaries and clear service contracts.</w:t>
      </w:r>
      <w:r>
        <w:rPr>
          <w:i/>
        </w:rPr>
        <w:br/>
        <w:t>Rationale: Long-term extensibility.</w:t>
      </w:r>
    </w:p>
    <w:p>
      <w:pPr>
        <w:pStyle w:val="ListBullet"/>
      </w:pPr>
      <w:r>
        <w:t>Observable runtime behavior with logs, status endpoints, and workflow events.</w:t>
      </w:r>
      <w:r>
        <w:rPr>
          <w:i/>
        </w:rPr>
        <w:br/>
        <w:t>Rationale: Supportability.</w:t>
      </w:r>
    </w:p>
    <w:p>
      <w:pPr>
        <w:pStyle w:val="Heading1"/>
      </w:pPr>
      <w:r>
        <w:t>7. Security Requirements</w:t>
      </w:r>
    </w:p>
    <w:p>
      <w:r>
        <w:t>The system shall: Enforce secure authentication mechanisms; Use encrypted communication channels; Protect sensitive data from unauthorized access; Log security-related events.</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drawing>
                <wp:inline xmlns:a="http://schemas.openxmlformats.org/drawingml/2006/main" xmlns:pic="http://schemas.openxmlformats.org/drawingml/2006/picture">
                  <wp:extent cx="5303520" cy="473117"/>
                  <wp:docPr id="11" name="Picture 11"/>
                  <wp:cNvGraphicFramePr>
                    <a:graphicFrameLocks noChangeAspect="1"/>
                  </wp:cNvGraphicFramePr>
                  <a:graphic>
                    <a:graphicData uri="http://schemas.openxmlformats.org/drawingml/2006/picture">
                      <pic:pic>
                        <pic:nvPicPr>
                          <pic:cNvPr id="0" name="69f7521a9e7de9583e2ec20e_security_flow.png"/>
                          <pic:cNvPicPr/>
                        </pic:nvPicPr>
                        <pic:blipFill>
                          <a:blip r:embed="rId13"/>
                          <a:stretch>
                            <a:fillRect/>
                          </a:stretch>
                        </pic:blipFill>
                        <pic:spPr>
                          <a:xfrm>
                            <a:off x="0" y="0"/>
                            <a:ext cx="5303520" cy="473117"/>
                          </a:xfrm>
                          <a:prstGeom prst="rect"/>
                        </pic:spPr>
                      </pic:pic>
                    </a:graphicData>
                  </a:graphic>
                </wp:inline>
              </w:drawing>
            </w:r>
          </w:p>
        </w:tc>
      </w:tr>
    </w:tbl>
    <w:p>
      <w:pPr>
        <w:pStyle w:val="Caption"/>
      </w:pPr>
      <w:r>
        <w:rPr>
          <w:rFonts w:ascii="Arial" w:hAnsi="Arial"/>
          <w:i/>
          <w:sz w:val="20"/>
        </w:rPr>
        <w:t>Figure 5: Security Flow Diagram</w:t>
      </w:r>
    </w:p>
    <w:p>
      <w:pPr>
        <w:pStyle w:val="Heading1"/>
      </w:pPr>
      <w:r>
        <w:t>8. Data Requirements</w:t>
      </w:r>
    </w:p>
    <w:p>
      <w:r>
        <w:t>The system shall manage structured data entities and their relationships efficiently.</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drawing>
                <wp:inline xmlns:a="http://schemas.openxmlformats.org/drawingml/2006/main" xmlns:pic="http://schemas.openxmlformats.org/drawingml/2006/picture">
                  <wp:extent cx="5303520" cy="4368744"/>
                  <wp:docPr id="12" name="Picture 12"/>
                  <wp:cNvGraphicFramePr>
                    <a:graphicFrameLocks noChangeAspect="1"/>
                  </wp:cNvGraphicFramePr>
                  <a:graphic>
                    <a:graphicData uri="http://schemas.openxmlformats.org/drawingml/2006/picture">
                      <pic:pic>
                        <pic:nvPicPr>
                          <pic:cNvPr id="0" name="69f7521a9e7de9583e2ec20e_data_erd.png"/>
                          <pic:cNvPicPr/>
                        </pic:nvPicPr>
                        <pic:blipFill>
                          <a:blip r:embed="rId14"/>
                          <a:stretch>
                            <a:fillRect/>
                          </a:stretch>
                        </pic:blipFill>
                        <pic:spPr>
                          <a:xfrm>
                            <a:off x="0" y="0"/>
                            <a:ext cx="5303520" cy="4368744"/>
                          </a:xfrm>
                          <a:prstGeom prst="rect"/>
                        </pic:spPr>
                      </pic:pic>
                    </a:graphicData>
                  </a:graphic>
                </wp:inline>
              </w:drawing>
            </w:r>
          </w:p>
        </w:tc>
      </w:tr>
    </w:tbl>
    <w:p>
      <w:pPr>
        <w:pStyle w:val="Caption"/>
      </w:pPr>
      <w:r>
        <w:rPr>
          <w:rFonts w:ascii="Arial" w:hAnsi="Arial"/>
          <w:i/>
          <w:sz w:val="20"/>
        </w:rPr>
        <w:t>Figure 6: Entity Relationship Diagram</w:t>
      </w:r>
    </w:p>
    <w:p>
      <w:pPr>
        <w:pStyle w:val="Heading1"/>
      </w:pPr>
      <w:r>
        <w:t>9. External Interface Requirements</w:t>
      </w:r>
    </w:p>
    <w:p>
      <w:pPr>
        <w:pStyle w:val="Heading2"/>
      </w:pPr>
      <w:r>
        <w:t>4.1 User Interfaces</w:t>
      </w:r>
    </w:p>
    <w:p>
      <w:r>
        <w:t>Responsive web interface with role-specific dashboards, controlled forms, and guided workflows.</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drawing>
                <wp:inline xmlns:a="http://schemas.openxmlformats.org/drawingml/2006/main" xmlns:pic="http://schemas.openxmlformats.org/drawingml/2006/picture">
                  <wp:extent cx="5486400" cy="1288752"/>
                  <wp:docPr id="13" name="Picture 13"/>
                  <wp:cNvGraphicFramePr>
                    <a:graphicFrameLocks noChangeAspect="1"/>
                  </wp:cNvGraphicFramePr>
                  <a:graphic>
                    <a:graphicData uri="http://schemas.openxmlformats.org/drawingml/2006/picture">
                      <pic:pic>
                        <pic:nvPicPr>
                          <pic:cNvPr id="0" name="69f7521a9e7de9583e2ec20e_user_interfaces_diagram.png"/>
                          <pic:cNvPicPr/>
                        </pic:nvPicPr>
                        <pic:blipFill>
                          <a:blip r:embed="rId15"/>
                          <a:stretch>
                            <a:fillRect/>
                          </a:stretch>
                        </pic:blipFill>
                        <pic:spPr>
                          <a:xfrm>
                            <a:off x="0" y="0"/>
                            <a:ext cx="5486400" cy="1288752"/>
                          </a:xfrm>
                          <a:prstGeom prst="rect"/>
                        </pic:spPr>
                      </pic:pic>
                    </a:graphicData>
                  </a:graphic>
                </wp:inline>
              </w:drawing>
            </w:r>
          </w:p>
        </w:tc>
      </w:tr>
    </w:tbl>
    <w:p>
      <w:pPr>
        <w:pStyle w:val="Caption"/>
      </w:pPr>
      <w:r>
        <w:rPr>
          <w:rFonts w:ascii="Arial" w:hAnsi="Arial"/>
          <w:i/>
          <w:sz w:val="20"/>
        </w:rPr>
        <w:t>Figure 7: User Interface Diagram</w:t>
      </w:r>
    </w:p>
    <w:p>
      <w:pPr>
        <w:pStyle w:val="Heading2"/>
      </w:pPr>
      <w:r>
        <w:t>4.2 Hardware Interfaces</w:t>
      </w:r>
    </w:p>
    <w:p>
      <w:r>
        <w:t>Compatible with standard workstation environments and cloud-hosted runtime infrastructure.</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drawing>
                <wp:inline xmlns:a="http://schemas.openxmlformats.org/drawingml/2006/main" xmlns:pic="http://schemas.openxmlformats.org/drawingml/2006/picture">
                  <wp:extent cx="5486400" cy="1288752"/>
                  <wp:docPr id="14" name="Picture 14"/>
                  <wp:cNvGraphicFramePr>
                    <a:graphicFrameLocks noChangeAspect="1"/>
                  </wp:cNvGraphicFramePr>
                  <a:graphic>
                    <a:graphicData uri="http://schemas.openxmlformats.org/drawingml/2006/picture">
                      <pic:pic>
                        <pic:nvPicPr>
                          <pic:cNvPr id="0" name="69f7521a9e7de9583e2ec20e_user_interfaces_diagram.png"/>
                          <pic:cNvPicPr/>
                        </pic:nvPicPr>
                        <pic:blipFill>
                          <a:blip r:embed="rId15"/>
                          <a:stretch>
                            <a:fillRect/>
                          </a:stretch>
                        </pic:blipFill>
                        <pic:spPr>
                          <a:xfrm>
                            <a:off x="0" y="0"/>
                            <a:ext cx="5486400" cy="1288752"/>
                          </a:xfrm>
                          <a:prstGeom prst="rect"/>
                        </pic:spPr>
                      </pic:pic>
                    </a:graphicData>
                  </a:graphic>
                </wp:inline>
              </w:drawing>
            </w:r>
          </w:p>
        </w:tc>
      </w:tr>
    </w:tbl>
    <w:p>
      <w:pPr>
        <w:pStyle w:val="Caption"/>
      </w:pPr>
      <w:r>
        <w:rPr>
          <w:rFonts w:ascii="Arial" w:hAnsi="Arial"/>
          <w:i/>
          <w:sz w:val="20"/>
        </w:rPr>
        <w:t>Figure 8: Hardware Interface Diagram</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drawing>
                <wp:inline xmlns:a="http://schemas.openxmlformats.org/drawingml/2006/main" xmlns:pic="http://schemas.openxmlformats.org/drawingml/2006/picture">
                  <wp:extent cx="5029200" cy="1181356"/>
                  <wp:docPr id="15" name="Picture 15"/>
                  <wp:cNvGraphicFramePr>
                    <a:graphicFrameLocks noChangeAspect="1"/>
                  </wp:cNvGraphicFramePr>
                  <a:graphic>
                    <a:graphicData uri="http://schemas.openxmlformats.org/drawingml/2006/picture">
                      <pic:pic>
                        <pic:nvPicPr>
                          <pic:cNvPr id="0" name="69f7521a9e7de9583e2ec20e_user_interfaces_diagram.png"/>
                          <pic:cNvPicPr/>
                        </pic:nvPicPr>
                        <pic:blipFill>
                          <a:blip r:embed="rId15"/>
                          <a:stretch>
                            <a:fillRect/>
                          </a:stretch>
                        </pic:blipFill>
                        <pic:spPr>
                          <a:xfrm>
                            <a:off x="0" y="0"/>
                            <a:ext cx="5029200" cy="1181356"/>
                          </a:xfrm>
                          <a:prstGeom prst="rect"/>
                        </pic:spPr>
                      </pic:pic>
                    </a:graphicData>
                  </a:graphic>
                </wp:inline>
              </w:drawing>
            </w:r>
          </w:p>
        </w:tc>
      </w:tr>
    </w:tbl>
    <w:p>
      <w:pPr>
        <w:pStyle w:val="Caption"/>
      </w:pPr>
      <w:r>
        <w:rPr>
          <w:rFonts w:ascii="Arial" w:hAnsi="Arial"/>
          <w:i/>
          <w:sz w:val="20"/>
        </w:rPr>
        <w:t>Figure 9: Software/API Interface Diagram</w:t>
      </w:r>
    </w:p>
    <w:p>
      <w:r>
        <w:t>Secure HTTPS-based REST APIs with token authentication, request validation, and structured error handling.</w:t>
      </w:r>
    </w:p>
    <w:p>
      <w:pPr>
        <w:pStyle w:val="Heading1"/>
      </w:pPr>
      <w:r>
        <w:t>10. Assumptions and Dependencies</w:t>
      </w:r>
    </w:p>
    <w:p>
      <w:pPr>
        <w:pStyle w:val="Heading3"/>
      </w:pPr>
      <w:r>
        <w:t>Assumption 1:</w:t>
      </w:r>
    </w:p>
    <w:p>
      <w:r>
        <w:t>Stakeholders have agreed on the problem statement and scope.</w:t>
      </w:r>
    </w:p>
    <w:p>
      <w:r>
        <w:rPr>
          <w:b/>
        </w:rPr>
        <w:t xml:space="preserve">Impact: </w:t>
      </w:r>
      <w:r>
        <w:t>Scope clarity.</w:t>
      </w:r>
    </w:p>
    <w:p>
      <w:pPr>
        <w:pStyle w:val="Heading3"/>
      </w:pPr>
      <w:r>
        <w:t>Assumption 2:</w:t>
      </w:r>
    </w:p>
    <w:p>
      <w:r>
        <w:t>Target users: End User.</w:t>
      </w:r>
    </w:p>
    <w:p>
      <w:r>
        <w:rPr>
          <w:b/>
        </w:rPr>
        <w:t xml:space="preserve">Impact: </w:t>
      </w:r>
      <w:r>
        <w:t>Audience.</w:t>
      </w:r>
    </w:p>
    <w:p>
      <w:pPr>
        <w:pStyle w:val="Heading1"/>
      </w:pPr>
      <w:r>
        <w:t>11. Future Enhancements</w:t>
      </w:r>
    </w:p>
    <w:p>
      <w:pPr>
        <w:pStyle w:val="ListBullet"/>
      </w:pPr>
      <w:r>
        <w:t>Mobile application support</w:t>
      </w:r>
    </w:p>
    <w:p>
      <w:pPr>
        <w:pStyle w:val="ListBullet"/>
      </w:pPr>
      <w:r>
        <w:t>Advanced analytics and insights</w:t>
      </w:r>
    </w:p>
    <w:p>
      <w:pPr>
        <w:pStyle w:val="ListBullet"/>
      </w:pPr>
      <w:r>
        <w:t>Integration with additional third-party services</w:t>
      </w:r>
    </w:p>
    <w:p>
      <w:pPr>
        <w:sectPr>
          <w:type w:val="nextPage"/>
          <w:pgSz w:w="12240" w:h="15840"/>
          <w:pgMar w:top="1440" w:right="1440" w:bottom="1440" w:left="1440" w:header="720" w:footer="720" w:gutter="0"/>
          <w:cols w:space="720"/>
          <w:docGrid w:linePitch="360"/>
        </w:sectPr>
      </w:pPr>
    </w:p>
    <w:p>
      <w:pPr>
        <w:pStyle w:val="Heading1"/>
      </w:pPr>
      <w:r>
        <w:t>Appendices</w:t>
      </w:r>
    </w:p>
    <w:p>
      <w:r>
        <w:t>The following appendices provide detailed specifications, models, and analysis for the proposed system.</w:t>
      </w:r>
    </w:p>
    <w:p>
      <w:pPr>
        <w:pStyle w:val="Heading2"/>
      </w:pPr>
      <w:r>
        <w:t>Appendix A: Detailed User Personas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User Class</w:t>
            </w:r>
          </w:p>
        </w:tc>
        <w:tc>
          <w:tcPr>
            <w:tcW w:type="dxa" w:w="2340"/>
          </w:tcPr>
          <w:p>
            <w:r>
              <w:t>Description</w:t>
            </w:r>
          </w:p>
        </w:tc>
        <w:tc>
          <w:tcPr>
            <w:tcW w:type="dxa" w:w="2340"/>
          </w:tcPr>
          <w:p>
            <w:r>
              <w:t>Responsibilities</w:t>
            </w:r>
          </w:p>
        </w:tc>
        <w:tc>
          <w:tcPr>
            <w:tcW w:type="dxa" w:w="2340"/>
          </w:tcPr>
          <w:p>
            <w:r>
              <w:t>Skills/Requirements</w:t>
            </w:r>
          </w:p>
        </w:tc>
      </w:tr>
      <w:tr>
        <w:tc>
          <w:tcPr>
            <w:tcW w:type="dxa" w:w="2340"/>
          </w:tcPr>
          <w:p>
            <w:r>
              <w:t>End User</w:t>
            </w:r>
          </w:p>
        </w:tc>
        <w:tc>
          <w:tcPr>
            <w:tcW w:type="dxa" w:w="2340"/>
          </w:tcPr>
          <w:p>
            <w:r>
              <w:t>Uses role-specific modules and dashboards relevant to assigned responsibilities.</w:t>
            </w:r>
          </w:p>
        </w:tc>
        <w:tc>
          <w:tcPr>
            <w:tcW w:type="dxa" w:w="2340"/>
          </w:tcPr>
          <w:p>
            <w:r>
              <w:t>Perform domain operations, review records, and track workflow status.</w:t>
            </w:r>
          </w:p>
        </w:tc>
        <w:tc>
          <w:tcPr>
            <w:tcW w:type="dxa" w:w="2340"/>
          </w:tcPr>
          <w:p>
            <w:r>
              <w:t>Basic process knowledge and familiarity with secure web applications.</w:t>
            </w:r>
          </w:p>
        </w:tc>
      </w:tr>
    </w:tbl>
    <w:p>
      <w:pPr>
        <w:pStyle w:val="Heading2"/>
      </w:pPr>
      <w:r>
        <w:t>Appendix B: Use Case Specifications</w:t>
      </w:r>
    </w:p>
    <w:p>
      <w:pPr>
        <w:pStyle w:val="Heading3"/>
      </w:pPr>
      <w:r>
        <w:t>Default Feature</w:t>
      </w:r>
    </w:p>
    <w:tbl>
      <w:tblPr>
        <w:tblStyle w:val="TableGrid"/>
        <w:tblW w:type="auto" w:w="0"/>
        <w:tblLayout w:type="autofit"/>
        <w:tblLook w:firstColumn="1" w:firstRow="1" w:lastColumn="0" w:lastRow="0" w:noHBand="0" w:noVBand="1" w:val="04A0"/>
      </w:tblPr>
      <w:tblGrid>
        <w:gridCol w:w="4680"/>
        <w:gridCol w:w="4680"/>
      </w:tblGrid>
      <w:tr>
        <w:tc>
          <w:tcPr>
            <w:tcW w:type="dxa" w:w="4680"/>
          </w:tcPr>
          <w:p>
            <w:r>
              <w:t>Description</w:t>
            </w:r>
          </w:p>
        </w:tc>
        <w:tc>
          <w:tcPr>
            <w:tcW w:type="dxa" w:w="4680"/>
          </w:tcPr>
          <w:p>
            <w:r>
              <w:t>Standard user flow.</w:t>
            </w:r>
          </w:p>
        </w:tc>
      </w:tr>
      <w:tr>
        <w:tc>
          <w:tcPr>
            <w:tcW w:type="dxa" w:w="4680"/>
          </w:tcPr>
          <w:p>
            <w:r>
              <w:t>Inputs</w:t>
            </w:r>
          </w:p>
        </w:tc>
        <w:tc>
          <w:tcPr>
            <w:tcW w:type="dxa" w:w="4680"/>
          </w:tcPr>
          <w:p>
            <w:r>
              <w:t>Authenticated user context, validated payload, and policy constraints.</w:t>
            </w:r>
          </w:p>
        </w:tc>
      </w:tr>
      <w:tr>
        <w:tc>
          <w:tcPr>
            <w:tcW w:type="dxa" w:w="4680"/>
          </w:tcPr>
          <w:p>
            <w:r>
              <w:t>Functional Specs</w:t>
            </w:r>
          </w:p>
        </w:tc>
        <w:tc>
          <w:tcPr>
            <w:tcW w:type="dxa" w:w="4680"/>
          </w:tcPr>
          <w:p>
            <w:r>
              <w:t>• The system shall provide a complete default feature workflow with create, validate, update, and close actions.</w:t>
              <w:br/>
              <w:t>• The system shall enforce role-based access and approval checkpoints for default feature operations.</w:t>
              <w:br/>
              <w:t>• The system shall persist all default feature transactions with timestamps and actor identifiers for traceability.</w:t>
              <w:br/>
              <w:t>• The system shall expose filtered views and reports for default feature to support monitoring and decision-making.</w:t>
            </w:r>
          </w:p>
        </w:tc>
      </w:tr>
      <w:tr>
        <w:tc>
          <w:tcPr>
            <w:tcW w:type="dxa" w:w="4680"/>
          </w:tcPr>
          <w:p>
            <w:r>
              <w:t>Outputs</w:t>
            </w:r>
          </w:p>
        </w:tc>
        <w:tc>
          <w:tcPr>
            <w:tcW w:type="dxa" w:w="4680"/>
          </w:tcPr>
          <w:p>
            <w:r>
              <w:t>Persisted transaction result, status update, and user-visible confirmation.</w:t>
            </w:r>
          </w:p>
        </w:tc>
      </w:tr>
      <w:tr>
        <w:tc>
          <w:tcPr>
            <w:tcW w:type="dxa" w:w="4680"/>
          </w:tcPr>
          <w:p>
            <w:r>
              <w:t>Acceptance Criteria</w:t>
            </w:r>
          </w:p>
        </w:tc>
        <w:tc>
          <w:tcPr>
            <w:tcW w:type="dxa" w:w="4680"/>
          </w:tcPr>
          <w:p>
            <w:r>
              <w:t>Operation completes successfully with validation, authorization, and audit logging.</w:t>
            </w:r>
          </w:p>
        </w:tc>
      </w:tr>
    </w:tbl>
    <w:p/>
    <w:p>
      <w:pPr>
        <w:pStyle w:val="Heading2"/>
      </w:pPr>
      <w:r>
        <w:t>Appendix C: System Models</w:t>
      </w:r>
    </w:p>
    <w:p>
      <w:pPr>
        <w:pStyle w:val="Heading1"/>
      </w:pPr>
      <w:r>
        <w:t>System Modeling &amp; Design</w:t>
      </w:r>
    </w:p>
    <w:p>
      <w:pPr>
        <w:pStyle w:val="Heading2"/>
      </w:pPr>
      <w:r>
        <w:t>Core Sequence Diagram</w:t>
      </w:r>
    </w:p>
    <w:p>
      <w:r>
        <w:t>The following sequence diagram illustrates the typical interaction flow between the user, frontend, backend API, and data layer for a primary system action.</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drawing>
                <wp:inline xmlns:a="http://schemas.openxmlformats.org/drawingml/2006/main" xmlns:pic="http://schemas.openxmlformats.org/drawingml/2006/picture">
                  <wp:extent cx="5486400" cy="3301322"/>
                  <wp:docPr id="16" name="Picture 16"/>
                  <wp:cNvGraphicFramePr>
                    <a:graphicFrameLocks noChangeAspect="1"/>
                  </wp:cNvGraphicFramePr>
                  <a:graphic>
                    <a:graphicData uri="http://schemas.openxmlformats.org/drawingml/2006/picture">
                      <pic:pic>
                        <pic:nvPicPr>
                          <pic:cNvPr id="0" name="69f7521a9e7de9583e2ec20e_sequence_diagram.png"/>
                          <pic:cNvPicPr/>
                        </pic:nvPicPr>
                        <pic:blipFill>
                          <a:blip r:embed="rId16"/>
                          <a:stretch>
                            <a:fillRect/>
                          </a:stretch>
                        </pic:blipFill>
                        <pic:spPr>
                          <a:xfrm>
                            <a:off x="0" y="0"/>
                            <a:ext cx="5486400" cy="3301322"/>
                          </a:xfrm>
                          <a:prstGeom prst="rect"/>
                        </pic:spPr>
                      </pic:pic>
                    </a:graphicData>
                  </a:graphic>
                </wp:inline>
              </w:drawing>
            </w:r>
          </w:p>
        </w:tc>
      </w:tr>
    </w:tbl>
    <w:p>
      <w:pPr>
        <w:pStyle w:val="Caption"/>
      </w:pPr>
      <w:r>
        <w:rPr>
          <w:rFonts w:ascii="Arial" w:hAnsi="Arial"/>
          <w:i/>
          <w:sz w:val="20"/>
        </w:rPr>
        <w:t>Figure: System Sequence Diagram</w:t>
      </w:r>
    </w:p>
    <w:p>
      <w:pPr>
        <w:pStyle w:val="Heading2"/>
      </w:pPr>
      <w:r>
        <w:t>Entity State Diagram</w:t>
      </w:r>
    </w:p>
    <w:p>
      <w:r>
        <w:t>The state diagram below depicts the lifecycle of key system entities (e.g., Orders, Tickets, or User Sessions) as they transition through various statuses.</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drawing>
                <wp:inline xmlns:a="http://schemas.openxmlformats.org/drawingml/2006/main" xmlns:pic="http://schemas.openxmlformats.org/drawingml/2006/picture">
                  <wp:extent cx="5486400" cy="13863071"/>
                  <wp:docPr id="17" name="Picture 17"/>
                  <wp:cNvGraphicFramePr>
                    <a:graphicFrameLocks noChangeAspect="1"/>
                  </wp:cNvGraphicFramePr>
                  <a:graphic>
                    <a:graphicData uri="http://schemas.openxmlformats.org/drawingml/2006/picture">
                      <pic:pic>
                        <pic:nvPicPr>
                          <pic:cNvPr id="0" name="69f7521a9e7de9583e2ec20e_state_diagram.png"/>
                          <pic:cNvPicPr/>
                        </pic:nvPicPr>
                        <pic:blipFill>
                          <a:blip r:embed="rId17"/>
                          <a:stretch>
                            <a:fillRect/>
                          </a:stretch>
                        </pic:blipFill>
                        <pic:spPr>
                          <a:xfrm>
                            <a:off x="0" y="0"/>
                            <a:ext cx="5486400" cy="13863071"/>
                          </a:xfrm>
                          <a:prstGeom prst="rect"/>
                        </pic:spPr>
                      </pic:pic>
                    </a:graphicData>
                  </a:graphic>
                </wp:inline>
              </w:drawing>
            </w:r>
          </w:p>
        </w:tc>
      </w:tr>
    </w:tbl>
    <w:p>
      <w:pPr>
        <w:pStyle w:val="Caption"/>
      </w:pPr>
      <w:r>
        <w:rPr>
          <w:rFonts w:ascii="Arial" w:hAnsi="Arial"/>
          <w:i/>
          <w:sz w:val="20"/>
        </w:rPr>
        <w:t>Figure: Entity State Diagram</w:t>
      </w:r>
    </w:p>
    <w:p>
      <w:pPr>
        <w:pStyle w:val="Heading2"/>
      </w:pPr>
      <w:r>
        <w:t>Appendix D: UI Prototypes</w:t>
      </w:r>
    </w:p>
    <w:p>
      <w:pPr>
        <w:pStyle w:val="Heading1"/>
      </w:pPr>
      <w:r>
        <w:t>User Interface Prototyping</w:t>
      </w:r>
    </w:p>
    <w:p>
      <w:r>
        <w:t>This section provides a visual reference for the intended user interface layout and key components.</w:t>
      </w:r>
    </w:p>
    <w:p>
      <w:pPr>
        <w:pStyle w:val="Heading2"/>
      </w:pPr>
      <w:r>
        <w:t>High-Level Wireframe</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drawing>
                <wp:inline xmlns:a="http://schemas.openxmlformats.org/drawingml/2006/main" xmlns:pic="http://schemas.openxmlformats.org/drawingml/2006/picture">
                  <wp:extent cx="5486400" cy="9110133"/>
                  <wp:docPr id="18" name="Picture 18"/>
                  <wp:cNvGraphicFramePr>
                    <a:graphicFrameLocks noChangeAspect="1"/>
                  </wp:cNvGraphicFramePr>
                  <a:graphic>
                    <a:graphicData uri="http://schemas.openxmlformats.org/drawingml/2006/picture">
                      <pic:pic>
                        <pic:nvPicPr>
                          <pic:cNvPr id="0" name="69f7521a9e7de9583e2ec20e_ui_local_diagram.png"/>
                          <pic:cNvPicPr/>
                        </pic:nvPicPr>
                        <pic:blipFill>
                          <a:blip r:embed="rId18"/>
                          <a:stretch>
                            <a:fillRect/>
                          </a:stretch>
                        </pic:blipFill>
                        <pic:spPr>
                          <a:xfrm>
                            <a:off x="0" y="0"/>
                            <a:ext cx="5486400" cy="9110133"/>
                          </a:xfrm>
                          <a:prstGeom prst="rect"/>
                        </pic:spPr>
                      </pic:pic>
                    </a:graphicData>
                  </a:graphic>
                </wp:inline>
              </w:drawing>
            </w:r>
          </w:p>
        </w:tc>
      </w:tr>
    </w:tbl>
    <w:p>
      <w:pPr>
        <w:pStyle w:val="Caption"/>
      </w:pPr>
      <w:r>
        <w:rPr>
          <w:rFonts w:ascii="Arial" w:hAnsi="Arial"/>
          <w:i/>
          <w:sz w:val="20"/>
        </w:rPr>
        <w:t>Figure: Main Dashboard Wireframe</w:t>
      </w:r>
    </w:p>
    <w:p>
      <w:r>
        <w:t>The wireframe above represents the structural layout of the main application dashboard, incorporating navigation, content areas, and key interaction zones.</w:t>
      </w:r>
    </w:p>
    <w:p>
      <w:pPr>
        <w:pStyle w:val="Heading2"/>
      </w:pPr>
      <w:r>
        <w:t>Appendix E: Risk Analysis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Risk</w:t>
            </w:r>
          </w:p>
        </w:tc>
        <w:tc>
          <w:tcPr>
            <w:tcW w:type="dxa" w:w="2340"/>
          </w:tcPr>
          <w:p>
            <w:r>
              <w:t>Probability</w:t>
            </w:r>
          </w:p>
        </w:tc>
        <w:tc>
          <w:tcPr>
            <w:tcW w:type="dxa" w:w="2340"/>
          </w:tcPr>
          <w:p>
            <w:r>
              <w:t>Impact</w:t>
            </w:r>
          </w:p>
        </w:tc>
        <w:tc>
          <w:tcPr>
            <w:tcW w:type="dxa" w:w="2340"/>
          </w:tcPr>
          <w:p>
            <w:r>
              <w:t>Mitigation</w:t>
            </w:r>
          </w:p>
        </w:tc>
      </w:tr>
      <w:tr>
        <w:tc>
          <w:tcPr>
            <w:tcW w:type="dxa" w:w="2340"/>
          </w:tcPr>
          <w:p>
            <w:r>
              <w:t>Service downtime during peak business operations</w:t>
            </w:r>
          </w:p>
        </w:tc>
        <w:tc>
          <w:tcPr>
            <w:tcW w:type="dxa" w:w="2340"/>
          </w:tcPr>
          <w:p>
            <w:r>
              <w:t>Medium</w:t>
            </w:r>
          </w:p>
        </w:tc>
        <w:tc>
          <w:tcPr>
            <w:tcW w:type="dxa" w:w="2340"/>
          </w:tcPr>
          <w:p>
            <w:r>
              <w:t>High</w:t>
            </w:r>
          </w:p>
        </w:tc>
        <w:tc>
          <w:tcPr>
            <w:tcW w:type="dxa" w:w="2340"/>
          </w:tcPr>
          <w:p>
            <w:r>
              <w:t>Add health checks, retries, and monitored deployment pipeline.</w:t>
            </w:r>
          </w:p>
        </w:tc>
      </w:tr>
      <w:tr>
        <w:tc>
          <w:tcPr>
            <w:tcW w:type="dxa" w:w="2340"/>
          </w:tcPr>
          <w:p>
            <w:r>
              <w:t>Unauthorized access to sensitive records</w:t>
            </w:r>
          </w:p>
        </w:tc>
        <w:tc>
          <w:tcPr>
            <w:tcW w:type="dxa" w:w="2340"/>
          </w:tcPr>
          <w:p>
            <w:r>
              <w:t>Low</w:t>
            </w:r>
          </w:p>
        </w:tc>
        <w:tc>
          <w:tcPr>
            <w:tcW w:type="dxa" w:w="2340"/>
          </w:tcPr>
          <w:p>
            <w:r>
              <w:t>High</w:t>
            </w:r>
          </w:p>
        </w:tc>
        <w:tc>
          <w:tcPr>
            <w:tcW w:type="dxa" w:w="2340"/>
          </w:tcPr>
          <w:p>
            <w:r>
              <w:t>Enforce RBAC, strong token controls, and audit logs.</w:t>
            </w:r>
          </w:p>
        </w:tc>
      </w:tr>
      <w:tr>
        <w:tc>
          <w:tcPr>
            <w:tcW w:type="dxa" w:w="2340"/>
          </w:tcPr>
          <w:p>
            <w:r>
              <w:t>Data inconsistency across integrated modules</w:t>
            </w:r>
          </w:p>
        </w:tc>
        <w:tc>
          <w:tcPr>
            <w:tcW w:type="dxa" w:w="2340"/>
          </w:tcPr>
          <w:p>
            <w:r>
              <w:t>Medium</w:t>
            </w:r>
          </w:p>
        </w:tc>
        <w:tc>
          <w:tcPr>
            <w:tcW w:type="dxa" w:w="2340"/>
          </w:tcPr>
          <w:p>
            <w:r>
              <w:t>Medium</w:t>
            </w:r>
          </w:p>
        </w:tc>
        <w:tc>
          <w:tcPr>
            <w:tcW w:type="dxa" w:w="2340"/>
          </w:tcPr>
          <w:p>
            <w:r>
              <w:t>Use validation rules and transactional update patterns.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rPr>
      <w:t xml:space="preserve">Page </w:t>
    </w:r>
    <w:r>
      <w:rPr>
        <w:rFonts w:ascii="Arial" w:hAnsi="Arial"/>
        <w:color w:val="666666"/>
        <w:sz w:val="20"/>
      </w:rPr>
      <w:fldChar w:fldCharType="begin"/>
      <w:instrText xml:space="preserve">PAGE</w:instrText>
      <w:fldChar w:fldCharType="end"/>
    </w:r>
    <w:r>
      <w:rPr>
        <w:rFonts w:ascii="Arial" w:hAnsi="Arial"/>
      </w:rPr>
      <w:t xml:space="preserve"> of </w:t>
    </w:r>
    <w:r>
      <w:rPr>
        <w:rFonts w:ascii="Arial" w:hAnsi="Arial"/>
        <w:color w:val="666666"/>
        <w:sz w:val="20"/>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666666"/>
        <w:sz w:val="20"/>
      </w:rPr>
      <w:t>Untitled Project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0F3F66"/>
      <w:sz w:val="32"/>
      <w:szCs w:val="28"/>
    </w:rPr>
  </w:style>
  <w:style w:type="paragraph" w:styleId="Heading2">
    <w:name w:val="heading 2"/>
    <w:basedOn w:val="Normal"/>
    <w:next w:val="Normal"/>
    <w:link w:val="Heading2Char"/>
    <w:uiPriority w:val="9"/>
    <w:unhideWhenUsed/>
    <w:qFormat/>
    <w:rsid w:val="00FC693F"/>
    <w:pPr>
      <w:keepNext/>
      <w:keepLines/>
      <w:spacing w:before="280" w:after="180"/>
      <w:outlineLvl w:val="1"/>
    </w:pPr>
    <w:rPr>
      <w:rFonts w:asciiTheme="majorHAnsi" w:eastAsiaTheme="majorEastAsia" w:hAnsiTheme="majorHAnsi" w:cstheme="majorBidi" w:ascii="Arial" w:hAnsi="Arial"/>
      <w:b/>
      <w:bCs/>
      <w:color w:val="141414"/>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360" w:hanging="216"/>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jc w:val="center"/>
    </w:pPr>
    <w:rPr>
      <w:rFonts w:ascii="Arial" w:hAnsi="Arial"/>
      <w:b/>
      <w:bCs/>
      <w:i/>
      <w:color w:val="50505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before="480" w:after="240"/>
      <w:jc w:val="center"/>
      <w:outlineLvl w:val="9"/>
    </w:pPr>
    <w:rPr>
      <w:rFonts w:ascii="Arial" w:hAnsi="Arial"/>
      <w:b/>
      <w:color w:val="0F3F66"/>
      <w:sz w:val="3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eader" Target="header1.xml"/><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