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p>
      <w:pPr>
        <w:spacing w:after="260"/>
        <w:jc w:val="center"/>
      </w:pPr>
      <w:r>
        <w:drawing>
          <wp:inline distT="0" distB="0" distL="0" distR="0">
            <wp:extent cx="203835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extLst>
                        <a:ext uri="{96DAC541-7B7A-43D3-8B79-37D633B846F1}">
                          <asvg:svgBlip xmlns:asvg="http://schemas.microsoft.com/office/drawing/2016/SVG/main" r:embed="rId9"/>
                        </a:ext>
                      </a:extLst>
                    </a:blip>
                    <a:srcRect/>
                    <a:stretch>
                      <a:fillRect/>
                    </a:stretch>
                  </pic:blipFill>
                  <pic:spPr bwMode="auto">
                    <a:xfrm>
                      <a:off x="0" y="0"/>
                      <a:ext cx="2038350" cy="762000"/>
                    </a:xfrm>
                    <a:prstGeom prst="rect">
                      <a:avLst/>
                    </a:prstGeom>
                  </pic:spPr>
                </pic:pic>
              </a:graphicData>
            </a:graphic>
          </wp:inline>
        </w:drawing>
      </w:r>
    </w:p>
    <w:p>
      <w:pPr>
        <w:spacing w:after="60"/>
        <w:jc w:val="center"/>
      </w:pPr>
      <w:r>
        <w:rPr>
          <w:b/>
          <w:bCs/>
          <w:color w:val="00648C"/>
          <w:sz w:val="22"/>
          <w:szCs w:val="22"/>
        </w:rPr>
        <w:t xml:space="preserve">UNICO HOSPITALS PLC</w:t>
      </w:r>
    </w:p>
    <w:p>
      <w:pPr>
        <w:pBdr>
          <w:bottom w:val="single" w:color="0090CA" w:sz="12" w:space="1"/>
        </w:pBdr>
        <w:spacing w:after="300"/>
        <w:jc w:val="center"/>
      </w:pPr>
    </w:p>
    <w:p>
      <w:pPr>
        <w:spacing w:after="60"/>
        <w:jc w:val="center"/>
      </w:pPr>
      <w:r>
        <w:rPr>
          <w:b/>
          <w:bCs/>
          <w:color w:val="1A2433"/>
          <w:sz w:val="56"/>
          <w:szCs w:val="56"/>
        </w:rPr>
        <w:t xml:space="preserve">NURSING QUALITY INDICATORS</w:t>
      </w:r>
    </w:p>
    <w:p>
      <w:pPr>
        <w:spacing w:after="200"/>
        <w:jc w:val="center"/>
      </w:pPr>
      <w:r>
        <w:rPr>
          <w:b/>
          <w:bCs/>
          <w:color w:val="00648C"/>
          <w:sz w:val="56"/>
          <w:szCs w:val="56"/>
        </w:rPr>
        <w:t xml:space="preserve">SURGICAL ICU</w:t>
      </w:r>
    </w:p>
    <w:p>
      <w:pPr>
        <w:spacing w:after="620"/>
        <w:jc w:val="center"/>
      </w:pPr>
      <w:r>
        <w:rPr>
          <w:i/>
          <w:iCs/>
          <w:color w:val="6B7684"/>
          <w:sz w:val="22"/>
          <w:szCs w:val="22"/>
        </w:rPr>
        <w:t xml:space="preserve">Assigned nursing quality indicators for this department — definitions, formulae and benchmarks</w:t>
      </w:r>
    </w:p>
    <w:tbl>
      <w:tblPr>
        <w:tblW w:type="pct" w:w="70%"/>
        <w:jc w:val="center"/>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Department</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Surgical ICU</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Indicators assigned</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13</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Reporting year</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2025-2026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Issue date</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18 August 2026</w:t>
            </w:r>
          </w:p>
        </w:tc>
      </w:tr>
      <w:tr>
        <w:tc>
          <w:tcPr>
            <w:tcW w:type="pct" w:w="45%"/>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Revision</w:t>
            </w:r>
          </w:p>
        </w:tc>
        <w:tc>
          <w:tcPr>
            <w:tcW w:type="pct" w:w="55%"/>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1.0</w:t>
            </w:r>
          </w:p>
        </w:tc>
      </w:tr>
    </w:tbl>
    <w:p>
      <w:pPr>
        <w:pBdr>
          <w:bottom w:val="single" w:color="0090CA" w:sz="8" w:space="4"/>
        </w:pBdr>
        <w:spacing w:after="60" w:before="560"/>
      </w:pPr>
      <w:r>
        <w:rPr>
          <w:b/>
          <w:bCs/>
          <w:color w:val="00648C"/>
          <w:sz w:val="16"/>
          <w:szCs w:val="16"/>
        </w:rPr>
        <w:t xml:space="preserve">AUTHORISATION · UNICO HOSPITALS PLC</w:t>
      </w:r>
    </w:p>
    <w:tbl>
      <w:tblPr>
        <w:tblW w:type="pct" w:w="100%"/>
        <w:tblBorders>
          <w:top w:val="none"/>
          <w:left w:val="none"/>
          <w:bottom w:val="none"/>
          <w:right w:val="none"/>
          <w:insideH w:val="none"/>
          <w:insideV w:val="none"/>
        </w:tblBorders>
      </w:tblPr>
      <w:tblGrid>
        <w:gridCol w:w="100"/>
        <w:gridCol w:w="100"/>
        <w:gridCol w:w="100"/>
        <w:gridCol w:w="100"/>
      </w:tblGrid>
      <w:tr>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c>
          <w:tcPr>
            <w:tcW w:type="pct" w:w="25%"/>
            <w:tcBorders>
              <w:top w:val="none"/>
              <w:left w:val="none"/>
              <w:bottom w:val="single" w:color="1A2433" w:sz="6"/>
              <w:right w:val="none"/>
            </w:tcBorders>
            <w:tcMar>
              <w:top w:type="dxa" w:w="900"/>
              <w:left w:type="dxa" w:w="0"/>
              <w:bottom w:type="dxa" w:w="0"/>
              <w:right w:type="dxa" w:w="200"/>
            </w:tcMar>
          </w:tcPr>
          <w:p/>
        </w:tc>
      </w:tr>
      <w:tr>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Nasif Ahammed Niloy</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Md Balayet Hossen</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Elizabeth Jothi</w:t>
            </w:r>
          </w:p>
        </w:tc>
        <w:tc>
          <w:tcPr>
            <w:tcW w:type="pct" w:w="25%"/>
            <w:tcBorders>
              <w:top w:val="none"/>
              <w:left w:val="none"/>
              <w:bottom w:val="none"/>
              <w:right w:val="none"/>
            </w:tcBorders>
            <w:tcMar>
              <w:top w:type="dxa" w:w="0"/>
              <w:left w:type="dxa" w:w="0"/>
              <w:bottom w:type="dxa" w:w="0"/>
              <w:right w:type="dxa" w:w="200"/>
            </w:tcMar>
          </w:tcPr>
          <w:p>
            <w:pPr>
              <w:spacing w:before="80"/>
            </w:pPr>
            <w:r>
              <w:rPr>
                <w:b/>
                <w:bCs/>
                <w:color w:val="1A2433"/>
                <w:sz w:val="18"/>
                <w:szCs w:val="18"/>
              </w:rPr>
              <w:t xml:space="preserve">Ardra Kurien</w:t>
            </w:r>
          </w:p>
        </w:tc>
      </w:tr>
      <w:tr>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Staff Nurse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Senior Manager</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of Nursing Service</w:t>
            </w:r>
          </w:p>
        </w:tc>
        <w:tc>
          <w:tcPr>
            <w:tcW w:type="pct" w:w="25%"/>
            <w:tcBorders>
              <w:top w:val="none"/>
              <w:left w:val="none"/>
              <w:bottom w:val="none"/>
              <w:right w:val="none"/>
            </w:tcBorders>
            <w:tcMar>
              <w:top w:type="dxa" w:w="0"/>
              <w:left w:type="dxa" w:w="0"/>
              <w:bottom w:type="dxa" w:w="0"/>
              <w:right w:type="dxa" w:w="200"/>
            </w:tcMar>
          </w:tcPr>
          <w:p>
            <w:r>
              <w:rPr>
                <w:color w:val="1A2433"/>
                <w:sz w:val="16"/>
                <w:szCs w:val="16"/>
              </w:rPr>
              <w:t xml:space="preserve">Chief Executive Officer</w:t>
            </w:r>
          </w:p>
        </w:tc>
      </w:tr>
      <w:tr>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PREPARED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CHECKED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RECOMMENDED BY</w:t>
            </w:r>
          </w:p>
        </w:tc>
        <w:tc>
          <w:tcPr>
            <w:tcW w:type="pct" w:w="25%"/>
            <w:tcBorders>
              <w:top w:val="none"/>
              <w:left w:val="none"/>
              <w:bottom w:val="none"/>
              <w:right w:val="none"/>
            </w:tcBorders>
            <w:tcMar>
              <w:top w:type="dxa" w:w="0"/>
              <w:left w:type="dxa" w:w="0"/>
              <w:bottom w:type="dxa" w:w="0"/>
              <w:right w:type="dxa" w:w="200"/>
            </w:tcMar>
          </w:tcPr>
          <w:p>
            <w:pPr>
              <w:spacing w:before="40"/>
            </w:pPr>
            <w:r>
              <w:rPr>
                <w:b/>
                <w:bCs/>
                <w:color w:val="00648C"/>
                <w:sz w:val="14"/>
                <w:szCs w:val="14"/>
              </w:rPr>
              <w:t xml:space="preserve">APPROVED BY</w:t>
            </w:r>
          </w:p>
        </w:tc>
      </w:tr>
      <w:tr>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c>
          <w:tcPr>
            <w:tcW w:type="pct" w:w="25%"/>
            <w:tcBorders>
              <w:top w:val="none"/>
              <w:left w:val="none"/>
              <w:bottom w:val="none"/>
              <w:right w:val="none"/>
            </w:tcBorders>
            <w:tcMar>
              <w:top w:type="dxa" w:w="0"/>
              <w:left w:type="dxa" w:w="0"/>
              <w:bottom w:type="dxa" w:w="0"/>
              <w:right w:type="dxa" w:w="200"/>
            </w:tcMar>
          </w:tcPr>
          <w:p>
            <w:pPr>
              <w:spacing w:before="120"/>
            </w:pPr>
            <w:r>
              <w:rPr>
                <w:color w:val="6B7684"/>
                <w:sz w:val="14"/>
                <w:szCs w:val="14"/>
              </w:rPr>
              <w:t xml:space="preserve">Date: </w:t>
            </w:r>
            <w:r>
              <w:rPr>
                <w:color w:val="6B7684"/>
                <w:sz w:val="14"/>
                <w:szCs w:val="14"/>
              </w:rPr>
              <w:t xml:space="preserve">__________</w:t>
            </w:r>
          </w:p>
        </w:tc>
      </w:tr>
    </w:tbl>
    <w:p>
      <w:pPr>
        <w:pBdr>
          <w:top w:val="single" w:color="DDE3EA" w:sz="4" w:space="8"/>
        </w:pBdr>
        <w:spacing w:after="90" w:before="560"/>
      </w:pPr>
      <w:r>
        <w:rPr>
          <w:color w:val="6B7684"/>
          <w:sz w:val="16"/>
          <w:szCs w:val="16"/>
        </w:rPr>
        <w:t xml:space="preserve">Compiled and maintained by the Quality Assurance Department, UNICO Hospitals PLC. Generated from the hospital quality database.</w:t>
      </w:r>
    </w:p>
    <w:p>
      <w:r>
        <w:rPr>
          <w:i/>
          <w:iCs/>
          <w:color w:val="6B7684"/>
          <w:sz w:val="15"/>
          <w:szCs w:val="15"/>
        </w:rPr>
        <w:t xml:space="preserve">This manual is the property of UNICO Hospitals PLC and is issued for internal use. It contains the hospital's quality indicator definitions and accountability assignments. It may not be copied, circulated outside the organisation, or published in any form without the written permission of the Quality Assurance Department.</w:t>
      </w:r>
    </w:p>
    <w:p>
      <w:r>
        <w:br w:type="page"/>
      </w:r>
    </w:p>
    <w:p>
      <w:pPr>
        <w:pStyle w:val="Heading1"/>
        <w:spacing w:after="120"/>
      </w:pPr>
      <w:r>
        <w:t xml:space="preserve">Contents</w:t>
      </w:r>
    </w:p>
    <w:p>
      <w:pPr>
        <w:spacing w:after="200"/>
      </w:pPr>
      <w:r>
        <w:rPr>
          <w:i/>
          <w:iCs/>
          <w:color w:val="6B7684"/>
          <w:sz w:val="17"/>
          <w:szCs w:val="17"/>
        </w:rPr>
        <w:t xml:space="preserve">Click in the list and press F9 to refresh it after editing.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Indicators assigned to Surgical ICU</w:t>
      </w:r>
    </w:p>
    <w:p>
      <w:pPr>
        <w:spacing w:after="140" w:line="280"/>
      </w:pPr>
      <w:r>
        <w:rPr>
          <w:color w:val="1A2433"/>
          <w:sz w:val="20"/>
          <w:szCs w:val="20"/>
        </w:rPr>
        <w:t xml:space="preserve">These are the nursing quality indicators this department is responsible for collecting and reporting. Definitions are taken from the live quality database and match the hospital-wide Quality Indicator Manual.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gridCol w:w="100"/>
        <w:gridCol w:w="100"/>
        <w:gridCol w:w="100"/>
      </w:tblGrid>
      <w:tr>
        <w:trPr>
          <w:tblHeader/>
        </w:trPr>
        <w:tc>
          <w:tcPr>
            <w:tcW w:type="pct" w:w="6%"/>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w:t>
            </w:r>
          </w:p>
        </w:tc>
        <w:tc>
          <w:tcPr>
            <w:tcW w:type="pct" w:w="4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Indicator</w:t>
            </w:r>
          </w:p>
        </w:tc>
        <w:tc>
          <w:tcPr>
            <w:tcW w:type="pct" w:w="13%"/>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Measure</w:t>
            </w:r>
          </w:p>
        </w:tc>
        <w:tc>
          <w:tcPr>
            <w:tcW w:type="pct" w:w="20%"/>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Benchmark</w:t>
            </w:r>
          </w:p>
        </w:tc>
        <w:tc>
          <w:tcPr>
            <w:tcW w:type="pct" w:w="21%"/>
            <w:shd w:fill="E8F4FA"/>
            <w:tcMar>
              <w:top w:type="dxa" w:w="70"/>
              <w:left w:type="dxa" w:w="120"/>
              <w:bottom w:type="dxa" w:w="70"/>
              <w:right w:type="dxa" w:w="120"/>
            </w:tcMar>
            <w:vAlign w:val="center"/>
          </w:tcPr>
          <w:p>
            <w:pPr>
              <w:spacing w:after="20" w:before="20"/>
              <w:jc w:val="left"/>
            </w:pPr>
            <w:r>
              <w:rPr>
                <w:b/>
                <w:bCs/>
                <w:i w:val="false"/>
                <w:iCs w:val="false"/>
                <w:color w:val="1A2433"/>
                <w:sz w:val="17"/>
                <w:szCs w:val="17"/>
              </w:rPr>
              <w:t xml:space="preserve">Also reported by</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Accidental Removal of ETT Tube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0.95 per 100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Catheter-Associated UTI (CAUTI)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catheter-days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Central Line-Associated Bloodstream Infection (CLABSI)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central line-days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4</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Deep Vein Thrombosis (DVT)</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 per 1000 surgical discharges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5</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Hand Hygiene Compliance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80%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6</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Hospital-Acquired Pressure Ulcer (HAPU)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0.75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5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7</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In Patient Fall</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3.3 per 1000 patient-days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9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8</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Needle Stick Injury (NSI)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 per 100 healthcare workers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16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9</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Phlebitis</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5%</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7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10</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Re-admission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4%</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11</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Re-intubation within 48 Hours (ICU)</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10%</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12</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Surgical Site Infection (SSI)</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Percentage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2%</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6 other departments</w:t>
            </w:r>
          </w:p>
        </w:tc>
      </w:tr>
      <w:tr>
        <w:trPr>
          <w:cantSplit/>
        </w:trPr>
        <w:tc>
          <w:tcPr>
            <w:tcMar>
              <w:top w:type="dxa" w:w="70"/>
              <w:left w:type="dxa" w:w="120"/>
              <w:bottom w:type="dxa" w:w="70"/>
              <w:right w:type="dxa" w:w="120"/>
            </w:tcMar>
            <w:vAlign w:val="center"/>
          </w:tcPr>
          <w:p>
            <w:pPr>
              <w:spacing w:after="20" w:before="20"/>
              <w:jc w:val="center"/>
            </w:pPr>
            <w:r>
              <w:rPr>
                <w:b w:val="false"/>
                <w:bCs w:val="false"/>
                <w:i w:val="false"/>
                <w:iCs w:val="false"/>
                <w:color w:val="6B7684"/>
                <w:sz w:val="17"/>
                <w:szCs w:val="17"/>
              </w:rPr>
              <w:t xml:space="preserve">13</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Ventilator-Associated Pneumonia (VAP)</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Rate</w:t>
            </w:r>
          </w:p>
        </w:tc>
        <w:tc>
          <w:tcPr>
            <w:tcMar>
              <w:top w:type="dxa" w:w="70"/>
              <w:left w:type="dxa" w:w="120"/>
              <w:bottom w:type="dxa" w:w="70"/>
              <w:right w:type="dxa" w:w="120"/>
            </w:tcMar>
            <w:vAlign w:val="center"/>
          </w:tcPr>
          <w:p>
            <w:pPr>
              <w:spacing w:after="20" w:before="20"/>
              <w:jc w:val="left"/>
            </w:pPr>
            <w:r>
              <w:rPr>
                <w:b w:val="false"/>
                <w:bCs w:val="false"/>
                <w:i w:val="false"/>
                <w:iCs w:val="false"/>
                <w:color w:val="1A2433"/>
                <w:sz w:val="17"/>
                <w:szCs w:val="17"/>
              </w:rPr>
              <w:t xml:space="preserve">≤ 1 per 1000 ventilator-days</w:t>
            </w:r>
          </w:p>
        </w:tc>
        <w:tc>
          <w:tcPr>
            <w:tcMar>
              <w:top w:type="dxa" w:w="70"/>
              <w:left w:type="dxa" w:w="120"/>
              <w:bottom w:type="dxa" w:w="70"/>
              <w:right w:type="dxa" w:w="120"/>
            </w:tcMar>
            <w:vAlign w:val="center"/>
          </w:tcPr>
          <w:p>
            <w:pPr>
              <w:spacing w:after="20" w:before="20"/>
              <w:jc w:val="left"/>
            </w:pPr>
            <w:r>
              <w:rPr>
                <w:b w:val="false"/>
                <w:bCs w:val="false"/>
                <w:i w:val="false"/>
                <w:iCs w:val="false"/>
                <w:color w:val="6B7684"/>
                <w:sz w:val="15"/>
                <w:szCs w:val="15"/>
              </w:rPr>
              <w:t xml:space="preserve">4 other departments</w:t>
            </w:r>
          </w:p>
        </w:tc>
      </w:tr>
    </w:tbl>
    <w:p>
      <w:pPr>
        <w:pStyle w:val="Heading2"/>
        <w:keepNext/>
      </w:pPr>
      <w:r>
        <w:t xml:space="preserve">1.  Accidental Removal of ETT Tube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(Unplanned extubations ÷ Ventilator-days)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Unplanned extubation is an airway emergency: it risks hypoxia, aspiration, arrhythmia and cardiac arrest, and re-intubation itself carries risk. It is measured per 100 ventilator-days because exposure accumulates with time on the ventilator. Events are reviewed for tube securement, sedation adequacy, agitation management and whether staffing allowed continuous observation. The Surgical ICU manages critically ill post-operative patients with multiple invasive devices and prolonged immobility, where patients are intubated and may be agitated or under-sedated.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unplanned/accidental extubations - any removal of the endotracheal (ETT) tube not deliberately performed by the care team, including patient self-extubation and accidental dislodgement during care/transport. Count each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ventilator-days = sum across the surveillance period of the number of patients with an ETT on mechanical ventilation each day. Multiply the ratio by 100 (rate expressed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0.95 per 100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0.95 unplanned extubations per 100 ventilator-days (Solutions for Patient Safety national goal); reported literature rates typically ~0.9-1.06 per 100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Children's Hospitals' Solutions for Patient Safety (SPS). Unplanned Extubation prevention bundle — operational definition and network goal of ≤0.95 unplanned extubations per 100 ventilator-days (introduced May 2018). Rate expressed per 100 ventilator-days per the established ICU/NICU/PICU surveillance convention.</w:t>
            </w:r>
          </w:p>
          <w:p>
            <w:hyperlink w:history="1" r:id="rIdy2ydva5jqvg1b-_ggxn7g">
              <w:r>
                <w:rPr>
                  <w:rStyle w:val="Hyperlink"/>
                  <w:sz w:val="16"/>
                  <w:szCs w:val="16"/>
                </w:rPr>
                <w:t xml:space="preserve">https://pmc.ncbi.nlm.nih.gov/articles/PMC10753604/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Tasrifa Sathi —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Medical ICU, Coronary Care Unit, CTVS ICU</w:t>
            </w:r>
          </w:p>
        </w:tc>
      </w:tr>
    </w:tbl>
    <w:p>
      <w:pPr>
        <w:spacing w:after="180"/>
      </w:pPr>
    </w:p>
    <w:p>
      <w:pPr>
        <w:pStyle w:val="Heading2"/>
        <w:keepNext/>
      </w:pPr>
      <w:r>
        <w:t xml:space="preserve">2.  Catheter-Associated UTI (CAUTI)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catheter-days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(CAUTIs ÷ Urinary catheter-days)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Urinary catheters are the single largest source of healthcare-associated urinary infection, and most CAUTI is preventable by removing the catheter sooner. Expressing events per 1 000 catheter-days makes the rate sensitive to unnecessary catheter days, which is the main modifiable factor. A breach prompts review of insertion indication, aseptic technique, closed-drainage integrity and, above all, whether daily review for prompt removal is actually happening. The Surgical ICU manages critically ill post-operative patients with multiple invasive devices and prolonged immobility, where indwelling urinary catheters are common and easily left in longer than needed.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CAUTI events meeting the NHSN UTI surveillance definition (symptomatic UTI/SUTI) in patients who had an indwelling urinary catheter in place for &gt;2 consecutive days (day of catheter placement = Day 1) in an inpatient location on the date of event, with the catheter in place on that date or removed the day before. Count each qualifying event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indwelling urinary catheter-days, obtained by counting, once each day at the same time each day during the surveillance month, the number of patients in the location with one or more indwelling urinary catheters, and summing these daily counts over the month (electronic counts allowed if validated to within 5% of manual counts).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catheter-days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NHSN primary benchmark is the SIR &lt; 1.0 vs the NHSN baseline (fewer infections observed than predicted); pooled-mean CAUTI rate is roughly 1.0 per 1000 catheter-days but varies widely by unit type and is not an official fixed threshold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7: Urinary Tract Infection (CAUTI) Events — SUTI/ABUTI surveillance definitions and the indwelling-catheter day denominator. Standardised Infection Ratio methodology per the NHSN SIR Guide.</w:t>
            </w:r>
          </w:p>
          <w:p>
            <w:hyperlink w:history="1" r:id="rIddmpmfsgnfvwelhqt4rdh5">
              <w:r>
                <w:rPr>
                  <w:rStyle w:val="Hyperlink"/>
                  <w:sz w:val="16"/>
                  <w:szCs w:val="16"/>
                </w:rPr>
                <w:t xml:space="preserve">https://www.cdc.gov/nhsn/pdfs/pscmanual/7psccauticurrent.pdf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IPD Cabin Level 10, IPD Cabin Level 9, Medical ICU, Coronary Care Unit, CTVS ICU</w:t>
            </w:r>
          </w:p>
        </w:tc>
      </w:tr>
    </w:tbl>
    <w:p>
      <w:pPr>
        <w:spacing w:after="180"/>
      </w:pPr>
    </w:p>
    <w:p>
      <w:pPr>
        <w:pStyle w:val="Heading2"/>
        <w:keepNext/>
      </w:pPr>
      <w:r>
        <w:t xml:space="preserve">3.  Central Line-Associated Bloodstream Infection (CLABSI)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central line-days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(CLABSIs ÷ Central line-days)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CLABSI is a largely preventable bloodstream infection that carries high attributable mortality, prolonged intensive care and substantial extra cost. Measuring it per 1 000 central-line days rather than per patient adjusts for how heavily lines are actually used, so a unit is not penalised for caring for sicker patients. A rising rate points directly at insertion technique, hub disinfection, dressing integrity or lines being left in longer than needed, and triggers review of the central-line bundle and daily assessment of line necessity. The Surgical ICU manages critically ill post-operative patients with multiple invasive devices and prolonged immobility, where central venous access is used heavily and often for prolonged periods.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laboratory-confirmed bloodstream infections (LCBI) meeting the NHSN CLABSI definition: a primary LCBI not secondary to an infection at another site, in a patient with an eligible central line in place for &gt;2 consecutive calendar days (following first access in an inpatient location) on the date of event, with the line present on that date or removed the day before.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central line-days, summed by counting the number of patients with one or more central lines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central line-days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SIR &lt; 1.0 vs NHSN baseline; pooled-mean CLABSI rate ~1.0 per 1000 central line-days (varies by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4: Bloodstream Infection Event (CLABSI and non-central-line-associated BSI) — LCBI criteria and the central-line day denominator.</w:t>
            </w:r>
          </w:p>
          <w:p>
            <w:hyperlink w:history="1" r:id="rIdigt0v-fq9ltmwhd-tmsdz">
              <w:r>
                <w:rPr>
                  <w:rStyle w:val="Hyperlink"/>
                  <w:sz w:val="16"/>
                  <w:szCs w:val="16"/>
                </w:rPr>
                <w:t xml:space="preserve">https://www.cdc.gov/nhsn/pdfs/pscmanual/4psc_clabscurrent.pdf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Dialysis, IPD Cabin Level 10, IPD Cabin Level 9, Medical ICU, Coronary Care Unit, CTVS ICU</w:t>
            </w:r>
          </w:p>
        </w:tc>
      </w:tr>
    </w:tbl>
    <w:p>
      <w:pPr>
        <w:spacing w:after="180"/>
      </w:pPr>
    </w:p>
    <w:p>
      <w:pPr>
        <w:pStyle w:val="Heading2"/>
        <w:keepNext/>
      </w:pPr>
      <w:r>
        <w:t xml:space="preserve">4.  Deep Vein Thrombosis (DVT)</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(DVT/VTE cases ÷ Surgical discharges)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Venous thromboembolism after surgery or immobility is a leading cause of preventable inpatient death, and prophylaxis is highly effective. Measuring DVT tests whether risk assessment and prophylaxis are reaching the patients who need them. Each event is reviewed for whether prophylaxis was assessed, prescribed and actually given. The Surgical ICU manages critically ill post-operative patients with multiple invasive devices and prolonged immobility, where patients are immobile or post-operative and at thrombotic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surgical discharges with a secondary (not present-on-admission) ICD-10-CM diagnosis of PROXIMAL deep vein thrombosis or pulmonary embolism arising perioperatively (hospital-acquired VTE). Per AHRQ PSI-12, only proximal DVT/PE qualify; isolated distal/calf DVT is excluded. Excludes cases with a principal diagnosis of PE/proximal DVT, POA PE/proximal DVT, vena cava interruption or pulmonary thrombectomy on/before the first OR procedure day, ECMO, acute brain/spinal injury POA, and obstetric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Surgical discharges for patients age &gt;=18 with any-listed ICD-10-PCS operating-room procedure code and a surgical MS-DRG (PSI-12 denominator). For general HA-VTE monitoring the denominator may be broadened to all eligible admissions, but the AHRQ-standard denominator is surgical discharges.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per 1000 surgical discharges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Lower is better; track against the AHRQ risk-adjusted PSI-12 national reference (observed rates roughly 3-5 per 1000 surgical discharges); no fixed zero target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AHRQ Quality Indicators. Patient Safety Indicator 12 (PSI-12): Perioperative Pulmonary Embolism or Deep Vein Thrombosis Rate — Technical Specifications, version 2025 (CBE/NQF #0450).</w:t>
            </w:r>
          </w:p>
          <w:p>
            <w:hyperlink w:history="1" r:id="rIdao-8txz1xfzss-aylovbh">
              <w:r>
                <w:rPr>
                  <w:rStyle w:val="Hyperlink"/>
                  <w:sz w:val="16"/>
                  <w:szCs w:val="16"/>
                </w:rPr>
                <w:t xml:space="preserve">https://qualityindicators.ahrq.gov/Downloads/Modules/PSI/V2025/TechSpecs/PSI_12_Perioperative_Pulmonary_Embolism_or_Deep_Vein_Thrombosis_Rate.pdf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Tasrifa Sathi —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IPD Cabin Level 9, Medical ICU, Coronary Care Unit, CTVS ICU</w:t>
            </w:r>
          </w:p>
        </w:tc>
      </w:tr>
    </w:tbl>
    <w:p>
      <w:pPr>
        <w:spacing w:after="180"/>
      </w:pPr>
    </w:p>
    <w:p>
      <w:pPr>
        <w:pStyle w:val="Heading2"/>
        <w:keepNext/>
      </w:pPr>
      <w:r>
        <w:t xml:space="preserve">5.  Hand Hygiene Compliance</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(Hand hygiene actions performed ÷ Hand hygiene opportunities observed)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Hand hygiene is the single most effective measure against transmission of healthcare-associated infection, and it is the one behaviour that underlies every other infection indicator in this manual. It is measured by direct observation against the WHO Five Moments, because self-report and product-consumption data both overstate real practice. Compliance below target is treated as a leading indicator: it usually falls before device-related infection rates rise. The Surgical ICU manages critically ill post-operative patients with multiple invasive devices and prolonged immobility, where staff move between patients and devices many times an hour.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observed hand hygiene actions performed (rubbing hands with alcohol-based handrub OR washing with soap and water) when an opportunity occurs, counted across ALL healthcare worker categories via direct observation using the WHO 'My 5 Moments for Hand Hygiene' method.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hand hygiene opportunities observed across ALL healthcare worker categories. An opportunity is defined by one or more of the WHO 5 Moments (before touching a patient; before clean/aseptic procedure; after body fluid exposure risk; after touching a patient; after touching patient surroundings). Several indications arising simultaneously count as a single opportunity.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80%   (higher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&gt;= 80% compliance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World Health Organization. WHO Guidelines on Hand Hygiene in Health Care (2009) — "My 5 Moments for Hand Hygiene"; WHO Hand Hygiene Technical Reference Manual (2009) for the direct-observation method and the opportunity/action denominator. The compliance target is an organisational one: The Joint Commission does not mandate a fixed numeric percentage.</w:t>
            </w:r>
          </w:p>
          <w:p>
            <w:hyperlink w:history="1" r:id="rIdcjfg89httdijzu20dgms2">
              <w:r>
                <w:rPr>
                  <w:rStyle w:val="Hyperlink"/>
                  <w:sz w:val="16"/>
                  <w:szCs w:val="16"/>
                </w:rPr>
                <w:t xml:space="preserve">https://www.who.int/publications/i/item/9789241597906</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Dialysis, IPD Cabin Level 10, IPD Cabin Level 9, Labour , Delivery &amp; Recovery Room, Medical ICU, Coronary Care Unit, Cath Lab, CTVS OT, Family Medicine, Radiology</w:t>
            </w:r>
          </w:p>
        </w:tc>
      </w:tr>
    </w:tbl>
    <w:p>
      <w:pPr>
        <w:spacing w:after="180"/>
      </w:pPr>
    </w:p>
    <w:p>
      <w:pPr>
        <w:pStyle w:val="Heading2"/>
        <w:keepNext/>
      </w:pPr>
      <w:r>
        <w:t xml:space="preserve">6.  Hospital-Acquired Pressure Ulcer (HAPU)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(Patients who developed ≥ 1 HAPU (Stage 2+)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pressure injury that develops after admission is a direct indicator of nursing surveillance: risk assessment, repositioning, support surfaces, nutrition and moisture management. It is painful, slow to heal and largely preventable. A rise triggers review of risk-assessment completion, repositioning schedules and the availability of pressure-redistributing surfaces. The Surgical ICU manages critically ill post-operative patients with multiple invasive devices and prolonged immobility, where patients have limited mobility and depend on staff for repositioning.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who developed one or more NEW hospital-acquired (nosocomial) pressure ulcers of Stage 2 or greater (including Stage 2, Stage 3, Stage 4, unstageable, and deep tissue injury) per NPIAP staging during the reporting period. Hospital-acquired = not present on admission; identified on/after the assessment that follows admission. A patient is counted once regardless of the number of ulcers.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patient-days for the same unit and period, obtained by summing the daily inpatient census over the month. Rate = (patients who developed ≥ 1 HAPU ÷ total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0.75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HAPU incidence rate = (patients with ≥ 1 new hospital-acquired pressure ulcer ÷ patient-days) × 1,000 — the standard for ongoing internal clinical quality tracking. &lt; 0.75 per 1000 patient-days is the commonly used NDNQI-derived benchmark (lower is better; aspirational target 0). Note: the one-day prevalence survey (~≤ 3.6% of patients surveyed, NDNQI) is a DIFFERENT metric — do not mix the two.</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European Pressure Ulcer Advisory Panel, National Pressure Injury Advisory Panel and Pan Pacific Pressure Injury Alliance. Prevention and Treatment of Pressure Ulcers/Injuries: Clinical Practice Guideline, 3rd edition (2019) — international staging system and incidence measurement. AHRQ. Preventing Pressure Ulcers in Hospitals: A Toolkit for Improving Quality of Care, Tool 5: How Do We Measure Our Pressure Ulcer Rates?</w:t>
            </w:r>
          </w:p>
          <w:p>
            <w:hyperlink w:history="1" r:id="rIdknfutjzahmeodguyds9jc">
              <w:r>
                <w:rPr>
                  <w:rStyle w:val="Hyperlink"/>
                  <w:sz w:val="16"/>
                  <w:szCs w:val="16"/>
                </w:rPr>
                <w:t xml:space="preserve">https://www.ahrq.gov/patient-safety/settings/hospital/resource/pressureulcer/tool/put5.html</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Tasrifa Sathi —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IPD Cabin Level 9, Medical ICU, Coronary Care Unit, CTVS ICU</w:t>
            </w:r>
          </w:p>
        </w:tc>
      </w:tr>
    </w:tbl>
    <w:p>
      <w:pPr>
        <w:spacing w:after="180"/>
      </w:pPr>
    </w:p>
    <w:p>
      <w:pPr>
        <w:pStyle w:val="Heading2"/>
        <w:keepNext/>
      </w:pPr>
      <w:r>
        <w:t xml:space="preserve">7.  In Patient Fall</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patient-days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(Number of patient falls ÷ Patient-days)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Falls are the most frequently reported inpatient safety incident and a major cause of avoidable injury, extended stay and loss of confidence in admitted patients. The rate is expressed per 1 000 patient-days so that units with longer stays are compared fairly. A rise prompts review of falls-risk assessment on admission and after any change in condition, environmental hazards, footwear and toileting routines, and the sedating medicines the patient is on. The Surgical ICU manages critically ill post-operative patients with multiple invasive devices and prolonged immobility, where patients are admitted, often frail, sedated or newly mobilising.</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 falls (with or without injury, whether or not assisted by a staff member) occurring on the eligible reporting unit during the calendar month. A fall = an unplanned descent to the floor (or extension of the floor, e.g., trash can or other equipment) with or without injury. Includes assisted falls and falls in which the patient was found on the floor. Count each fall event; a patient who falls more than once is counted each time.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patient-days for the eligible reporting unit during the same calendar month. Patient-days = sum of the daily inpatient census (typically counted at a consistent time each day, e.g., midnight) over the reporting period. Multiply the falls/patient-day ratio by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3.3 per 1000 patient-days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3.3 falls per 1000 patient-days (NDNQI national median;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Patient Fall Rate (CBE/NQF #0141) — all documented falls per 1 000 patient-days on eligible inpatient units; developed for the National Database of Nursing Quality Indicators (NDNQI), measure copyright American Nurses Association, now maintained under the Partnership for Quality Measurement. Related current electronic measure: CMS Hospital Harm – Falls with Injury (CMS1017v2, 2026 reporting period).</w:t>
            </w:r>
          </w:p>
          <w:p>
            <w:hyperlink w:history="1" r:id="rIdkveu3ja8ekuima9dxbv1w">
              <w:r>
                <w:rPr>
                  <w:rStyle w:val="Hyperlink"/>
                  <w:sz w:val="16"/>
                  <w:szCs w:val="16"/>
                </w:rPr>
                <w:t xml:space="preserve">https://ecqi.healthit.gov/ecqm/hosp-inpt/2026/cms1017v2</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Tasrifa Sathi —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Dialysis, IPD Cabin Level 10, IPD Cabin Level 9, Labour , Delivery &amp; Recovery Room, Medical ICU, Coronary Care Unit, CTVS OT, CTVS ICU</w:t>
            </w:r>
          </w:p>
        </w:tc>
      </w:tr>
    </w:tbl>
    <w:p>
      <w:pPr>
        <w:spacing w:after="180"/>
      </w:pPr>
    </w:p>
    <w:p>
      <w:pPr>
        <w:pStyle w:val="Heading2"/>
        <w:keepNext/>
      </w:pPr>
      <w:r>
        <w:t xml:space="preserve">8.  Needle Stick Injury (NSI)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 healthcare workers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100</w:t>
            </w:r>
          </w:p>
          <w:p>
            <w:r>
              <w:rPr>
                <w:color w:val="1A2433"/>
                <w:sz w:val="19"/>
                <w:szCs w:val="19"/>
              </w:rPr>
              <w:t xml:space="preserve">(Number of NSI cases ÷ Total healthcare workers)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needle-stick or sharps injury exposes a staff member to bloodborne pathogens — hepatitis B, hepatitis C and HIV — and every event carries an immediate obligation of source testing, prophylaxis and follow-up. The indicator is a staff-safety measure rather than a patient one. Because injuries cluster around specific devices and moments (recapping, disposal, device passing in theatre), each event is logged with the activity so that engineering controls and safety-engineered devices can be targeted where they will actually work. The Surgical ICU manages critically ill post-operative patients with multiple invasive devices and prolonged immobility, where sharps are handled routinely as part of everyday clinical work.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every reported needlestick / sharps (NSI) injury sustained by a healthcare worker during the month; log each case with its injured staff member (victim). Data collectors enter only the NSI cases (one per incident) — they do NOT enter the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60"/>
            </w:pPr>
            <w:r>
              <w:rPr>
                <w:color w:val="1A2433"/>
                <w:sz w:val="18"/>
                <w:szCs w:val="18"/>
              </w:rPr>
              <w:t xml:space="preserve">Total number of healthcare workers at risk (the hospital's staff headcount). This is a fixed figure set by the ADMINISTRATOR (not by data collectors). Rate = (NSI cases / total healthcare workers) x 100.</w:t>
            </w:r>
          </w:p>
          <w:p>
            <w:r>
              <w:rPr>
                <w:i/>
                <w:iCs/>
                <w:color w:val="6B7684"/>
                <w:sz w:val="16"/>
                <w:szCs w:val="16"/>
              </w:rPr>
              <w:t xml:space="preserve">Set centrally by the administrator — data collectors enter the numerator only.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per 100 healthcare workers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2.0 injuries per 100 FTE per year (US national EXPO-S.T.O.P./EPINet benchmark; rate has held near 1.9-2.0 since 2021); aspirational target 0. Note: nurse-specific rates run higher (~4-5 per 100 FTE).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International Safety Center. EPINet Sharps Injury and Blood/Body Fluid Exposure surveillance reports (annual) — per-100-full-time-equivalent rate method. AOHP EXPO-S.T.O.P. national sharps-injury survey (Grimmond T, Good L). Regulatory basis: OSHA Bloodborne Pathogens Standard, 29 CFR 1910.1030; WHO/ILO guidance on health-worker protection from sharps injury.</w:t>
            </w:r>
          </w:p>
          <w:p>
            <w:hyperlink w:history="1" r:id="rIdnrdacxlbkahdob4hvdu_4">
              <w:r>
                <w:rPr>
                  <w:rStyle w:val="Hyperlink"/>
                  <w:sz w:val="16"/>
                  <w:szCs w:val="16"/>
                </w:rPr>
                <w:t xml:space="preserve">https://internationalsafetycenter.org/exposure-data-network-epinet/</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Emergency Medicine, Out-Patient Department, Neonatal ICU, Endoscopic Suite, General OT, Dialysis, IPD Cabin Level 10, IPD Cabin Level 9, Labour , Delivery &amp; Recovery Room, Medical ICU, Coronary Care Unit, Cath Lab, CTVS OT, Family Medicine, CTVS ICU, Radiology</w:t>
            </w:r>
          </w:p>
        </w:tc>
      </w:tr>
    </w:tbl>
    <w:p>
      <w:pPr>
        <w:spacing w:after="180"/>
      </w:pPr>
    </w:p>
    <w:p>
      <w:pPr>
        <w:pStyle w:val="Heading2"/>
        <w:keepNext/>
      </w:pPr>
      <w:r>
        <w:t xml:space="preserve">9.  Phlebitis</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(Phlebitis events ÷ Peripheral IV catheters)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Phlebitis is the most common complication of peripheral intravenous therapy and a marker of cannula site selection, insertion technique, securement, dwell time and the irritant properties of what is being infused. It is measured because it is common, avoidable and an early warning of poorer vascular access practice, which also drives catheter-related infection. The Surgical ICU manages critically ill post-operative patients with multiple invasive devices and prolonged immobility, where peripheral intravenous therapy is given routinely.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peripheral intravenous (PIV) catheters that developed phlebitis (typically Visual Infusion Phlebitis [VIP] score &gt;=2, i.e. pain plus erythema and/or induration/swelling along the vein) during the surveillance period. Count each affected catheter once.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peripheral IV catheters in place / inserted during the same surveillance period.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5%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5% of peripheral IV catheters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Infusion Nurses Society. Infusion Therapy Standards of Practice, 9th edition (2024). J Infus Nurs. 2024;47(1S):S1–S285, Standard 46: Phlebitis — grading scale and the revised post-infusion phlebitis window of 48–96 hours after catheter removal (previously 48 hours in the 8th edition).</w:t>
            </w:r>
          </w:p>
          <w:p>
            <w:hyperlink w:history="1" r:id="rIdtmjxr16xgvbps9vvyesgq">
              <w:r>
                <w:rPr>
                  <w:rStyle w:val="Hyperlink"/>
                  <w:sz w:val="16"/>
                  <w:szCs w:val="16"/>
                </w:rPr>
                <w:t xml:space="preserve">https://pubmed.ncbi.nlm.nih.gov/38211609/</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Tasrifa Sathi —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Dialysis, IPD Cabin Level 9, Labour , Delivery &amp; Recovery Room, Medical ICU, Coronary Care Unit, CTVS ICU</w:t>
            </w:r>
          </w:p>
        </w:tc>
      </w:tr>
    </w:tbl>
    <w:p>
      <w:pPr>
        <w:spacing w:after="180"/>
      </w:pPr>
    </w:p>
    <w:p>
      <w:pPr>
        <w:pStyle w:val="Heading2"/>
        <w:keepNext/>
      </w:pPr>
      <w:r>
        <w:t xml:space="preserve">10.  Re-admission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(ICU readmissions within 48h ÷ ICU discharges/transfers)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A patient who returns to intensive care within 48 hours was probably discharged too early, or discharged to a ward that could not deliver the level of monitoring they still needed. Readmitted patients have markedly worse outcomes than those admitted once. The indicator tests discharge criteria, handover quality and the capability of the receiving ward, not the competence of the ICU alone. The Surgical ICU manages critically ill post-operative patients with multiple invasive devices and prolonged immobility, where patients are discharged onward to lower-dependency care.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readmitted to (returned to) the ICU within 48 hours of being discharged or transferred out of the ICU to a lower level of care (ward/step-down) during the reporting period. Count each unplanned return; planned/scheduled returns (e.g., staged post-operative ICU admissions) are typically excluded. A patient is counted once per qualifying readmission event.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patients discharged or transferred alive from the ICU to a lower level of care (ward/step-down) during the reporting period (the population at risk of returning). ICU deaths and patients discharged directly home or to another facility (not at risk of ICU return) are excluded from the at-risk denominator.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4%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4% of ICU discharges (soft target; no single hard accreditation threshold). The 48h subset typically runs ~2-2.5%; all-cause/longer-window readmission ~6-7%. Reported rates vary widely (~1.7% up to ~15% when unexpected death is bundled in) by case-mix and discharge policy.</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Society of Critical Care Medicine, Quality Indicators Committee — unplanned ICU readmission within 48 hours of discharge, listed as an ICU performance indicator. Supporting appraisal: Woldhek AL, et al. Readmission of ICU patients: A quality indicator? J Crit Care. 2017;38:328–334.</w:t>
            </w:r>
          </w:p>
          <w:p>
            <w:hyperlink w:history="1" r:id="rIdhk6dpl3ngfxmwgl0lct74">
              <w:r>
                <w:rPr>
                  <w:rStyle w:val="Hyperlink"/>
                  <w:sz w:val="16"/>
                  <w:szCs w:val="16"/>
                </w:rPr>
                <w:t xml:space="preserve">https://pubmed.ncbi.nlm.nih.gov/27939901/</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Tasrifa Sathi —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Medical ICU, Coronary Care Unit, CTVS ICU</w:t>
            </w:r>
          </w:p>
        </w:tc>
      </w:tr>
    </w:tbl>
    <w:p>
      <w:pPr>
        <w:spacing w:after="180"/>
      </w:pPr>
    </w:p>
    <w:p>
      <w:pPr>
        <w:pStyle w:val="Heading2"/>
        <w:keepNext/>
      </w:pPr>
      <w:r>
        <w:t xml:space="preserve">11.  Re-intubation within 48 Hours (ICU)</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(Re-intubations within 48h ÷ Planned extubations)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Re-intubation within 48 hours means the extubation decision was wrong, and extubation failure independently increases mortality, ventilator days and tracheostomy rates. It tests the weaning protocol: spontaneous breathing trial conduct, cuff-leak and secretion assessment, and whether the decision was made against agreed criteria rather than bed pressure. The Surgical ICU manages critically ill post-operative patients with multiple invasive devices and prolonged immobility, where patients are weaned from mechanical ventilation and extubated.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patients requiring reintubation (or return to invasive mechanical ventilation via any invasive airway) within 48 hours of a planned extubation during the reporting period. This is 'extubation failure.' Reintubation following unplanned/accidental (self-)extubation, or reintubation for a new, unrelated surgical procedure, is typically excluded.</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planned (elective) extubations of mechanically ventilated patients performed during the reporting period. Each planned extubation event counts as one denominator unit.</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10%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Acceptable/target extubation-failure rate ~5-10% of planned extubations (wider reasonable band 5-15%); commonly benchmarked at &lt;=10%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Epstein SK. What is the optimal rate of failed extubation? Crit Care. 2012;16(1):111 — extubation failure defined as reintubation within 48–72 hours. Supported by the ATS/CHEST Clinical Practice Guideline on Liberation from Mechanical Ventilation in Critically Ill Adults.</w:t>
            </w:r>
          </w:p>
          <w:p>
            <w:hyperlink w:history="1" r:id="rId5bbiu6d33-nbfuudratxx">
              <w:r>
                <w:rPr>
                  <w:rStyle w:val="Hyperlink"/>
                  <w:sz w:val="16"/>
                  <w:szCs w:val="16"/>
                </w:rPr>
                <w:t xml:space="preserve">https://pmc.ncbi.nlm.nih.gov/articles/PMC3396264/</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Tasrifa Sathi — Staff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Medical ICU, Coronary Care Unit, CTVS ICU</w:t>
            </w:r>
          </w:p>
        </w:tc>
      </w:tr>
    </w:tbl>
    <w:p>
      <w:pPr>
        <w:spacing w:after="180"/>
      </w:pPr>
    </w:p>
    <w:p>
      <w:pPr>
        <w:pStyle w:val="Heading2"/>
        <w:keepNext/>
      </w:pPr>
      <w:r>
        <w:t xml:space="preserve">12.  Surgical Site Infection (SSI)</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Percentage — %</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Percentage</w:t>
            </w:r>
          </w:p>
          <w:p>
            <w:r>
              <w:rPr>
                <w:color w:val="1A2433"/>
                <w:sz w:val="19"/>
                <w:szCs w:val="19"/>
              </w:rPr>
              <w:t xml:space="preserve">(Number of SSIs ÷ Number of operative procedures) × 100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SSI is the most common complication of surgery and a direct measure of the whole perioperative chain: preoperative preparation, antibiotic prophylaxis timing, theatre discipline, sterilisation and postoperative wound care. Surveillance over the 30- or 90-day window defined by procedure category is what makes the rate comparable. A rise triggers review of prophylaxis timing and re-dosing, skin preparation, theatre traffic and instrument reprocessing. The Surgical ICU manages critically ill post-operative patients with multiple invasive devices and prolonged immobility, where surgical wounds are created here and the whole aseptic chain is under this department's control.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Count of surgical site infections (superficial incisional, deep incisional, or organ/space) detected through routine surveillance within the applicable NHSN surveillance period for the procedure category (a 30- or 90-day period determined by the NHSN operative procedure CATEGORY and the tissue level/depth of the SSI event, per the 2013+ definitions — note this is no longer based on implant presence). Include SSIs identified during admission, on readmission, and via post-discharge surveillance. Each procedure-related SSI is counted once per NHSN protocol.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NHSN operative procedures of that category performed during the same period (each trip to the OR meeting the NHSN procedure-code definition counts as one procedure), applying standard NHSN exclusion criteria. SSI rate = (SSIs / procedures) x 100. NHSN also risk-adjusts via the Standardized Infection Ratio (SIR = observed/predicted SSIs), with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2%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&lt;= 2% per 100 procedures (procedure-dependent; NHSN risk-adjusted target SIR &lt; 1.0)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9: Surgical Site Infection (SSI) Event — superficial/deep incisional and organ-space criteria, with the 30- or 90-day surveillance window by procedure category. WHO Global Guidelines for the Prevention of Surgical Site Infection, 2nd edition (2018).</w:t>
            </w:r>
          </w:p>
          <w:p>
            <w:hyperlink w:history="1" r:id="rIdgv4xfj2d7dczg5rdlbb1n">
              <w:r>
                <w:rPr>
                  <w:rStyle w:val="Hyperlink"/>
                  <w:sz w:val="16"/>
                  <w:szCs w:val="16"/>
                </w:rPr>
                <w:t xml:space="preserve">https://www.cdc.gov/nhsn/pdfs/pscmanual/9pscssicurrent.pdf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General OT, IPD Cabin Level 10, IPD Cabin Level 9, Medical ICU, Cath Lab, CTVS OT</w:t>
            </w:r>
          </w:p>
        </w:tc>
      </w:tr>
    </w:tbl>
    <w:p>
      <w:pPr>
        <w:spacing w:after="180"/>
      </w:pPr>
    </w:p>
    <w:p>
      <w:pPr>
        <w:pStyle w:val="Heading2"/>
        <w:keepNext/>
      </w:pPr>
      <w:r>
        <w:t xml:space="preserve">13.  Ventilator-Associated Pneumonia (VAP)</w:t>
      </w:r>
    </w:p>
    <w:tbl>
      <w:tblPr>
        <w:tblW w:type="pct" w:w="100%"/>
        <w:tblBorders>
          <w:top w:val="single" w:color="DDE3EA" w:sz="4"/>
          <w:left w:val="single" w:color="DDE3EA" w:sz="4"/>
          <w:bottom w:val="single" w:color="DDE3EA" w:sz="4"/>
          <w:right w:val="single" w:color="DDE3EA" w:sz="4"/>
          <w:insideH w:val="single" w:color="DDE3EA" w:sz="4"/>
          <w:insideV w:val="single" w:color="DDE3EA" w:sz="4"/>
        </w:tblBorders>
      </w:tblPr>
      <w:tblGrid>
        <w:gridCol w:w="100"/>
        <w:gridCol w:w="100"/>
      </w:tblGrid>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Measure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Rate — per 1000 ventilator-days</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Formula</w:t>
            </w:r>
          </w:p>
        </w:tc>
        <w:tc>
          <w:tcPr>
            <w:tcW w:type="pct" w:w="80%"/>
            <w:tcMar>
              <w:top w:type="dxa" w:w="70"/>
              <w:left w:type="dxa" w:w="120"/>
              <w:bottom w:type="dxa" w:w="70"/>
              <w:right w:type="dxa" w:w="120"/>
            </w:tcMar>
            <w:vAlign w:val="center"/>
          </w:tcPr>
          <w:p>
            <w:pPr>
              <w:spacing w:after="40"/>
            </w:pPr>
            <w:r>
              <w:rPr>
                <w:b/>
                <w:bCs/>
                <w:color w:val="00648C"/>
                <w:sz w:val="17"/>
                <w:szCs w:val="17"/>
              </w:rPr>
              <w:t xml:space="preserve">Rate per 1 000</w:t>
            </w:r>
          </w:p>
          <w:p>
            <w:r>
              <w:rPr>
                <w:color w:val="1A2433"/>
                <w:sz w:val="19"/>
                <w:szCs w:val="19"/>
              </w:rPr>
              <w:t xml:space="preserve">(VAP events ÷ Ventilator-days) × 1000</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Why we measure this</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VAP prolongs ventilation, extends ICU stay and increases mortality. Because risk accumulates with every day of intubation, the rate is expressed per 1 000 ventilator-days. A rising rate directs attention to the ventilator care bundle — head-of-bed elevation, sedation interruption and daily weaning assessment, oral care with the unit antiseptic protocol, and subglottic secretion management. The Surgical ICU manages critically ill post-operative patients with multiple invasive devices and prolonged immobility, where patients are mechanically ventilated, and every additional ventilator day adds risk.</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Numerator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Number of pneumonia events meeting the NHSN PNEU/VAP surveillance criteria in a patient who was on mechanical ventilation with the ventilator in place on the date of event or the day before. (Note: the NHSN PNEU/VAP definition has NO minimum ventilation-duration requirement; the '&gt;2 consecutive ventilator-days' rule belongs to the separate VAE algorithm, not to VAP/PNEU. For adult and pediatric inpatient locations NHSN replaced in-plan VAP surveillance with the VAE algorithm in January 2013 [PedVAE for pediatric locations]; the PNEU/VAP protocol remains available for in-plan PedVAP surveillance in pediatric locations and off-plan PNEU surveillance in any inpatient location, including neonatal.)</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Denominator</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8"/>
                <w:szCs w:val="18"/>
              </w:rPr>
              <w:t xml:space="preserve">Total number of ventilator-days, summed by counting the number of patients on mechanical ventilation in the location once each day at the same time each day during the surveillance month.</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 1 per 1000 ventilator-days   (lower is better)</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Benchmark note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No single fixed target; aim toward 0. Historical NHSN pooled-mean VAP rates ~1-2 per 1000 ventilator-days depending on unit type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Reference</w:t>
            </w:r>
          </w:p>
        </w:tc>
        <w:tc>
          <w:tcPr>
            <w:tcW w:type="pct" w:w="80%"/>
            <w:tcMar>
              <w:top w:type="dxa" w:w="70"/>
              <w:left w:type="dxa" w:w="120"/>
              <w:bottom w:type="dxa" w:w="70"/>
              <w:right w:type="dxa" w:w="120"/>
            </w:tcMar>
            <w:vAlign w:val="center"/>
          </w:tcPr>
          <w:p>
            <w:pPr>
              <w:spacing w:after="40"/>
            </w:pPr>
            <w:r>
              <w:rPr>
                <w:sz w:val="18"/>
                <w:szCs w:val="18"/>
              </w:rPr>
              <w:t xml:space="preserve">CDC/NHSN Patient Safety Component Manual, 2026 edition (effective 1 January 2026), Chapter 6: Pneumonia (Ventilator-associated [VAP] and non-ventilator-associated [PNEU]) Event — PNU1–PNU3 criteria and the ventilator-day denominator.</w:t>
            </w:r>
          </w:p>
          <w:p>
            <w:hyperlink w:history="1" r:id="rIdl93o7rnhx44xuin-mafer">
              <w:r>
                <w:rPr>
                  <w:rStyle w:val="Hyperlink"/>
                  <w:sz w:val="16"/>
                  <w:szCs w:val="16"/>
                </w:rPr>
                <w:t xml:space="preserve">https://www.cdc.gov/nhsn/pdfs/pscmanual/6pscvapcurrent.pdf</w:t>
              </w:r>
            </w:hyperlink>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Responsible</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1A2433"/>
                <w:sz w:val="19"/>
                <w:szCs w:val="19"/>
              </w:rPr>
              <w:t xml:space="preserve">Mithila Chakraborty — Infection Control Nurse</w:t>
            </w:r>
          </w:p>
        </w:tc>
      </w:tr>
      <w:tr>
        <w:trPr>
          <w:cantSplit/>
        </w:trPr>
        <w:tc>
          <w:tcPr>
            <w:tcW w:type="pct" w:w="20%"/>
            <w:shd w:fill="FAFBFC"/>
            <w:tcMar>
              <w:top w:type="dxa" w:w="70"/>
              <w:left w:type="dxa" w:w="120"/>
              <w:bottom w:type="dxa" w:w="70"/>
              <w:right w:type="dxa" w:w="120"/>
            </w:tcMar>
            <w:vAlign w:val="center"/>
          </w:tcPr>
          <w:p>
            <w:pPr>
              <w:spacing w:after="20" w:before="20"/>
              <w:jc w:val="left"/>
            </w:pPr>
            <w:r>
              <w:rPr>
                <w:b/>
                <w:bCs/>
                <w:i w:val="false"/>
                <w:iCs w:val="false"/>
                <w:color w:val="6B7684"/>
                <w:sz w:val="17"/>
                <w:szCs w:val="17"/>
              </w:rPr>
              <w:t xml:space="preserve">Also reported by</w:t>
            </w:r>
          </w:p>
        </w:tc>
        <w:tc>
          <w:tcPr>
            <w:tcW w:type="pct" w:w="80%"/>
            <w:tcMar>
              <w:top w:type="dxa" w:w="70"/>
              <w:left w:type="dxa" w:w="120"/>
              <w:bottom w:type="dxa" w:w="70"/>
              <w:right w:type="dxa" w:w="120"/>
            </w:tcMar>
            <w:vAlign w:val="center"/>
          </w:tcPr>
          <w:p>
            <w:pPr>
              <w:spacing w:after="20" w:before="20"/>
              <w:jc w:val="left"/>
            </w:pPr>
            <w:r>
              <w:rPr>
                <w:b w:val="false"/>
                <w:bCs w:val="false"/>
                <w:i w:val="false"/>
                <w:iCs w:val="false"/>
                <w:color w:val="6B7684"/>
                <w:sz w:val="17"/>
                <w:szCs w:val="17"/>
              </w:rPr>
              <w:t xml:space="preserve">Neonatal ICU, Medical ICU, Coronary Care Unit, CTVS ICU</w:t>
            </w:r>
          </w:p>
        </w:tc>
      </w:tr>
    </w:tbl>
    <w:p>
      <w:pPr>
        <w:spacing w:after="180"/>
      </w:pPr>
    </w:p>
    <w:sectPr>
      <w:headerReference w:type="default" r:id="rId7"/>
      <w:footerReference w:type="default" r:id="rId8"/>
      <w:pgSz w:w="11906" w:h="16838" w:orient="portrait"/>
      <w:pgMar w:top="1100" w:right="1000" w:bottom="1100" w:left="100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A" w:sz="4" w:space="6"/>
      </w:pBdr>
      <w:tabs>
        <w:tab w:val="right" w:pos="9906"/>
      </w:tabs>
    </w:pPr>
    <w:r>
      <w:rPr>
        <w:i/>
        <w:iCs/>
        <w:color w:val="6B7684"/>
        <w:sz w:val="15"/>
        <w:szCs w:val="15"/>
      </w:rPr>
      <w:t xml:space="preserve">Confidential — for internal circulation within UNICO Hospitals PLC only.</w:t>
    </w:r>
    <w:r>
      <w:rPr>
        <w:sz w:val="15"/>
        <w:szCs w:val="15"/>
      </w:rPr>
      <w:t xml:space="preserve">	</w:t>
    </w:r>
    <w:r>
      <w:rPr>
        <w:color w:val="6B7684"/>
        <w:sz w:val="16"/>
        <w:szCs w:val="16"/>
      </w:rPr>
      <w:t xml:space="preserve">Page </w:t>
    </w:r>
    <w:fldSimple w:instr="PAGE"/>
    <w:r>
      <w:rPr>
        <w:color w:val="6B7684"/>
        <w:sz w:val="16"/>
        <w:szCs w:val="16"/>
      </w:rPr>
      <w:t xml:space="preserve"> of </w:t>
    </w:r>
    <w:fldSimple w:instr="NUMPAGE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A" w:sz="4" w:space="6"/>
      </w:pBdr>
      <w:jc w:val="right"/>
    </w:pPr>
    <w:r>
      <w:rPr>
        <w:color w:val="6B7684"/>
        <w:sz w:val="16"/>
        <w:szCs w:val="16"/>
      </w:rPr>
      <w:t xml:space="preserve">Surgical ICU — Nursing Quality Indicators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4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DDE3EA" w:sz="6" w:space="8"/>
      </w:pBdr>
      <w:spacing w:after="200" w:before="200"/>
      <w:outlineLvl w:val="0"/>
    </w:pPr>
    <w:rPr>
      <w:b/>
      <w:bCs/>
      <w:color w:val="00648C"/>
      <w:sz w:val="32"/>
      <w:szCs w:val="32"/>
    </w:rPr>
  </w:style>
  <w:style w:type="paragraph" w:styleId="Heading2">
    <w:name w:val="Heading 2"/>
    <w:basedOn w:val="Normal"/>
    <w:next w:val="Normal"/>
    <w:qFormat/>
    <w:pPr>
      <w:spacing w:after="130" w:before="300"/>
      <w:outlineLvl w:val="1"/>
    </w:pPr>
    <w:rPr>
      <w:b/>
      <w:bCs/>
      <w:color w:val="1A2433"/>
      <w:sz w:val="23"/>
      <w:szCs w:val="23"/>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2ydva5jqvg1b-_ggxn7g" Type="http://schemas.openxmlformats.org/officeDocument/2006/relationships/hyperlink" Target="https://pmc.ncbi.nlm.nih.gov/articles/PMC10753604/" TargetMode="External"/><Relationship Id="rIddmpmfsgnfvwelhqt4rdh5" Type="http://schemas.openxmlformats.org/officeDocument/2006/relationships/hyperlink" Target="https://www.cdc.gov/nhsn/pdfs/pscmanual/7psccauticurrent.pdf" TargetMode="External"/><Relationship Id="rIdigt0v-fq9ltmwhd-tmsdz" Type="http://schemas.openxmlformats.org/officeDocument/2006/relationships/hyperlink" Target="https://www.cdc.gov/nhsn/pdfs/pscmanual/4psc_clabscurrent.pdf" TargetMode="External"/><Relationship Id="rIdao-8txz1xfzss-aylovbh" Type="http://schemas.openxmlformats.org/officeDocument/2006/relationships/hyperlink" Target="https://qualityindicators.ahrq.gov/Downloads/Modules/PSI/V2025/TechSpecs/PSI_12_Perioperative_Pulmonary_Embolism_or_Deep_Vein_Thrombosis_Rate.pdf" TargetMode="External"/><Relationship Id="rIdcjfg89httdijzu20dgms2" Type="http://schemas.openxmlformats.org/officeDocument/2006/relationships/hyperlink" Target="https://www.who.int/publications/i/item/9789241597906" TargetMode="External"/><Relationship Id="rIdknfutjzahmeodguyds9jc" Type="http://schemas.openxmlformats.org/officeDocument/2006/relationships/hyperlink" Target="https://www.ahrq.gov/patient-safety/settings/hospital/resource/pressureulcer/tool/put5.html" TargetMode="External"/><Relationship Id="rIdkveu3ja8ekuima9dxbv1w" Type="http://schemas.openxmlformats.org/officeDocument/2006/relationships/hyperlink" Target="https://ecqi.healthit.gov/ecqm/hosp-inpt/2026/cms1017v2" TargetMode="External"/><Relationship Id="rIdnrdacxlbkahdob4hvdu_4" Type="http://schemas.openxmlformats.org/officeDocument/2006/relationships/hyperlink" Target="https://internationalsafetycenter.org/exposure-data-network-epinet/" TargetMode="External"/><Relationship Id="rIdtmjxr16xgvbps9vvyesgq" Type="http://schemas.openxmlformats.org/officeDocument/2006/relationships/hyperlink" Target="https://pubmed.ncbi.nlm.nih.gov/38211609/" TargetMode="External"/><Relationship Id="rIdhk6dpl3ngfxmwgl0lct74" Type="http://schemas.openxmlformats.org/officeDocument/2006/relationships/hyperlink" Target="https://pubmed.ncbi.nlm.nih.gov/27939901/" TargetMode="External"/><Relationship Id="rId5bbiu6d33-nbfuudratxx" Type="http://schemas.openxmlformats.org/officeDocument/2006/relationships/hyperlink" Target="https://pmc.ncbi.nlm.nih.gov/articles/PMC3396264/" TargetMode="External"/><Relationship Id="rIdgv4xfj2d7dczg5rdlbb1n" Type="http://schemas.openxmlformats.org/officeDocument/2006/relationships/hyperlink" Target="https://www.cdc.gov/nhsn/pdfs/pscmanual/9pscssicurrent.pdf" TargetMode="External"/><Relationship Id="rIdl93o7rnhx44xuin-mafer" Type="http://schemas.openxmlformats.org/officeDocument/2006/relationships/hyperlink" Target="https://www.cdc.gov/nhsn/pdfs/pscmanual/6pscvapcurrent.pdf" TargetMode="External"/><Relationship Id="rId9" Type="http://schemas.openxmlformats.org/officeDocument/2006/relationships/image" Target="media/28d1013c03b04f80739f349e1b3f7ab4fcd82ddd.svg"/><Relationship Id="rId10" Type="http://schemas.openxmlformats.org/officeDocument/2006/relationships/image" Target="media/1860b8f2192a15b3fb1db64f040ba193d93cb2af.pn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Surgical ICU — Nursing Quality Indicators</dc:title>
  <dc:creator>UNICO Quality</dc:creator>
  <dc:description>Assigned nursing quality indicators for Surgical ICU</dc:description>
  <cp:lastModifiedBy>Un-named</cp:lastModifiedBy>
  <cp:revision>1</cp:revision>
  <dcterms:created xsi:type="dcterms:W3CDTF">2026-08-18T04:56:24.694Z</dcterms:created>
  <dcterms:modified xsi:type="dcterms:W3CDTF">2026-08-18T04:56:24.694Z</dcterms:modified>
</cp:coreProperties>
</file>

<file path=docProps/custom.xml><?xml version="1.0" encoding="utf-8"?>
<Properties xmlns="http://schemas.openxmlformats.org/officeDocument/2006/custom-properties" xmlns:vt="http://schemas.openxmlformats.org/officeDocument/2006/docPropsVTypes"/>
</file>