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DIALYSIS</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Dialysis</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11</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Dialysis</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De-lining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Dialysis Adequacy (URR)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65%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Dialysis Water Quality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Intradialytic Hypotension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3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Vascular Access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0.5 per 1000 access-days at risk</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bl>
    <w:p>
      <w:pPr>
        <w:pStyle w:val="Heading2"/>
        <w:keepNext/>
      </w:pPr>
      <w:r>
        <w:t xml:space="preserve">1.  Accidental De-lining of Catheter</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(Accidental catheter removals/dislodgements ÷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catheter removal interrupts treatment, forces a repeat invasive procedure with its own risk, and — for central and arterial devices — can cause bleeding or air embolism. It measures securement practice, patient agitation management and handover care during transfers and repositioning. The Dialysis unit treats patients with end-stage kidney disease through vascular access several times a week, for years, where indwelling catheters are in place and patients are moved, transferred and repositioned frequently.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removals or dislodgements of an indwelling catheter (e.g. central venous catheter, PICC, arterial line, peripheral line) during the surveillance period - i.e. any removal not clinically ordered, including patient self-removal, accidental dislodgement, or migration requiring re-siting.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catheter-days = sum, over each day of the surveillance period, of the number of indwelling catheters in place that day across all patients (device-days).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aspirational goal &lt;= ~1 per 1000 catheter-days. Reported literature varies widely by device type and setting: central venous catheters ~2 per 1000 catheter-days (de la Torre/Lorente, Crit Care 2004, reported as 0.20/100 catheter-days), unplanned CVC removal ~5 per 1000 CVC-days in a multicenter ICU cohort, and ~11-16 per 1000 catheter-days for arterial lines and PICU central/PICC lines.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hyperlink w:history="1" r:id="rId30aeobflj4w17ikc8htd_">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bl>
    <w:p>
      <w:pPr>
        <w:spacing w:after="180"/>
      </w:pPr>
    </w:p>
    <w:p>
      <w:pPr>
        <w:pStyle w:val="Heading2"/>
        <w:keepNext/>
      </w:pPr>
      <w:r>
        <w:t xml:space="preserve">2.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Tunnelled haemodialysis catheters are the highest-risk form of vascular access and are accessed three times a week, every week. CLABSI here is both a patient-safety event and the strongest argument for converting catheter-dependent patients to a fistula or graft.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jayw-ff2rf6f7hshx9igs">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IPD Cabin Level 10, IPD Cabin Level 9, Medical ICU, Coronary Care Unit, CTVS ICU</w:t>
            </w:r>
          </w:p>
        </w:tc>
      </w:tr>
    </w:tbl>
    <w:p>
      <w:pPr>
        <w:spacing w:after="180"/>
      </w:pPr>
    </w:p>
    <w:p>
      <w:pPr>
        <w:pStyle w:val="Heading2"/>
        <w:keepNext/>
      </w:pPr>
      <w:r>
        <w:t xml:space="preserve">3.  Dialysis Adequacy (URR)</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(Pre-BUN minus post-BUN ÷ Pre-dialysis BUN)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Inadequate dialysis accumulates silently and translates directly into uraemic symptoms, malnutrition, cardiovascular disease and mortality. The urea reduction ratio verifies that the prescribed dose is actually being delivered — the prescription and the delivered dose are frequently not the same, because of access recirculation, shortened sessions and pump-flow shortfalls. The Dialysis unit treats patients with end-stage kidney disease through vascular access several times a week, for years, where the prescribed dose of dialysis is only of value if it is actually delivered at the chair.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(Pre-dialysis BUN minus post-dialysis BUN) for the treatment session; equivalently, count of HD patients meeting the adequacy target when reporting facility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Pre-dialysis BUN drawn immediately before the session (post-BUN drawn per the slow-flow/stop-pump technique); for facility reporting, total HD patients with a measured URR in the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65%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65% minimum (target &gt; 70%); equivalent to spKt/V minimum 1.2, target 1.4 for thrice-weekly HD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National Kidney Foundation. KDOQI Clinical Practice Guideline for Hemodialysis Adequacy: 2015 Update. Am J Kidney Dis. 2015;66(5):884–930 — urea reduction ratio and spKt/V targets for thrice-weekly haemodialysis.</w:t>
            </w:r>
          </w:p>
          <w:p>
            <w:hyperlink w:history="1" r:id="rIdmom8vccfjnd3kbrklfq0z">
              <w:r>
                <w:rPr>
                  <w:rStyle w:val="Hyperlink"/>
                  <w:sz w:val="16"/>
                  <w:szCs w:val="16"/>
                </w:rPr>
                <w:t xml:space="preserve">https://www.ajkd.org/article/S0272-6386(15)01019-7/fulltext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bl>
    <w:p>
      <w:pPr>
        <w:spacing w:after="180"/>
      </w:pPr>
    </w:p>
    <w:p>
      <w:pPr>
        <w:pStyle w:val="Heading2"/>
        <w:keepNext/>
      </w:pPr>
      <w:r>
        <w:t xml:space="preserve">4.  Dialysis Water Quality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(Water/dialysate samples within AAMI/ISO limits ÷ Total water/dialysate samples tested)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dialysis water and dialysate microbiological/endotoxin samples meeting applicable ANSI/AAMI/ISO 23500 limits. For standard dialysis WATER: total viable count (TVC) &lt; 100 CFU/mL (action level 50 CFU/mL) and endotoxin &lt; 0.25 EU/mL (action level 0.125 EU/mL). For standard dialysate (dialysis fluid): TVC &lt; 100 CFU/mL and endotoxin &lt; 0.5 EU/mL (action levels 50 CFU/mL and 0.25 EU/mL). For ultrapure dialysate: TVC &lt; 0.1 CFU/mL and endotoxin &lt; 0.03 EU/mL. Cultures performed on low-nutrient media (e.g., TGEA/R2A) at 17-23 C for &gt;=168 h; do not use nutrient-rich media.</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scheduled water/dialysate quality samples tested in the period (microbiological cultures and endotoxin/LAL assays at required sampling points)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100% of samples within ANSI/AAMI/ISO 23500 limits (water: TVC &lt; 100 CFU/mL, endotoxin &lt; 0.25 EU/mL; dialysate: TVC &lt; 100 CFU/mL, endotoxin &lt; 0.5 EU/mL)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ANSI/AAMI/ISO 23500 series — Preparation and quality management of fluids for haemodialysis and related therapies: ISO 23500-3:2024, Water for haemodialysis and related therapies (superseding the 2019 edition and the former ISO 13959), and ANSI/AAMI/ISO 23500-5:2019, Quality of dialysis fluid (formerly ISO 11663), setting the chemical and microbiological limits and the monitoring frequency. CDC recommendations for water use and testing in dialysis; CMS ESRD Conditions for Coverage, 42 CFR Part 494.</w:t>
            </w:r>
          </w:p>
          <w:p>
            <w:hyperlink w:history="1" r:id="rIdakm1sfqiezovydbdrssx6">
              <w:r>
                <w:rPr>
                  <w:rStyle w:val="Hyperlink"/>
                  <w:sz w:val="16"/>
                  <w:szCs w:val="16"/>
                </w:rPr>
                <w:t xml:space="preserve">https://www.cdc.gov/dialysis-safety/hcp/recommendations-resources/water-use-in-dialysis.html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bl>
    <w:p>
      <w:pPr>
        <w:spacing w:after="180"/>
      </w:pPr>
    </w:p>
    <w:p>
      <w:pPr>
        <w:pStyle w:val="Heading2"/>
        <w:keepNext/>
      </w:pPr>
      <w:r>
        <w:t xml:space="preserve">5.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Staff move between patients and machines constantly during a session, handling vascular access each time, which makes hand hygiene the main barrier to patient-to-patient transmission.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qzw0icuquvk-sf3wlmmre">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IPD Cabin Level 10, IPD Cabin Level 9, Labour , Delivery &amp; Recovery Room, Medical ICU, Coronary Care Unit, Cath Lab, CTVS OT, Family Medicine, Radiology</w:t>
            </w:r>
          </w:p>
        </w:tc>
      </w:tr>
    </w:tbl>
    <w:p>
      <w:pPr>
        <w:spacing w:after="180"/>
      </w:pPr>
    </w:p>
    <w:p>
      <w:pPr>
        <w:pStyle w:val="Heading2"/>
        <w:keepNext/>
      </w:pPr>
      <w:r>
        <w:t xml:space="preserve">6.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Patients frequently become hypotensive during or just after dialysis and are at their most unsteady when standing to leave the chair at the end of a session.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3xm-wvng1vtkrprxtkszq">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IPD Cabin Level 10, IPD Cabin Level 9, Labour , Delivery &amp; Recovery Room, Medical ICU, Coronary Care Unit, CTVS OT, CTVS ICU</w:t>
            </w:r>
          </w:p>
        </w:tc>
      </w:tr>
    </w:tbl>
    <w:p>
      <w:pPr>
        <w:spacing w:after="180"/>
      </w:pPr>
    </w:p>
    <w:p>
      <w:pPr>
        <w:pStyle w:val="Heading2"/>
        <w:keepNext/>
      </w:pPr>
      <w:r>
        <w:t xml:space="preserve">7.  Intradialytic Hypotension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(HD sessions with intradialytic hypotension ÷ Total HD sessions)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blood-pressure fall during dialysis is the most common acute complication of haemodialysis: it causes distress, forces the session to be cut short — which itself under-delivers dialysis — and is associated with cardiac and cerebral ischaemia and access thrombosis. Measuring it drives review of dry-weight assessment, ultrafiltration rate, dialysate temperature and antihypertensive timing. The Dialysis unit treats patients with end-stage kidney disease through vascular access several times a week, for years, where fluid is removed rapidly within each session.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hemodialysis sessions during which intradialytic hypotension occurred, defined per KDOQI as a decrease in systolic BP &gt;= 20 mmHg (or a fall in mean arterial pressure &gt;= 10 mmHg) associated with symptoms (e.g., cramps, nausea, dizziness, fainting) and requiring nursing intervention (e.g., stopping ultrafiltration and/or saline infusion)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hemodialysis sessions delivered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of sessions (KDOQI background prevalence ~20-30%, about 25%;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National Kidney Foundation. KDOQI Clinical Practice Guidelines for Cardiovascular Disease in Dialysis Patients (2005), Guideline 13: intradialytic hypotension. Working definition: a fall in systolic blood pressure of ≥20 mmHg or in mean arterial pressure of ≥10 mmHg accompanied by symptoms requiring intervention, per the European Best Practice Guideline on haemodynamic instability in haemodialysis.</w:t>
            </w:r>
          </w:p>
          <w:p>
            <w:hyperlink w:history="1" r:id="rIdbivtelpviwnyfkhurxiih">
              <w:r>
                <w:rPr>
                  <w:rStyle w:val="Hyperlink"/>
                  <w:sz w:val="16"/>
                  <w:szCs w:val="16"/>
                </w:rPr>
                <w:t xml:space="preserve">https://kidneyfoundation.cachefly.net/professionals/KDOQI/guidelines_cvd/intradialytic.htm</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bl>
    <w:p>
      <w:pPr>
        <w:spacing w:after="180"/>
      </w:pPr>
    </w:p>
    <w:p>
      <w:pPr>
        <w:pStyle w:val="Heading2"/>
        <w:keepNext/>
      </w:pPr>
      <w:r>
        <w:t xml:space="preserve">8.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Dialysis needles are large-bore and are inserted and removed repeatedly for every patient, every session, giving this unit a high per-staff exposure frequency.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8lrw2ne1fml2p0qdkwtsq">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IPD Cabin Level 10, IPD Cabin Level 9, Labour , Delivery &amp; Recovery Room, Medical ICU, Coronary Care Unit, Cath Lab, CTVS OT, Family Medicine, CTVS ICU, Radiology</w:t>
            </w:r>
          </w:p>
        </w:tc>
      </w:tr>
    </w:tbl>
    <w:p>
      <w:pPr>
        <w:spacing w:after="180"/>
      </w:pPr>
    </w:p>
    <w:p>
      <w:pPr>
        <w:pStyle w:val="Heading2"/>
        <w:keepNext/>
      </w:pPr>
      <w:r>
        <w:t xml:space="preserve">9.  Out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out-patient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Out-patients fall in corridors, waiting areas, on stairs and while moving to and from examination couches — often unaccompanied and after sedation or a procedure. These events are easily missed because the patient goes home, so deliberate capture matters. The rate is expressed per 1 000 out-patient visits and the target is set locally, since no national out-patient measure exists. Post-dialysis hypotension makes the walk out of the unit the highest-risk moment of the visit.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out-patient visits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Adapted from Patient Fall Rate (CBE/NQF #0141). Note: that national measure is specified for INPATIENT units with a patient-day denominator, and no national out-patient equivalent exists — out-patient falls are therefore expressed per 1 000 out-patient visits and the target is set locally by the organisation. Prevention context: AHRQ PSNet Falls patient-safety primer; NABH Accreditation Standards for Hospitals, 6th edition (effective 1 January 2025).</w:t>
            </w:r>
          </w:p>
          <w:p>
            <w:hyperlink w:history="1" r:id="rIdeoytjjnsoe3lr-vykp9h8">
              <w:r>
                <w:rPr>
                  <w:rStyle w:val="Hyperlink"/>
                  <w:sz w:val="16"/>
                  <w:szCs w:val="16"/>
                </w:rPr>
                <w:t xml:space="preserve">https://psnet.ahrq.gov/primer/falls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Endoscopic Suite</w:t>
            </w:r>
          </w:p>
        </w:tc>
      </w:tr>
    </w:tbl>
    <w:p>
      <w:pPr>
        <w:spacing w:after="180"/>
      </w:pPr>
    </w:p>
    <w:p>
      <w:pPr>
        <w:pStyle w:val="Heading2"/>
        <w:keepNext/>
      </w:pPr>
      <w:r>
        <w:t xml:space="preserve">10.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Peripheral access in a patient with end-stage kidney disease must be protected: veins damaged by phlebitis are veins unavailable for future fistula formation.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ysb0yzjdwum6z7v5m3omu">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IPD Cabin Level 9, Labour , Delivery &amp; Recovery Room, Medical ICU, Coronary Care Unit, CTVS ICU</w:t>
            </w:r>
          </w:p>
        </w:tc>
      </w:tr>
    </w:tbl>
    <w:p>
      <w:pPr>
        <w:spacing w:after="180"/>
      </w:pPr>
    </w:p>
    <w:p>
      <w:pPr>
        <w:pStyle w:val="Heading2"/>
        <w:keepNext/>
      </w:pPr>
      <w:r>
        <w:t xml:space="preserve">11.  Vascular Access Complication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access-days at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(Access thrombosis events ÷ Access-days at risk)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Vascular access is the dialysis patient's lifeline. Thrombosis, stenosis, infection and aneurysm interrupt treatment, force temporary catheters with far higher infection risk, and are a leading cause of hospitalisation in this group. Monitoring complications protects access longevity and reduces catheter dependence. The Dialysis unit treats patients with end-stage kidney disease through vascular access several times a week, for years, where vascular access is cannulated repeatedly, for every treatment, for years.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thrombosis events occurring in functioning AV fistulae/grafts during the period. (KDOQI benchmarks are defined for thrombosis specifically; a broader composite that also counts stenosis requiring intervention or access infection may be reported separately but is not directly comparable to the per-access-year thrombosis benchmark.)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Cumulative access-days at risk (sum of days each functioning AV access is in use during the period). The native KDOQI metric is events per access-year (= access-days / 365); divide access-days by 365 to compare with the per-access-year benchmark.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0.5 per 1000 access-days at risk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0.5 thrombosis events per access-year (~1.37 per 1000 access-days). AV grafts: baseline 0.5-0.8/graft-year, target 0.2-0.4/graft-year with surveillance; AV fistulae lower (~0.1-0.5/year).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National Kidney Foundation. KDOQI Clinical Practice Guideline for Vascular Access: 2019 Update. Am J Kidney Dis. 2020;75(4)(suppl 2):S1–S164 — access complication definitions (thrombosis, stenosis, infection, aneurysm, steal syndrome).</w:t>
            </w:r>
          </w:p>
          <w:p>
            <w:hyperlink w:history="1" r:id="rIdwbhhvt2ql4vtovqxtijr5">
              <w:r>
                <w:rPr>
                  <w:rStyle w:val="Hyperlink"/>
                  <w:sz w:val="16"/>
                  <w:szCs w:val="16"/>
                </w:rPr>
                <w:t xml:space="preserve">https://www.ajkd.org/article/S0272-6386(19)31137-0/fulltext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Zakia Sultana — Senior Staff Nurse</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Dialysis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0aeobflj4w17ikc8htd_" Type="http://schemas.openxmlformats.org/officeDocument/2006/relationships/hyperlink" Target="https://pubmed.ncbi.nlm.nih.gov/38211609/" TargetMode="External"/><Relationship Id="rIdjayw-ff2rf6f7hshx9igs" Type="http://schemas.openxmlformats.org/officeDocument/2006/relationships/hyperlink" Target="https://www.cdc.gov/nhsn/pdfs/pscmanual/4psc_clabscurrent.pdf" TargetMode="External"/><Relationship Id="rIdmom8vccfjnd3kbrklfq0z" Type="http://schemas.openxmlformats.org/officeDocument/2006/relationships/hyperlink" Target="https://www.ajkd.org/article/S0272-6386(15)01019-7/fulltext" TargetMode="External"/><Relationship Id="rIdakm1sfqiezovydbdrssx6" Type="http://schemas.openxmlformats.org/officeDocument/2006/relationships/hyperlink" Target="https://www.cdc.gov/dialysis-safety/hcp/recommendations-resources/water-use-in-dialysis.html" TargetMode="External"/><Relationship Id="rIdqzw0icuquvk-sf3wlmmre" Type="http://schemas.openxmlformats.org/officeDocument/2006/relationships/hyperlink" Target="https://www.who.int/publications/i/item/9789241597906" TargetMode="External"/><Relationship Id="rId3xm-wvng1vtkrprxtkszq" Type="http://schemas.openxmlformats.org/officeDocument/2006/relationships/hyperlink" Target="https://ecqi.healthit.gov/ecqm/hosp-inpt/2026/cms1017v2" TargetMode="External"/><Relationship Id="rIdbivtelpviwnyfkhurxiih" Type="http://schemas.openxmlformats.org/officeDocument/2006/relationships/hyperlink" Target="https://kidneyfoundation.cachefly.net/professionals/KDOQI/guidelines_cvd/intradialytic.htm" TargetMode="External"/><Relationship Id="rId8lrw2ne1fml2p0qdkwtsq" Type="http://schemas.openxmlformats.org/officeDocument/2006/relationships/hyperlink" Target="https://internationalsafetycenter.org/exposure-data-network-epinet/" TargetMode="External"/><Relationship Id="rIdeoytjjnsoe3lr-vykp9h8" Type="http://schemas.openxmlformats.org/officeDocument/2006/relationships/hyperlink" Target="https://psnet.ahrq.gov/primer/falls" TargetMode="External"/><Relationship Id="rIdysb0yzjdwum6z7v5m3omu" Type="http://schemas.openxmlformats.org/officeDocument/2006/relationships/hyperlink" Target="https://pubmed.ncbi.nlm.nih.gov/38211609/" TargetMode="External"/><Relationship Id="rIdwbhhvt2ql4vtovqxtijr5" Type="http://schemas.openxmlformats.org/officeDocument/2006/relationships/hyperlink" Target="https://www.ajkd.org/article/S0272-6386(19)31137-0/fulltext"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Dialysis — Nursing Quality Indicators</dc:title>
  <dc:creator>UNICO Quality</dc:creator>
  <dc:description>Assigned nursing quality indicators for Dialysis</dc:description>
  <cp:lastModifiedBy>Un-named</cp:lastModifiedBy>
  <cp:revision>1</cp:revision>
  <dcterms:created xsi:type="dcterms:W3CDTF">2026-08-18T04:56:24.749Z</dcterms:created>
  <dcterms:modified xsi:type="dcterms:W3CDTF">2026-08-18T04:56:24.749Z</dcterms:modified>
</cp:coreProperties>
</file>

<file path=docProps/custom.xml><?xml version="1.0" encoding="utf-8"?>
<Properties xmlns="http://schemas.openxmlformats.org/officeDocument/2006/custom-properties" xmlns:vt="http://schemas.openxmlformats.org/officeDocument/2006/docPropsVTypes"/>
</file>