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LABOUR , DELIVERY &amp; RECOVERY ROOM</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Labour , Delivery &amp; Recovery Room</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Labour , Delivery &amp; Recovery Room</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Fetal Heart Rate Monitoring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9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Partograph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bl>
    <w:p>
      <w:pPr>
        <w:pStyle w:val="Heading2"/>
        <w:keepNext/>
      </w:pPr>
      <w:r>
        <w:t xml:space="preserve">1.  Fetal Heart Rate Monitoring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(Labours with FHR monitored &amp; documented per protocol ÷ Labours requiring intrapartum FHR monitoring)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Intrapartum fetal heart rate monitoring is the principal means of detecting fetal compromise in time to intervene, and failures of monitoring and interpretation are among the most frequent findings in intrapartum litigation and stillbirth review. Compliance measures whether monitoring was performed and documented to the agreed standard for the risk level of the labour. Labour, Delivery &amp; Recovery cares for women in labour and their newborns — two patients at once, where fetal wellbeing can only be assessed indirectly, and deterioration can be rapid.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monitored labours in which intrapartum fetal heart rate was assessed and documented at the protocol-required frequency and method (e.g. intermittent auscultation immediately after a palpated contraction for &gt;=1 minute, at least every 15 minutes in established first stage and at least every 5 minutes in second stage for low-risk women, or continuous CTG when antenatal/intrapartum risk factors are present). Counted by chart/partogram audit as fully compliant only when all required FHR entries are present at the required interval and method. State whether scoring per labour or per assessment opportunity and keep it consistent.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labours audited that required intrapartum fetal heart rate monitoring during the period (eligible labours). If scoring at the observation level, the denominator is instead the total number of required FHR-assessment opportunities; choose one level and apply it consistently across the numerator and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Target 100% (full compliance); &gt;=90% commonly used as an interim audit threshold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ACOG Clinical Practice Guideline No. 10: Intrapartum Fetal Heart Rate Monitoring — Interpretation and Management (October 2025), which replaces the retired Practice Bulletins No. 106 (2009) and No. 116 (2010). NICE NG229: Fetal monitoring in labour (2022). FIGO consensus guidelines on intrapartum fetal monitoring (2015).</w:t>
            </w:r>
          </w:p>
          <w:p>
            <w:hyperlink w:history="1" r:id="rIdqpnqji8dmvukdfvrb_k6b">
              <w:r>
                <w:rPr>
                  <w:rStyle w:val="Hyperlink"/>
                  <w:sz w:val="16"/>
                  <w:szCs w:val="16"/>
                </w:rPr>
                <w:t xml:space="preserve">https://www.nice.org.uk/guidance/ng229/chapter/Recommendations</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Sathi — Charge Nurse</w:t>
            </w:r>
          </w:p>
        </w:tc>
      </w:tr>
    </w:tbl>
    <w:p>
      <w:pPr>
        <w:spacing w:after="180"/>
      </w:pPr>
    </w:p>
    <w:p>
      <w:pPr>
        <w:pStyle w:val="Heading2"/>
        <w:keepNext/>
      </w:pPr>
      <w:r>
        <w:t xml:space="preserve">2.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Labour, Delivery &amp; Recovery cares for women in labour and their newborns — two patients at once, where staff move between patients and devices many times an hour.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jprbhmvy6jyrhke7x78cv">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Medical ICU, Coronary Care Unit, Cath Lab, CTVS OT, Family Medicine, Radiology</w:t>
            </w:r>
          </w:p>
        </w:tc>
      </w:tr>
    </w:tbl>
    <w:p>
      <w:pPr>
        <w:spacing w:after="180"/>
      </w:pPr>
    </w:p>
    <w:p>
      <w:pPr>
        <w:pStyle w:val="Heading2"/>
        <w:keepNext/>
      </w:pPr>
      <w:r>
        <w:t xml:space="preserve">3.  In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Falls are the most frequently reported inpatient safety incident and a major cause of avoidable injury, extended stay and loss of confidence in admitted patients. The rate is expressed per 1 000 patient-days so that units with longer stays are compared fairly. A rise prompts review of falls-risk assessment on admission and after any change in condition, environmental hazards, footwear and toileting routines, and the sedating medicines the patient is on. Women in labour and immediately post-delivery are at particular risk when mobilising after regional anaesthesia, during first ambulation and when carrying a newborn.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 falls (with or without injury, whether or not assisted by a staff member) occurring on the eligible reporting unit during the calendar month. A fall = an unplanned descent to the floor (or extension of the floor, e.g., trash can or other equipment) with or without injury. Includes assisted falls and falls in which the patient was found on the floor. Count each fall event; a patient who falls more than once is counted each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patient-days for the eligible reporting unit during the same calendar month. Patient-days = sum of the daily inpatient census (typically counted at a consistent time each day, e.g., midnight) over the reporting period. Multiply the falls/patient-day ratio by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3.3 falls per 1000 patient-days (NDNQI national median;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Patient Fall Rate (CBE/NQF #0141) — all documented falls per 1 000 patient-days on eligible inpatient units; developed for the National Database of Nursing Quality Indicators (NDNQI), measure copyright American Nurses Association, now maintained under the Partnership for Quality Measurement. Related current electronic measure: CMS Hospital Harm – Falls with Injury (CMS1017v2, 2026 reporting period).</w:t>
            </w:r>
          </w:p>
          <w:p>
            <w:hyperlink w:history="1" r:id="rIdqsev_mzs59xijbxhebij0">
              <w:r>
                <w:rPr>
                  <w:rStyle w:val="Hyperlink"/>
                  <w:sz w:val="16"/>
                  <w:szCs w:val="16"/>
                </w:rPr>
                <w:t xml:space="preserve">https://ecqi.healthit.gov/ecqm/hosp-inpt/2026/cms1017v2</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Sathi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Surgical ICU, Dialysis, IPD Cabin Level 10, IPD Cabin Level 9, Medical ICU, Coronary Care Unit, CTVS OT, CTVS ICU</w:t>
            </w:r>
          </w:p>
        </w:tc>
      </w:tr>
    </w:tbl>
    <w:p>
      <w:pPr>
        <w:spacing w:after="180"/>
      </w:pPr>
    </w:p>
    <w:p>
      <w:pPr>
        <w:pStyle w:val="Heading2"/>
        <w:keepNext/>
      </w:pPr>
      <w:r>
        <w:t xml:space="preserve">4.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Deliveries are urgent, often occur out of hours, and involve suturing in a field with high blood and body-fluid exposure.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ch7nwa-teocqvnyxycczl">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Medical ICU, Coronary Care Unit, Cath Lab, CTVS OT, Family Medicine, CTVS ICU, Radiology</w:t>
            </w:r>
          </w:p>
        </w:tc>
      </w:tr>
    </w:tbl>
    <w:p>
      <w:pPr>
        <w:spacing w:after="180"/>
      </w:pPr>
    </w:p>
    <w:p>
      <w:pPr>
        <w:pStyle w:val="Heading2"/>
        <w:keepNext/>
      </w:pPr>
      <w:r>
        <w:t xml:space="preserve">5.  Partograph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(Eligible labours with partograph correctly used/completed ÷ Eligible women in active labour)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Structured labour monitoring is what makes prolonged and obstructed labour visible early enough to act, and it is directly linked to reductions in ruptured uterus, birth asphyxia and maternal death. Compliance is measured because the tool only works if it is completed contemporaneously and acted upon, not filled in retrospectively. Labour, Delivery &amp; Recovery cares for women in labour and their newborns — two patients at once, where labour is monitored over many hours across changes of staff.</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eligible women in active labour for whom the partograph (or WHO Labour Care Guide) was correctly commenced and completed per protocol — i.e. cervical dilatation, fetal heart rate, contractions, descent, maternal vitals and the alert/action line plotted at the required intervals. Determined by retrospective chart audit against a defined completeness checklist.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eligible women in active labour (vaginal-birth pathway) audited during the period for whom a partograph/Labour Care Guide should have been used. Exclude pre-labour caesarean and other women in whom partograph monitoring is not indicated.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Target 100% (full compliance); commonly set &gt;=90% as an interim quality threshold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Labour Care Guide: User's Manual (2020, ISBN 9789240017566), which replaces the earlier partograph; WHO recommendations: intrapartum care for a positive childbirth experience (2018, ISBN 9789241550215). NABH Accreditation Standards for Hospitals, 6th edition (effective 1 January 2025).</w:t>
            </w:r>
          </w:p>
          <w:p>
            <w:hyperlink w:history="1" r:id="rIdggz-phwg1h7ldkutpw63h">
              <w:r>
                <w:rPr>
                  <w:rStyle w:val="Hyperlink"/>
                  <w:sz w:val="16"/>
                  <w:szCs w:val="16"/>
                </w:rPr>
                <w:t xml:space="preserve">https://www.who.int/publications/i/item/9789240017566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Sathi — Charge Nurse</w:t>
            </w:r>
          </w:p>
        </w:tc>
      </w:tr>
    </w:tbl>
    <w:p>
      <w:pPr>
        <w:spacing w:after="180"/>
      </w:pPr>
    </w:p>
    <w:p>
      <w:pPr>
        <w:pStyle w:val="Heading2"/>
        <w:keepNext/>
      </w:pPr>
      <w:r>
        <w:t xml:space="preserve">6.  Phlebitis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(Phlebitis events ÷ Peripheral IV catheters)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Phlebitis is the most common complication of peripheral intravenous therapy and a marker of cannula site selection, insertion technique, securement, dwell time and the irritant properties of what is being infused. It is measured because it is common, avoidable and an early warning of poorer vascular access practice, which also drives catheter-related infection. Labour, Delivery &amp; Recovery cares for women in labour and their newborns — two patients at once, where peripheral intravenous therapy is given routinely.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peripheral intravenous (PIV) catheters that developed phlebitis (typically Visual Infusion Phlebitis [VIP] score &gt;=2, i.e. pain plus erythema and/or induration/swelling along the vein) during the surveillance period. Count each affected catheter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peripheral IV catheters in place / inserted during the same surveillance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5% of peripheral IV catheters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46: Phlebitis — grading scale and the revised post-infusion phlebitis window of 48–96 hours after catheter removal (previously 48 hours in the 8th edition).</w:t>
            </w:r>
          </w:p>
          <w:p>
            <w:hyperlink w:history="1" r:id="rIdypf8vep64mpcayiwv4sfk">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Sathi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Dialysis, IPD Cabin Level 9, Medical ICU, Coronary Care Unit, CTVS ICU</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Labour , Delivery &amp; Recovery Room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pnqji8dmvukdfvrb_k6b" Type="http://schemas.openxmlformats.org/officeDocument/2006/relationships/hyperlink" Target="https://www.nice.org.uk/guidance/ng229/chapter/Recommendations" TargetMode="External"/><Relationship Id="rIdjprbhmvy6jyrhke7x78cv" Type="http://schemas.openxmlformats.org/officeDocument/2006/relationships/hyperlink" Target="https://www.who.int/publications/i/item/9789241597906" TargetMode="External"/><Relationship Id="rIdqsev_mzs59xijbxhebij0" Type="http://schemas.openxmlformats.org/officeDocument/2006/relationships/hyperlink" Target="https://ecqi.healthit.gov/ecqm/hosp-inpt/2026/cms1017v2" TargetMode="External"/><Relationship Id="rIdch7nwa-teocqvnyxycczl" Type="http://schemas.openxmlformats.org/officeDocument/2006/relationships/hyperlink" Target="https://internationalsafetycenter.org/exposure-data-network-epinet/" TargetMode="External"/><Relationship Id="rIdggz-phwg1h7ldkutpw63h" Type="http://schemas.openxmlformats.org/officeDocument/2006/relationships/hyperlink" Target="https://www.who.int/publications/i/item/9789240017566" TargetMode="External"/><Relationship Id="rIdypf8vep64mpcayiwv4sfk" Type="http://schemas.openxmlformats.org/officeDocument/2006/relationships/hyperlink" Target="https://pubmed.ncbi.nlm.nih.gov/38211609/"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 Delivery &amp; Recovery Room — Nursing Quality Indicators</dc:title>
  <dc:creator>UNICO Quality</dc:creator>
  <dc:description>Assigned nursing quality indicators for Labour , Delivery &amp; Recovery Room</dc:description>
  <cp:lastModifiedBy>Un-named</cp:lastModifiedBy>
  <cp:revision>1</cp:revision>
  <dcterms:created xsi:type="dcterms:W3CDTF">2026-08-18T04:56:24.863Z</dcterms:created>
  <dcterms:modified xsi:type="dcterms:W3CDTF">2026-08-18T04:56:24.863Z</dcterms:modified>
</cp:coreProperties>
</file>

<file path=docProps/custom.xml><?xml version="1.0" encoding="utf-8"?>
<Properties xmlns="http://schemas.openxmlformats.org/officeDocument/2006/custom-properties" xmlns:vt="http://schemas.openxmlformats.org/officeDocument/2006/docPropsVTypes"/>
</file>