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CORONARY CARE UNIT</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Coronary Care Unit</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13</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Coronary Care Unit</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Cardiac Arrest Survival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bl>
    <w:p>
      <w:pPr>
        <w:pStyle w:val="Heading2"/>
        <w:keepNext/>
      </w:pPr>
      <w:r>
        <w:t xml:space="preserve">1.  Accidental Removal of ETT Tube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(Unplanned extubations ÷ Ventilator-days)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Unplanned extubation is an airway emergency: it risks hypoxia, aspiration, arrhythmia and cardiac arrest, and re-intubation itself carries risk. It is measured per 100 ventilator-days because exposure accumulates with time on the ventilator. Events are reviewed for tube securement, sedation adequacy, agitation management and whether staffing allowed continuous observation. The Coronary Care Unit manages acute cardiac patients under continuous monitoring, where patients are intubated and may be agitated or under-sedated.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extubations - any removal of the endotracheal (ETT) tube not deliberately performed by the care team, including patient self-extubation and accidental dislodgement during care/transport.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ventilator-days = sum across the surveillance period of the number of patients with an ETT on mechanical ventilation each day. Multiply the ratio by 100 (rate expressed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0.95 per 100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0.95 unplanned extubations per 100 ventilator-days (Solutions for Patient Safety national goal); reported literature rates typically ~0.9-1.06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Children's Hospitals' Solutions for Patient Safety (SPS). Unplanned Extubation prevention bundle — operational definition and network goal of ≤0.95 unplanned extubations per 100 ventilator-days (introduced May 2018). Rate expressed per 100 ventilator-days per the established ICU/NICU/PICU surveillance convention.</w:t>
            </w:r>
          </w:p>
          <w:p>
            <w:hyperlink w:history="1" r:id="rIdz8cpcihco6lmephwhego8">
              <w:r>
                <w:rPr>
                  <w:rStyle w:val="Hyperlink"/>
                  <w:sz w:val="16"/>
                  <w:szCs w:val="16"/>
                </w:rPr>
                <w:t xml:space="preserve">https://pmc.ncbi.nlm.nih.gov/articles/PMC10753604/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Zakir — Charge Nurse CCU</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Medical ICU, CTVS ICU</w:t>
            </w:r>
          </w:p>
        </w:tc>
      </w:tr>
    </w:tbl>
    <w:p>
      <w:pPr>
        <w:spacing w:after="180"/>
      </w:pPr>
    </w:p>
    <w:p>
      <w:pPr>
        <w:pStyle w:val="Heading2"/>
        <w:keepNext/>
      </w:pPr>
      <w:r>
        <w:t xml:space="preserve">2.  Cardiac Arrest Survival Rate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(Cardiac arrest patients surviving to hospital discharge ÷ Patients with an in-hospital cardiac arrest with attempted resuscitation)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Survival to discharge after in-hospital cardiac arrest measures the whole chain of survival: recognition of deterioration, speed of the code response, resuscitation quality and post-arrest care. It is measured because it is actionable — most in-hospital arrests are preceded by hours of recorded deterioration, so a low survival rate often points upstream to escalation and early-warning practice. The Coronary Care Unit manages acute cardiac patients under continuous monitoring, where in-hospital arrests occur and the speed and quality of the code response decide the outcome.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in-hospital cardiac arrest patients who survived to hospital discharge (alive at discharge) following resuscitation. Count each patient once per index arrest.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had an in-hospital cardiac arrest (pulseless event requiring chest compressions and/or defibrillation) with an attempted resuscitation during the reporting period (GWTG-Resuscitation index-event population; excludes patients with pre-existing do-not-resuscitate orders).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AHA GWTG-R contemporary adult IHCA survival-to-discharge ~24% (benchmark ~25%)</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American Heart Association. Get With The Guidelines–Resuscitation, the national in-hospital cardiac arrest registry — survival-to-hospital-discharge definition following a pulseless event requiring chest compressions and/or defibrillation. 2025 AHA Guidelines for Cardiopulmonary Resuscitation and Emergency Cardiovascular Care.</w:t>
            </w:r>
          </w:p>
          <w:p>
            <w:hyperlink w:history="1" r:id="rIdn6_7ix-os_tpe_yxczpdm">
              <w:r>
                <w:rPr>
                  <w:rStyle w:val="Hyperlink"/>
                  <w:sz w:val="16"/>
                  <w:szCs w:val="16"/>
                </w:rPr>
                <w:t xml:space="preserve">https://doi.org/10.1161/CIR.0000000000001372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Zakir — Charge Nurse CCU</w:t>
            </w:r>
          </w:p>
        </w:tc>
      </w:tr>
    </w:tbl>
    <w:p>
      <w:pPr>
        <w:spacing w:after="180"/>
      </w:pPr>
    </w:p>
    <w:p>
      <w:pPr>
        <w:pStyle w:val="Heading2"/>
        <w:keepNext/>
      </w:pPr>
      <w:r>
        <w:t xml:space="preserve">3.  Catheter-Associated UTI (CAUTI)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(CAUTIs ÷ Urinary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Urinary catheters are the single largest source of healthcare-associated urinary infection, and most CAUTI is preventable by removing the catheter sooner. Expressing events per 1 000 catheter-days makes the rate sensitive to unnecessary catheter days, which is the main modifiable factor. A breach prompts review of insertion indication, aseptic technique, closed-drainage integrity and, above all, whether daily review for prompt removal is actually happening. The Coronary Care Unit manages acute cardiac patients under continuous monitoring, where indwelling urinary catheters are common and easily left in longer than needed.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CAUTI events meeting the NHSN UTI surveillance definition (symptomatic UTI/SUTI) in patients who had an indwelling urinary catheter in place for &gt;2 consecutive days (day of catheter placement = Day 1) in an inpatient location on the date of event, with the catheter in place on that date or removed the day before. Count each qualifying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indwelling urinary catheter-days, obtained by counting, once each day at the same time each day during the surveillance month, the number of patients in the location with one or more indwelling urinary catheters, and summing these daily counts over the month (electronic counts allowed if validated to within 5% of manual counts).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NHSN primary benchmark is the SIR &lt; 1.0 vs the NHSN baseline (fewer infections observed than predicted); pooled-mean CAUTI rate is roughly 1.0 per 1000 catheter-days but varies widely by unit type and is not an official fixed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7: Urinary Tract Infection (CAUTI) Events — SUTI/ABUTI surveillance definitions and the indwelling-catheter day denominator. Standardised Infection Ratio methodology per the NHSN SIR Guide.</w:t>
            </w:r>
          </w:p>
          <w:p>
            <w:hyperlink w:history="1" r:id="rId6sads5rhmhljknqqig-e-">
              <w:r>
                <w:rPr>
                  <w:rStyle w:val="Hyperlink"/>
                  <w:sz w:val="16"/>
                  <w:szCs w:val="16"/>
                </w:rPr>
                <w:t xml:space="preserve">https://www.cdc.gov/nhsn/pdfs/pscmanual/7psccauticurrent.pdf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10, IPD Cabin Level 9, Medical ICU, CTVS ICU</w:t>
            </w:r>
          </w:p>
        </w:tc>
      </w:tr>
    </w:tbl>
    <w:p>
      <w:pPr>
        <w:spacing w:after="180"/>
      </w:pPr>
    </w:p>
    <w:p>
      <w:pPr>
        <w:pStyle w:val="Heading2"/>
        <w:keepNext/>
      </w:pPr>
      <w:r>
        <w:t xml:space="preserve">4.  Central Line-Associated Bloodstream Infection (CLABSI)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central line-days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(CLABSIs ÷ Central line-days)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CLABSI is a largely preventable bloodstream infection that carries high attributable mortality, prolonged intensive care and substantial extra cost. Measuring it per 1 000 central-line days rather than per patient adjusts for how heavily lines are actually used, so a unit is not penalised for caring for sicker patients. A rising rate points directly at insertion technique, hub disinfection, dressing integrity or lines being left in longer than needed, and triggers review of the central-line bundle and daily assessment of line necessity. The Coronary Care Unit manages acute cardiac patients under continuous monitoring, where central venous access is used heavily and often for prolonged periods.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laboratory-confirmed bloodstream infections (LCBI) meeting the NHSN CLABSI definition: a primary LCBI not secondary to an infection at another site, in a patient with an eligible central line in place for &gt;2 consecutive calendar days (following first access in an inpatient location) on the date of event, with the line present on that date or removed the day before.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central line-days, summed by counting the number of patients with one or more central lines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central line-days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SIR &lt; 1.0 vs NHSN baseline; pooled-mean CLABSI rate ~1.0 per 1000 central line-days (varies by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hyperlink w:history="1" r:id="rIdwugugzs402-n1ltb_bc6d">
              <w:r>
                <w:rPr>
                  <w:rStyle w:val="Hyperlink"/>
                  <w:sz w:val="16"/>
                  <w:szCs w:val="16"/>
                </w:rPr>
                <w:t xml:space="preserve">https://www.cdc.gov/nhsn/pdfs/pscmanual/4psc_clabscurrent.pdf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IPD Cabin Level 10, IPD Cabin Level 9, Medical ICU, CTVS ICU</w:t>
            </w:r>
          </w:p>
        </w:tc>
      </w:tr>
    </w:tbl>
    <w:p>
      <w:pPr>
        <w:spacing w:after="180"/>
      </w:pPr>
    </w:p>
    <w:p>
      <w:pPr>
        <w:pStyle w:val="Heading2"/>
        <w:keepNext/>
      </w:pPr>
      <w:r>
        <w:t xml:space="preserve">5.  Deep Vein Thrombosis (DVT)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(DVT/VTE cases ÷ Surgical discharges)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Venous thromboembolism after surgery or immobility is a leading cause of preventable inpatient death, and prophylaxis is highly effective. Measuring DVT tests whether risk assessment and prophylaxis are reaching the patients who need them. Each event is reviewed for whether prophylaxis was assessed, prescribed and actually given. The Coronary Care Unit manages acute cardiac patients under continuous monitoring, where patients are immobile or post-operative and at thrombotic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surgical discharges with a secondary (not present-on-admission) ICD-10-CM diagnosis of PROXIMAL deep vein thrombosis or pulmonary embolism arising perioperatively (hospital-acquired VTE). Per AHRQ PSI-12, only proximal DVT/PE qualify; isolated distal/calf DVT is excluded. Excludes cases with a principal diagnosis of PE/proximal DVT, POA PE/proximal DVT, vena cava interruption or pulmonary thrombectomy on/before the first OR procedure day, ECMO, acute brain/spinal injury POA, and obstetric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Surgical discharges for patients age &gt;=18 with any-listed ICD-10-PCS operating-room procedure code and a surgical MS-DRG (PSI-12 denominator). For general HA-VTE monitoring the denominator may be broadened to all eligible admissions, but the AHRQ-standard denominator is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per 1000 surgical discharges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track against the AHRQ risk-adjusted PSI-12 national reference (observed rates roughly 3-5 per 1000 surgical discharges); no fixed zero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AHRQ Quality Indicators. Patient Safety Indicator 12 (PSI-12): Perioperative Pulmonary Embolism or Deep Vein Thrombosis Rate — Technical Specifications, version 2025 (CBE/NQF #0450).</w:t>
            </w:r>
          </w:p>
          <w:p>
            <w:hyperlink w:history="1" r:id="rIdofjh-heuyhltculy6r0ri">
              <w:r>
                <w:rPr>
                  <w:rStyle w:val="Hyperlink"/>
                  <w:sz w:val="16"/>
                  <w:szCs w:val="16"/>
                </w:rPr>
                <w:t xml:space="preserve">https://qualityindicators.ahrq.gov/Downloads/Modules/PSI/V2025/TechSpecs/PSI_12_Perioperative_Pulmonary_Embolism_or_Deep_Vein_Thrombosis_Rate.pdf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Zakir — Charge Nurse CCU</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9, Medical ICU, CTVS ICU</w:t>
            </w:r>
          </w:p>
        </w:tc>
      </w:tr>
    </w:tbl>
    <w:p>
      <w:pPr>
        <w:spacing w:after="180"/>
      </w:pPr>
    </w:p>
    <w:p>
      <w:pPr>
        <w:pStyle w:val="Heading2"/>
        <w:keepNext/>
      </w:pPr>
      <w:r>
        <w:t xml:space="preserve">6.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The Coronary Care Unit manages acute cardiac patients under continuous monitoring,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efpidaknt8by-axnojmcr">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Cath Lab, CTVS OT, Family Medicine, Radiology</w:t>
            </w:r>
          </w:p>
        </w:tc>
      </w:tr>
    </w:tbl>
    <w:p>
      <w:pPr>
        <w:spacing w:after="180"/>
      </w:pPr>
    </w:p>
    <w:p>
      <w:pPr>
        <w:pStyle w:val="Heading2"/>
        <w:keepNext/>
      </w:pPr>
      <w:r>
        <w:t xml:space="preserve">7.  Hospital-Acquired Pressure Ulcer (HAPU)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(Patients who developed ≥ 1 HAPU (Stage 2+)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pressure injury that develops after admission is a direct indicator of nursing surveillance: risk assessment, repositioning, support surfaces, nutrition and moisture management. It is painful, slow to heal and largely preventable. A rise triggers review of risk-assessment completion, repositioning schedules and the availability of pressure-redistributing surfaces. The Coronary Care Unit manages acute cardiac patients under continuous monitoring, where patients have limited mobility and depend on staff for repositioning.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developed one or more NEW hospital-acquired (nosocomial) pressure ulcers of Stage 2 or greater (including Stage 2, Stage 3, Stage 4, unstageable, and deep tissue injury) per NPIAP staging during the reporting period. Hospital-acquired = not present on admission; identified on/after the assessment that follows admission. A patient is counted once regardless of the number of ulcers.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patient-days for the same unit and period, obtained by summing the daily inpatient census over the month. Rate = (patients who developed ≥ 1 HAPU ÷ total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0.75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HAPU incidence rate = (patients with ≥ 1 new hospital-acquired pressure ulcer ÷ patient-days) × 1,000 — the standard for ongoing internal clinical quality tracking. &lt; 0.75 per 1000 patient-days is the commonly used NDNQI-derived benchmark (lower is better; aspirational target 0). Note: the one-day prevalence survey (~≤ 3.6% of patients surveyed, NDNQI) is a DIFFERENT metric — do not mix the two.</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European Pressure Ulcer Advisory Panel, National Pressure Injury Advisory Panel and Pan Pacific Pressure Injury Alliance. Prevention and Treatment of Pressure Ulcers/Injuries: Clinical Practice Guideline, 3rd edition (2019) — international staging system and incidence measurement. AHRQ. Preventing Pressure Ulcers in Hospitals: A Toolkit for Improving Quality of Care, Tool 5: How Do We Measure Our Pressure Ulcer Rates?</w:t>
            </w:r>
          </w:p>
          <w:p>
            <w:hyperlink w:history="1" r:id="rIddrlz2yopyiyeyffhply0z">
              <w:r>
                <w:rPr>
                  <w:rStyle w:val="Hyperlink"/>
                  <w:sz w:val="16"/>
                  <w:szCs w:val="16"/>
                </w:rPr>
                <w:t xml:space="preserve">https://www.ahrq.gov/patient-safety/settings/hospital/resource/pressureulcer/tool/put5.html</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Zakir — Charge Nurse CCU</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IPD Cabin Level 9, Medical ICU, CTVS ICU</w:t>
            </w:r>
          </w:p>
        </w:tc>
      </w:tr>
    </w:tbl>
    <w:p>
      <w:pPr>
        <w:spacing w:after="180"/>
      </w:pPr>
    </w:p>
    <w:p>
      <w:pPr>
        <w:pStyle w:val="Heading2"/>
        <w:keepNext/>
      </w:pPr>
      <w:r>
        <w:t xml:space="preserve">8.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Cardiac patients are often on antihypertensives, diuretics and anticoagulants — the combination makes both a fall and its consequences more likely.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na6fgdqclsz37uuax9mei">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Zakir — Charge Nurse CCU</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Dialysis, IPD Cabin Level 10, IPD Cabin Level 9, Labour , Delivery &amp; Recovery Room, Medical ICU, CTVS OT, CTVS ICU</w:t>
            </w:r>
          </w:p>
        </w:tc>
      </w:tr>
    </w:tbl>
    <w:p>
      <w:pPr>
        <w:spacing w:after="180"/>
      </w:pPr>
    </w:p>
    <w:p>
      <w:pPr>
        <w:pStyle w:val="Heading2"/>
        <w:keepNext/>
      </w:pPr>
      <w:r>
        <w:t xml:space="preserve">9.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The Coronary Care Unit manages acute cardiac patients under continuous monitoring,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hgl_vjuzp5dlzk_lq0k8b">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Cath Lab, CTVS OT, Family Medicine, CTVS ICU, Radiology</w:t>
            </w:r>
          </w:p>
        </w:tc>
      </w:tr>
    </w:tbl>
    <w:p>
      <w:pPr>
        <w:spacing w:after="180"/>
      </w:pPr>
    </w:p>
    <w:p>
      <w:pPr>
        <w:pStyle w:val="Heading2"/>
        <w:keepNext/>
      </w:pPr>
      <w:r>
        <w:t xml:space="preserve">10.  Phlebitis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(Phlebitis events ÷ Peripheral IV catheters)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Phlebitis is the most common complication of peripheral intravenous therapy and a marker of cannula site selection, insertion technique, securement, dwell time and the irritant properties of what is being infused. It is measured because it is common, avoidable and an early warning of poorer vascular access practice, which also drives catheter-related infection. The Coronary Care Unit manages acute cardiac patients under continuous monitoring, where peripheral intravenous therapy is given routinely.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peripheral intravenous (PIV) catheters that developed phlebitis (typically Visual Infusion Phlebitis [VIP] score &gt;=2, i.e. pain plus erythema and/or induration/swelling along the vein) during the surveillance period. Count each affected catheter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peripheral IV catheters in place / inserted during the same surveillance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peripheral IV catheters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hyperlink w:history="1" r:id="rIdo502dmhf_291irfvssng_">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Zakir — Charge Nurse CCU</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IPD Cabin Level 9, Labour , Delivery &amp; Recovery Room, Medical ICU, CTVS ICU</w:t>
            </w:r>
          </w:p>
        </w:tc>
      </w:tr>
    </w:tbl>
    <w:p>
      <w:pPr>
        <w:spacing w:after="180"/>
      </w:pPr>
    </w:p>
    <w:p>
      <w:pPr>
        <w:pStyle w:val="Heading2"/>
        <w:keepNext/>
      </w:pPr>
      <w:r>
        <w:t xml:space="preserve">11.  Re-admission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(ICU readmissions within 48h ÷ ICU discharges/transfers)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patient who returns to intensive care within 48 hours was probably discharged too early, or discharged to a ward that could not deliver the level of monitoring they still needed. Readmitted patients have markedly worse outcomes than those admitted once. The indicator tests discharge criteria, handover quality and the capability of the receiving ward, not the competence of the ICU alone. The Coronary Care Unit manages acute cardiac patients under continuous monitoring, where patients are discharged onward to lower-dependency care.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readmitted to (returned to) the ICU within 48 hours of being discharged or transferred out of the ICU to a lower level of care (ward/step-down) during the reporting period. Count each unplanned return; planned/scheduled returns (e.g., staged post-operative ICU admissions) are typically excluded. A patient is counted once per qualifying readmission event.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patients discharged or transferred alive from the ICU to a lower level of care (ward/step-down) during the reporting period (the population at risk of returning). ICU deaths and patients discharged directly home or to another facility (not at risk of ICU return) are excluded from the at-risk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4% of ICU discharges (soft target; no single hard accreditation threshold). The 48h subset typically runs ~2-2.5%; all-cause/longer-window readmission ~6-7%. Reported rates vary widely (~1.7% up to ~15% when unexpected death is bundled in) by case-mix and discharge policy.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Society of Critical Care Medicine, Quality Indicators Committee — unplanned ICU readmission within 48 hours of discharge, listed as an ICU performance indicator. Supporting appraisal: Woldhek AL, et al. Readmission of ICU patients: A quality indicator? J Crit Care. 2017;38:328–334.</w:t>
            </w:r>
          </w:p>
          <w:p>
            <w:hyperlink w:history="1" r:id="rId_elj2wgw_w10aypnv7afp">
              <w:r>
                <w:rPr>
                  <w:rStyle w:val="Hyperlink"/>
                  <w:sz w:val="16"/>
                  <w:szCs w:val="16"/>
                </w:rPr>
                <w:t xml:space="preserve">https://pubmed.ncbi.nlm.nih.gov/27939901/</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Zakir — Charge Nurse CCU</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Medical ICU, CTVS ICU</w:t>
            </w:r>
          </w:p>
        </w:tc>
      </w:tr>
    </w:tbl>
    <w:p>
      <w:pPr>
        <w:spacing w:after="180"/>
      </w:pPr>
    </w:p>
    <w:p>
      <w:pPr>
        <w:pStyle w:val="Heading2"/>
        <w:keepNext/>
      </w:pPr>
      <w:r>
        <w:t xml:space="preserve">12.  Re-intubation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(Re-intubations within 48h ÷ Planned extubations)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Re-intubation within 48 hours means the extubation decision was wrong, and extubation failure independently increases mortality, ventilator days and tracheostomy rates. It tests the weaning protocol: spontaneous breathing trial conduct, cuff-leak and secretion assessment, and whether the decision was made against agreed criteria rather than bed pressure. The Coronary Care Unit manages acute cardiac patients under continuous monitoring, where patients are weaned from mechanical ventilation and extubated.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requiring reintubation (or return to invasive mechanical ventilation via any invasive airway) within 48 hours of a planned extubation during the reporting period. This is 'extubation failure.' Reintubation following unplanned/accidental (self-)extubation, or reintubation for a new, unrelated surgical procedure, is typically excluded.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planned (elective) extubations of mechanically ventilated patients performed during the reporting period. Each planned extubation event counts as one denominator unit.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Acceptable/target extubation-failure rate ~5-10% of planned extubations (wider reasonable band 5-15%); commonly benchmarked at &lt;=10%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Epstein SK. What is the optimal rate of failed extubation? Crit Care. 2012;16(1):111 — extubation failure defined as reintubation within 48–72 hours. Supported by the ATS/CHEST Clinical Practice Guideline on Liberation from Mechanical Ventilation in Critically Ill Adults.</w:t>
            </w:r>
          </w:p>
          <w:p>
            <w:hyperlink w:history="1" r:id="rIdaynnkshskojtol0cufoy8">
              <w:r>
                <w:rPr>
                  <w:rStyle w:val="Hyperlink"/>
                  <w:sz w:val="16"/>
                  <w:szCs w:val="16"/>
                </w:rPr>
                <w:t xml:space="preserve">https://pmc.ncbi.nlm.nih.gov/articles/PMC3396264/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Zakir — Charge Nurse CCU</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Medical ICU, CTVS ICU</w:t>
            </w:r>
          </w:p>
        </w:tc>
      </w:tr>
    </w:tbl>
    <w:p>
      <w:pPr>
        <w:spacing w:after="180"/>
      </w:pPr>
    </w:p>
    <w:p>
      <w:pPr>
        <w:pStyle w:val="Heading2"/>
        <w:keepNext/>
      </w:pPr>
      <w:r>
        <w:t xml:space="preserve">13.  Ventilator-Associated Pneumonia (VAP)</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(VAP events ÷ Ventilator-days)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VAP prolongs ventilation, extends ICU stay and increases mortality. Because risk accumulates with every day of intubation, the rate is expressed per 1 000 ventilator-days. A rising rate directs attention to the ventilator care bundle — head-of-bed elevation, sedation interruption and daily weaning assessment, oral care with the unit antiseptic protocol, and subglottic secretion management. The Coronary Care Unit manages acute cardiac patients under continuous monitoring, where patients are mechanically ventilated, and every additional ventilator day adds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pneumonia events meeting the NHSN PNEU/VAP surveillance criteria in a patient who was on mechanical ventilation with the ventilator in place on the date of event or the day before. (Note: the NHSN PNEU/VAP definition has NO minimum ventilation-duration requirement; the '&gt;2 consecutive ventilator-days' rule belongs to the separate VAE algorithm, not to VAP/PNEU. For adult and pediatric inpatient locations NHSN replaced in-plan VAP surveillance with the VAE algorithm in January 2013 [PedVAE for pediatric locations]; the PNEU/VAP protocol remains available for in-plan PedVAP surveillance in pediatric locations and off-plan PNEU surveillance in any inpatient location, including neonatal.)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ventilator-days, summed by counting the number of patients on mechanical ventilation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No single fixed target; aim toward 0. Historical NHSN pooled-mean VAP rates ~1-2 per 1000 ventilator-days depending on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6: Pneumonia (Ventilator-associated [VAP] and non-ventilator-associated [PNEU]) Event — PNU1–PNU3 criteria and the ventilator-day denominator.</w:t>
            </w:r>
          </w:p>
          <w:p>
            <w:hyperlink w:history="1" r:id="rIdhfnzpohvbdznrb2_im9ep">
              <w:r>
                <w:rPr>
                  <w:rStyle w:val="Hyperlink"/>
                  <w:sz w:val="16"/>
                  <w:szCs w:val="16"/>
                </w:rPr>
                <w:t xml:space="preserve">https://www.cdc.gov/nhsn/pdfs/pscmanual/6pscvapcurrent.pdf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Zakir — Charge Nurse CCU</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Medical ICU, CTVS ICU</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Coronary Care Unit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8cpcihco6lmephwhego8" Type="http://schemas.openxmlformats.org/officeDocument/2006/relationships/hyperlink" Target="https://pmc.ncbi.nlm.nih.gov/articles/PMC10753604/" TargetMode="External"/><Relationship Id="rIdn6_7ix-os_tpe_yxczpdm" Type="http://schemas.openxmlformats.org/officeDocument/2006/relationships/hyperlink" Target="https://doi.org/10.1161/CIR.0000000000001372" TargetMode="External"/><Relationship Id="rId6sads5rhmhljknqqig-e-" Type="http://schemas.openxmlformats.org/officeDocument/2006/relationships/hyperlink" Target="https://www.cdc.gov/nhsn/pdfs/pscmanual/7psccauticurrent.pdf" TargetMode="External"/><Relationship Id="rIdwugugzs402-n1ltb_bc6d" Type="http://schemas.openxmlformats.org/officeDocument/2006/relationships/hyperlink" Target="https://www.cdc.gov/nhsn/pdfs/pscmanual/4psc_clabscurrent.pdf" TargetMode="External"/><Relationship Id="rIdofjh-heuyhltculy6r0ri" Type="http://schemas.openxmlformats.org/officeDocument/2006/relationships/hyperlink" Target="https://qualityindicators.ahrq.gov/Downloads/Modules/PSI/V2025/TechSpecs/PSI_12_Perioperative_Pulmonary_Embolism_or_Deep_Vein_Thrombosis_Rate.pdf" TargetMode="External"/><Relationship Id="rIdefpidaknt8by-axnojmcr" Type="http://schemas.openxmlformats.org/officeDocument/2006/relationships/hyperlink" Target="https://www.who.int/publications/i/item/9789241597906" TargetMode="External"/><Relationship Id="rIddrlz2yopyiyeyffhply0z" Type="http://schemas.openxmlformats.org/officeDocument/2006/relationships/hyperlink" Target="https://www.ahrq.gov/patient-safety/settings/hospital/resource/pressureulcer/tool/put5.html" TargetMode="External"/><Relationship Id="rIdna6fgdqclsz37uuax9mei" Type="http://schemas.openxmlformats.org/officeDocument/2006/relationships/hyperlink" Target="https://ecqi.healthit.gov/ecqm/hosp-inpt/2026/cms1017v2" TargetMode="External"/><Relationship Id="rIdhgl_vjuzp5dlzk_lq0k8b" Type="http://schemas.openxmlformats.org/officeDocument/2006/relationships/hyperlink" Target="https://internationalsafetycenter.org/exposure-data-network-epinet/" TargetMode="External"/><Relationship Id="rIdo502dmhf_291irfvssng_" Type="http://schemas.openxmlformats.org/officeDocument/2006/relationships/hyperlink" Target="https://pubmed.ncbi.nlm.nih.gov/38211609/" TargetMode="External"/><Relationship Id="rId_elj2wgw_w10aypnv7afp" Type="http://schemas.openxmlformats.org/officeDocument/2006/relationships/hyperlink" Target="https://pubmed.ncbi.nlm.nih.gov/27939901/" TargetMode="External"/><Relationship Id="rIdaynnkshskojtol0cufoy8" Type="http://schemas.openxmlformats.org/officeDocument/2006/relationships/hyperlink" Target="https://pmc.ncbi.nlm.nih.gov/articles/PMC3396264/" TargetMode="External"/><Relationship Id="rIdhfnzpohvbdznrb2_im9ep" Type="http://schemas.openxmlformats.org/officeDocument/2006/relationships/hyperlink" Target="https://www.cdc.gov/nhsn/pdfs/pscmanual/6pscvap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Coronary Care Unit — Nursing Quality Indicators</dc:title>
  <dc:creator>UNICO Quality</dc:creator>
  <dc:description>Assigned nursing quality indicators for Coronary Care Unit</dc:description>
  <cp:lastModifiedBy>Un-named</cp:lastModifiedBy>
  <cp:revision>1</cp:revision>
  <dcterms:created xsi:type="dcterms:W3CDTF">2026-08-18T04:56:24.944Z</dcterms:created>
  <dcterms:modified xsi:type="dcterms:W3CDTF">2026-08-18T04:56:24.944Z</dcterms:modified>
</cp:coreProperties>
</file>

<file path=docProps/custom.xml><?xml version="1.0" encoding="utf-8"?>
<Properties xmlns="http://schemas.openxmlformats.org/officeDocument/2006/custom-properties" xmlns:vt="http://schemas.openxmlformats.org/officeDocument/2006/docPropsVTypes"/>
</file>