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CATH LAB</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Cath Lab</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Cath Lab</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Door-to-Balloon Compliance (&lt;=90 min)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Post-PCI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Puncture Site Hematoma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6 other departments</w:t>
            </w:r>
          </w:p>
        </w:tc>
      </w:tr>
    </w:tbl>
    <w:p>
      <w:pPr>
        <w:pStyle w:val="Heading2"/>
        <w:keepNext/>
      </w:pPr>
      <w:r>
        <w:t xml:space="preserve">1.  Door-to-Balloon Compliance (&lt;=90 min)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(STEMI patients with primary PCI within 90 min ÷ STEMI patients receiving primary PCI)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In STEMI, myocardium dies while the artery stays blocked — every 30 minutes of delay raises one-year mortality measurably. This indicator measures the whole reperfusion chain, from arrival through diagnosis, activation and transfer to first device. It is a system measure: the delay is usually organisational, not clinical. The Cath Lab performs coronary diagnostic and interventional procedures through arterial access, where primary PCI is delivered here and myocardium is lost while the artery stays occluded.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AMI/STEMI (ST-elevation or new LBBB on ECG closest to arrival) patients whose interval from hospital arrival (door) to first device deployment / balloon inflation during primary PCI is &lt;= 90 minutes. Count each qualifying patient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AMI patients with ST-segment elevation or LBBB on the ECG closest to arrival who receive primary PCI as the reperfusion strategy during the hospital stay (CMS CMS53v7 / AMI-8a initial population: patients &gt;=18 yr with STEMI undergoing primary PCI). Exclude transfers-in, fibrinolytic patients, and documented contraindication/delay reasons per measure spec.</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90% of primary-PCI STEMI patients treated within 90 minutes (each individual case target door-to-balloon &lt;= 90 min; ACC/AHA Class I). Original ACC D2B Alliance population goal was &gt;=75%; high performers reach ~85-90%+.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2025 ACC/AHA/ACEP/NAEMSP/SCAI Guideline for the Management of Patients With Acute Coronary Syndromes. Circulation. 2025 — the current guideline frames the target as first-medical-contact-to-device time ≤90 minutes, superseding the 2013 ACCF/AHA STEMI door-to-balloon framing. Legacy accountability measure: CMS/Joint Commission AMI-8a (CMS53v7), Primary PCI Received Within 90 Minutes of Hospital Arrival, CBE/NQF #0163.</w:t>
            </w:r>
          </w:p>
          <w:p>
            <w:hyperlink w:history="1" r:id="rIdba6htamyfpaarvhwvcqqf">
              <w:r>
                <w:rPr>
                  <w:rStyle w:val="Hyperlink"/>
                  <w:sz w:val="16"/>
                  <w:szCs w:val="16"/>
                </w:rPr>
                <w:t xml:space="preserve">https://doi.org/10.1161/CIR.0000000000001309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Rabbi Miah — Team Leader</w:t>
            </w:r>
          </w:p>
        </w:tc>
      </w:tr>
    </w:tbl>
    <w:p>
      <w:pPr>
        <w:spacing w:after="180"/>
      </w:pPr>
    </w:p>
    <w:p>
      <w:pPr>
        <w:pStyle w:val="Heading2"/>
        <w:keepNext/>
      </w:pPr>
      <w:r>
        <w:t xml:space="preserve">2.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The Cath Lab performs coronary diagnostic and interventional procedures through arterial access,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nduq8xu8zd8wwmtraumca">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CTVS OT, Family Medicine, Radiology</w:t>
            </w:r>
          </w:p>
        </w:tc>
      </w:tr>
    </w:tbl>
    <w:p>
      <w:pPr>
        <w:spacing w:after="180"/>
      </w:pPr>
    </w:p>
    <w:p>
      <w:pPr>
        <w:pStyle w:val="Heading2"/>
        <w:keepNext/>
      </w:pPr>
      <w:r>
        <w:t xml:space="preserve">3.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The Cath Lab performs coronary diagnostic and interventional procedures through arterial access,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i3oyensdjpkydcerxkcg-">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CTVS OT, Family Medicine, CTVS ICU, Radiology</w:t>
            </w:r>
          </w:p>
        </w:tc>
      </w:tr>
    </w:tbl>
    <w:p>
      <w:pPr>
        <w:spacing w:after="180"/>
      </w:pPr>
    </w:p>
    <w:p>
      <w:pPr>
        <w:pStyle w:val="Heading2"/>
        <w:keepNext/>
      </w:pPr>
      <w:r>
        <w:t xml:space="preserve">4.  Post-PCI Complication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PCI procedures with a complication ÷ Number of PCI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Complications after percutaneous coronary intervention — bleeding, vascular injury, contrast-associated kidney injury, stroke or the need for emergency surgery — are the outcome measure of procedural quality, case selection and periprocedural management. Tracking them supports honest comparison with registry benchmarks and drives review of access route, anticoagulation dosing and contrast volume. The Cath Lab performs coronary diagnostic and interventional procedures through arterial access, where coronary intervention is performed on patients with significant cardiac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PCI procedures with any in-hospital post-procedure complication as defined by the NCDR CathPCI Registry — including access-site/vascular complications (hematoma, pseudoaneurysm, AV fistula, retroperitoneal bleed, dissection/occlusion requiring treatment), major bleeding (per NCDR bleeding definition: bleeding within 72h, hemorrhagic stroke, cardiac tamponade, post-PCI transfusion when preprocedure Hgb &gt;8 g/dL, or absolute Hgb drop &gt;=3 g/dL when preprocedure Hgb &lt;=16 g/dL), periprocedural MI, stroke/TIA, emergency CABG, new dialysis/acute kidney injury (AKIN stage 1+ or new dialysis), cardiac tamponade, or death — occurring from procedure start until discharge.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PCI procedures performed in the same period. Rate = (PCIs with complication / total PCIs) x 100. NOTE: this unadjusted composite is a local quality-tracking metric, NOT an official NCDR surveillance measure. NCDR formally reports complications as separate RISK-ADJUSTED / risk-standardized outcome measures (in-hospital risk-adjusted mortality, risk-adjusted major bleeding, risk-adjusted AKI), because raw rates are confounded by patient risk mix.</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PCI procedures (generic composite target; not an official NCDR threshold). Real-world overall periprocedural complication ~2-3.5%; component targets lower (major bleeding ~1-2%). Prefer NCDR risk-adjusted, NQF-endorsed component measures where available.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American College of Cardiology. NCDR CathPCI Registry data dictionary and outcome definitions — periprocedural complications (bleeding, vascular access, acute kidney injury, stroke, emergency CABG). Society for Cardiovascular Angiography and Interventions (SCAI) consensus definitions for periprocedural myocardial infarction and bleeding.</w:t>
            </w:r>
          </w:p>
          <w:p>
            <w:hyperlink w:history="1" r:id="rIdu2pq_hxh0hw6me4hmltf3">
              <w:r>
                <w:rPr>
                  <w:rStyle w:val="Hyperlink"/>
                  <w:sz w:val="16"/>
                  <w:szCs w:val="16"/>
                </w:rPr>
                <w:t xml:space="preserve">https://cvquality.acc.org/NCDR-Home/registries/hospital-registries/cathpci-registry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Rabbi Miah — Team Leader</w:t>
            </w:r>
          </w:p>
        </w:tc>
      </w:tr>
    </w:tbl>
    <w:p>
      <w:pPr>
        <w:spacing w:after="180"/>
      </w:pPr>
    </w:p>
    <w:p>
      <w:pPr>
        <w:pStyle w:val="Heading2"/>
        <w:keepNext/>
      </w:pPr>
      <w:r>
        <w:t xml:space="preserve">5.  Puncture Site Hematoma</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puncture-site hematomas ÷ Number of vascular access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Access-site haematoma is the most common complication of cardiac catheterisation, causing pain, prolonged bed rest, transfusion and occasionally vascular repair. It is a sensitive measure of access technique, sheath management, anticoagulation dosing and post-procedure haemostasis, and it is the complication most reduced by radial rather than femoral access. The Cath Lab performs coronary diagnostic and interventional procedures through arterial access, where arterial access is obtained and sheaths are managed under full anticoagulation.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clinically significant access-site hematomas occurring after a percutaneous vascular access procedure (e.g., cardiac catheterization/PCI), within 72 hours of the procedure (or by discharge if earlier), per NCDR CathPCI access-site complication definitions. A reportable/clinically significant hematoma is one associated with a hemoglobin drop &gt;=3 g/dL, requiring blood transfusion, or requiring surgical or percutaneous intervention.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percutaneous vascular access procedures performed in the same period. Rate = (puncture-site hematomas / access procedures) x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of access procedures (route-dependent: transradial ~1-2%; transfemoral typically 2-12%)</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American College of Cardiology. NCDR CathPCI Registry — access-site and vascular complication definitions (haematoma, retroperitoneal bleed, pseudoaneurysm, AV fistula). SCAI best-practice consensus on transradial access and femoral access-site bleeding reduction.</w:t>
            </w:r>
          </w:p>
          <w:p>
            <w:hyperlink w:history="1" r:id="rIdmvmthu1eficuhgiobdsw2">
              <w:r>
                <w:rPr>
                  <w:rStyle w:val="Hyperlink"/>
                  <w:sz w:val="16"/>
                  <w:szCs w:val="16"/>
                </w:rPr>
                <w:t xml:space="preserve">https://cvquality.acc.org/NCDR-Home/registries/hospital-registries/cathpci-registry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Rabbi Miah — Team Leader</w:t>
            </w:r>
          </w:p>
        </w:tc>
      </w:tr>
    </w:tbl>
    <w:p>
      <w:pPr>
        <w:spacing w:after="180"/>
      </w:pPr>
    </w:p>
    <w:p>
      <w:pPr>
        <w:pStyle w:val="Heading2"/>
        <w:keepNext/>
      </w:pPr>
      <w:r>
        <w:t xml:space="preserve">6.  Surgical Site Infection (SSI)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SSIs ÷ Number of operative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SSI is the most common complication of surgery and a direct measure of the whole perioperative chain: preoperative preparation, antibiotic prophylaxis timing, theatre discipline, sterilisation and postoperative wound care. Surveillance over the 30- or 90-day window defined by procedure category is what makes the rate comparable. A rise triggers review of prophylaxis timing and re-dosing, skin preparation, theatre traffic and instrument reprocessing. Although Cath Lab work is percutaneous, device implantation such as pacemakers and defibrillators creates a pocket that can become infected, with consequences that usually require removal of the whole system.</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surgical site infections (superficial incisional, deep incisional, or organ/space) detected through routine surveillance within the applicable NHSN surveillance period for the procedure category (a 30- or 90-day period determined by the NHSN operative procedure CATEGORY and the tissue level/depth of the SSI event, per the 2013+ definitions — note this is no longer based on implant presence). Include SSIs identified during admission, on readmission, and via post-discharge surveillance. Each procedure-related SSI is counted once per NHSN protocol.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NHSN operative procedures of that category performed during the same period (each trip to the OR meeting the NHSN procedure-code definition counts as one procedure), applying standard NHSN exclusion criteria. SSI rate = (SSIs / procedures) x 100. NHSN also risk-adjusts via the Standardized Infection Ratio (SIR = observed/predicted SSIs), with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per 100 procedures (procedure-dependent; NHSN risk-adjusted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hyperlink w:history="1" r:id="rIdbhseyu0l1j9dynczulte0">
              <w:r>
                <w:rPr>
                  <w:rStyle w:val="Hyperlink"/>
                  <w:sz w:val="16"/>
                  <w:szCs w:val="16"/>
                </w:rPr>
                <w:t xml:space="preserve">https://www.cdc.gov/nhsn/pdfs/pscmanual/9pscssicurrent.pdf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IPD Cabin Level 10, IPD Cabin Level 9, Medical ICU, CTVS OT</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Cath Lab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a6htamyfpaarvhwvcqqf" Type="http://schemas.openxmlformats.org/officeDocument/2006/relationships/hyperlink" Target="https://doi.org/10.1161/CIR.0000000000001309" TargetMode="External"/><Relationship Id="rIdnduq8xu8zd8wwmtraumca" Type="http://schemas.openxmlformats.org/officeDocument/2006/relationships/hyperlink" Target="https://www.who.int/publications/i/item/9789241597906" TargetMode="External"/><Relationship Id="rIdi3oyensdjpkydcerxkcg-" Type="http://schemas.openxmlformats.org/officeDocument/2006/relationships/hyperlink" Target="https://internationalsafetycenter.org/exposure-data-network-epinet/" TargetMode="External"/><Relationship Id="rIdu2pq_hxh0hw6me4hmltf3" Type="http://schemas.openxmlformats.org/officeDocument/2006/relationships/hyperlink" Target="https://cvquality.acc.org/NCDR-Home/registries/hospital-registries/cathpci-registry" TargetMode="External"/><Relationship Id="rIdmvmthu1eficuhgiobdsw2" Type="http://schemas.openxmlformats.org/officeDocument/2006/relationships/hyperlink" Target="https://cvquality.acc.org/NCDR-Home/registries/hospital-registries/cathpci-registry" TargetMode="External"/><Relationship Id="rIdbhseyu0l1j9dynczulte0" Type="http://schemas.openxmlformats.org/officeDocument/2006/relationships/hyperlink" Target="https://www.cdc.gov/nhsn/pdfs/pscmanual/9pscssi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Cath Lab — Nursing Quality Indicators</dc:title>
  <dc:creator>UNICO Quality</dc:creator>
  <dc:description>Assigned nursing quality indicators for Cath Lab</dc:description>
  <cp:lastModifiedBy>Un-named</cp:lastModifiedBy>
  <cp:revision>1</cp:revision>
  <dcterms:created xsi:type="dcterms:W3CDTF">2026-08-18T04:56:24.988Z</dcterms:created>
  <dcterms:modified xsi:type="dcterms:W3CDTF">2026-08-18T04:56:24.988Z</dcterms:modified>
</cp:coreProperties>
</file>

<file path=docProps/custom.xml><?xml version="1.0" encoding="utf-8"?>
<Properties xmlns="http://schemas.openxmlformats.org/officeDocument/2006/custom-properties" xmlns:vt="http://schemas.openxmlformats.org/officeDocument/2006/docPropsVTypes"/>
</file>