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CTVS OT</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CTVS OT</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7</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CTVS OT</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9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Incidence of Cautery Burn</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Count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 other department</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OT Utilization 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75%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 other department</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 of Compliance with the Organization's Surgical Safety Protocol (Prevention of Wrong Patient, Wrong Site, and Wrong Surgery)</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 other department</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6 other departments</w:t>
            </w:r>
          </w:p>
        </w:tc>
      </w:tr>
    </w:tbl>
    <w:p>
      <w:pPr>
        <w:pStyle w:val="Heading2"/>
        <w:keepNext/>
      </w:pPr>
      <w:r>
        <w:t xml:space="preserve">1.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CTVS OT performs long, high-complexity cardiac and thoracic operations, where staff move between patients and devices many times an hour.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238uflrlpcjon0r3xwdkw">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IPD Cabin Level 9, Labour , Delivery &amp; Recovery Room, Medical ICU, Coronary Care Unit, Cath Lab, Family Medicine, Radiology</w:t>
            </w:r>
          </w:p>
        </w:tc>
      </w:tr>
    </w:tbl>
    <w:p>
      <w:pPr>
        <w:spacing w:after="180"/>
      </w:pPr>
    </w:p>
    <w:p>
      <w:pPr>
        <w:pStyle w:val="Heading2"/>
        <w:keepNext/>
      </w:pPr>
      <w:r>
        <w:t xml:space="preserve">2.  In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Falls are the most frequently reported inpatient safety incident and a major cause of avoidable injury, extended stay and loss of confidence in admitted patients. The rate is expressed per 1 000 patient-days so that units with longer stays are compared fairly. A rise prompts review of falls-risk assessment on admission and after any change in condition, environmental hazards, footwear and toileting routines, and the sedating medicines the patient is on. CTVS OT performs long, high-complexity cardiac and thoracic operations, where patients are admitted, often frail, sedated or newly mobilising.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 falls (with or without injury, whether or not assisted by a staff member) occurring on the eligible reporting unit during the calendar month. A fall = an unplanned descent to the floor (or extension of the floor, e.g., trash can or other equipment) with or without injury. Includes assisted falls and falls in which the patient was found on the floor. Count each fall event; a patient who falls more than once is counted each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patient-days for the eligible reporting unit during the same calendar month. Patient-days = sum of the daily inpatient census (typically counted at a consistent time each day, e.g., midnight) over the reporting period. Multiply the falls/patient-day ratio by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3.3 falls per 1000 patient-days (NDNQI national median;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Patient Fall Rate (CBE/NQF #0141) — all documented falls per 1 000 patient-days on eligible inpatient units; developed for the National Database of Nursing Quality Indicators (NDNQI), measure copyright American Nurses Association, now maintained under the Partnership for Quality Measurement. Related current electronic measure: CMS Hospital Harm – Falls with Injury (CMS1017v2, 2026 reporting period).</w:t>
            </w:r>
          </w:p>
          <w:p>
            <w:hyperlink w:history="1" r:id="rIdpbarh1chut666pqozpjzx">
              <w:r>
                <w:rPr>
                  <w:rStyle w:val="Hyperlink"/>
                  <w:sz w:val="16"/>
                  <w:szCs w:val="16"/>
                </w:rPr>
                <w:t xml:space="preserve">https://ecqi.healthit.gov/ecqm/hosp-inpt/2026/cms1017v2</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Laky Khatun — In charge-CTOT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 Surgical ICU, Dialysis, IPD Cabin Level 10, IPD Cabin Level 9, Labour , Delivery &amp; Recovery Room, Medical ICU, Coronary Care Unit, CTVS ICU</w:t>
            </w:r>
          </w:p>
        </w:tc>
      </w:tr>
    </w:tbl>
    <w:p>
      <w:pPr>
        <w:spacing w:after="180"/>
      </w:pPr>
    </w:p>
    <w:p>
      <w:pPr>
        <w:pStyle w:val="Heading2"/>
        <w:keepNext/>
      </w:pPr>
      <w:r>
        <w:t xml:space="preserve">3.  Incidence of Cautery Burn</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Count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Event count</w:t>
            </w:r>
          </w:p>
          <w:p>
            <w:r>
              <w:rPr>
                <w:color w:val="1A2433"/>
                <w:sz w:val="19"/>
                <w:szCs w:val="19"/>
              </w:rPr>
              <w:t xml:space="preserve">Value = Cautery / diathermy burn events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An electrosurgical burn is an avoidable injury to a patient who is anaesthetised and cannot report pain — caused by return-electrode misapplication, insulation failure, capacitive coupling or activation of an unholstered active electrode. It is held to a zero-defect standard because every event is preventable. Each event triggers inspection of the electrosurgical unit, its accessories and the return electrode, in line with the AORN energy-device adverse-event tracking requirement. Cardiac procedures use prolonged electrosurgery close to implanted devices and monitoring leads, where alternate-site burns and pacemaker interference are the specific concerns.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Electrosurgical (cautery/diathermy) burn injuries to patients.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AORN. Guidelines for Perioperative Practice, 2026 edition — Guideline for Safe Use of Surgical Energy Devices (the former Electrosurgery guideline). The 2026 update adds an explicit requirement for a quality-management plan tracking adverse events and near misses involving energy devices, which is what this indicator records. Equipment basis: IEC 60601-2-2 for high-frequency surgical equipment.</w:t>
            </w:r>
          </w:p>
          <w:p>
            <w:hyperlink w:history="1" r:id="rIdejhiivnfpl1prdxcmlkqq">
              <w:r>
                <w:rPr>
                  <w:rStyle w:val="Hyperlink"/>
                  <w:sz w:val="16"/>
                  <w:szCs w:val="16"/>
                </w:rPr>
                <w:t xml:space="preserve">https://www.aorn.org/article/whats-new-in-aorns-guideline-for-the-safe-use-of-surgical-energy-devices-2026-update</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Laky Khatun — In charge-CTOT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w:t>
            </w:r>
          </w:p>
        </w:tc>
      </w:tr>
    </w:tbl>
    <w:p>
      <w:pPr>
        <w:spacing w:after="180"/>
      </w:pPr>
    </w:p>
    <w:p>
      <w:pPr>
        <w:pStyle w:val="Heading2"/>
        <w:keepNext/>
      </w:pPr>
      <w:r>
        <w:t xml:space="preserve">4.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Long cardiac procedures involve extensive suturing and wire handling with several people working in the same field, giving sustained exposure over many hours.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figleks6gtxlnecklaxpd">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Surgical ICU, Dialysis, IPD Cabin Level 10, IPD Cabin Level 9, Labour , Delivery &amp; Recovery Room, Medical ICU, Coronary Care Unit, Cath Lab, Family Medicine, CTVS ICU, Radiology</w:t>
            </w:r>
          </w:p>
        </w:tc>
      </w:tr>
    </w:tbl>
    <w:p>
      <w:pPr>
        <w:spacing w:after="180"/>
      </w:pPr>
    </w:p>
    <w:p>
      <w:pPr>
        <w:pStyle w:val="Heading2"/>
        <w:keepNext/>
      </w:pPr>
      <w:r>
        <w:t xml:space="preserve">5.  OT Utilization Rate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(OT in-use time (minutes) ÷ OT available time (minutes))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Theatre time is among the most expensive resource in the hospital. Utilisation shows whether allocated sessions are actually being used, and low utilisation usually means late starts, long turnovers or lists that finish early rather than a shortage of patients. It is a management indicator that protects access: unused theatre time is waiting-list time. CTVS OT performs long, high-complexity cardiac and thoracic operations, where theatre sessions are allocated, staffed and paid for whether or not they are used.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Operating-theatre time actually used for surgery.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scheduled / available operating-theatre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75%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Operating-theatre efficiency indicator: utilised theatre time as a percentage of allocated/staffed theatre time. NABH Accreditation Standards for Hospitals, 6th edition (effective 1 January 2025) — operation-theatre quality indicators; method and reported benchmarks per Comparative study of key quality performance indicators in anaesthesia and surgery in an operation theatre at a tertiary care hospital, J Anaesthesiol Clin Pharmacol (2024).</w:t>
            </w:r>
          </w:p>
          <w:p>
            <w:hyperlink w:history="1" r:id="rIdwg1x4tzutmkhiab2xgyce">
              <w:r>
                <w:rPr>
                  <w:rStyle w:val="Hyperlink"/>
                  <w:sz w:val="16"/>
                  <w:szCs w:val="16"/>
                </w:rPr>
                <w:t xml:space="preserve">https://pmc.ncbi.nlm.nih.gov/articles/PMC11042104/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Laky Khatun — In charge-CTOT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w:t>
            </w:r>
          </w:p>
        </w:tc>
      </w:tr>
    </w:tbl>
    <w:p>
      <w:pPr>
        <w:spacing w:after="180"/>
      </w:pPr>
    </w:p>
    <w:p>
      <w:pPr>
        <w:pStyle w:val="Heading2"/>
        <w:keepNext/>
      </w:pPr>
      <w:r>
        <w:t xml:space="preserve">6.  Percentage of Compliance with the Organization's Surgical Safety Protocol (Prevention of Wrong Patient, Wrong Site, and Wrong Surgery)</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(Surgeries fully compliant with the surgical safety protocol ÷ Surgeries performed / audited)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Wrong-patient, wrong-site and wrong-procedure surgery are never events: rare, catastrophic and entirely preventable by a disciplined checklist. Compliance is measured rather than assumed, because a checklist that is signed but not actually performed gives false assurance. Full compliance is required — any incomplete time-out is treated as a failure of the process, not a paperwork lapse. CTVS OT performs long, high-complexity cardiac and thoracic operations, where invasive procedures are performed on anaesthetised patients who cannot verify their own site or procedure.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surgeries during the month in which the organization's surgical safety protocol was FULLY followed — correct patient, correct site and correct procedure verified at every required step (pre-operative verification, surgical site marking, and time-out before incision per the WHO Surgical Safety Checklist / JCI IPSG.4).</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surgeries performed (or audited) in the same month. Compliance % = (fully compliant surgeries / total surgeries) x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100%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Surgical Safety Checklist and Guidelines for Safe Surgery (2009) — sign-in, time-out and sign-out. Joint Commission International Accreditation Standards for Hospitals, International Patient Safety Goal 4 (correct-site, correct-procedure, correct-patient surgery) and the Universal Protocol. NABH Accreditation Standards for Hospitals, 6th edition (effective 1 January 2025).</w:t>
            </w:r>
          </w:p>
          <w:p>
            <w:hyperlink w:history="1" r:id="rIdmkbj1s2j_nyvapx7hfy02">
              <w:r>
                <w:rPr>
                  <w:rStyle w:val="Hyperlink"/>
                  <w:sz w:val="16"/>
                  <w:szCs w:val="16"/>
                </w:rPr>
                <w:t xml:space="preserve">https://www.who.int/teams/integrated-health-services/patient-safety/research/safe-surgery</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Laky Khatun — In charge-CTOT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w:t>
            </w:r>
          </w:p>
        </w:tc>
      </w:tr>
    </w:tbl>
    <w:p>
      <w:pPr>
        <w:spacing w:after="180"/>
      </w:pPr>
    </w:p>
    <w:p>
      <w:pPr>
        <w:pStyle w:val="Heading2"/>
        <w:keepNext/>
      </w:pPr>
      <w:r>
        <w:t xml:space="preserve">7.  Surgical Site Infection (SSI)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(Number of SSIs ÷ Number of operative procedures)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SSI is the most common complication of surgery and a direct measure of the whole perioperative chain: preoperative preparation, antibiotic prophylaxis timing, theatre discipline, sterilisation and postoperative wound care. Surveillance over the 30- or 90-day window defined by procedure category is what makes the rate comparable. A rise triggers review of prophylaxis timing and re-dosing, skin preparation, theatre traffic and instrument reprocessing. After cardiac surgery an infection can involve the sternum and mediastinum or a prosthetic valve or graft, turning a wound problem into a life-threatening one requiring reoperation. Surveillance therefore extends to the 90-day window for implant procedures.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of surgical site infections (superficial incisional, deep incisional, or organ/space) detected through routine surveillance within the applicable NHSN surveillance period for the procedure category (a 30- or 90-day period determined by the NHSN operative procedure CATEGORY and the tissue level/depth of the SSI event, per the 2013+ definitions — note this is no longer based on implant presence). Include SSIs identified during admission, on readmission, and via post-discharge surveillance. Each procedure-related SSI is counted once per NHSN protocol.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NHSN operative procedures of that category performed during the same period (each trip to the OR meeting the NHSN procedure-code definition counts as one procedure), applying standard NHSN exclusion criteria. SSI rate = (SSIs / procedures) x 100. NHSN also risk-adjusts via the Standardized Infection Ratio (SIR = observed/predicted SSIs), with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 per 100 procedures (procedure-dependent; NHSN risk-adjusted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9: Surgical Site Infection (SSI) Event — superficial/deep incisional and organ-space criteria, with the 30- or 90-day surveillance window by procedure category. WHO Global Guidelines for the Prevention of Surgical Site Infection, 2nd edition (2018).</w:t>
            </w:r>
          </w:p>
          <w:p>
            <w:hyperlink w:history="1" r:id="rIdakyuyrf_dupgt2vbg2mbc">
              <w:r>
                <w:rPr>
                  <w:rStyle w:val="Hyperlink"/>
                  <w:sz w:val="16"/>
                  <w:szCs w:val="16"/>
                </w:rPr>
                <w:t xml:space="preserve">https://www.cdc.gov/nhsn/pdfs/pscmanual/9pscssicurrent.pdf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 Surgical ICU, IPD Cabin Level 10, IPD Cabin Level 9, Medical ICU, Cath Lab</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CTVS OT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38uflrlpcjon0r3xwdkw" Type="http://schemas.openxmlformats.org/officeDocument/2006/relationships/hyperlink" Target="https://www.who.int/publications/i/item/9789241597906" TargetMode="External"/><Relationship Id="rIdpbarh1chut666pqozpjzx" Type="http://schemas.openxmlformats.org/officeDocument/2006/relationships/hyperlink" Target="https://ecqi.healthit.gov/ecqm/hosp-inpt/2026/cms1017v2" TargetMode="External"/><Relationship Id="rIdejhiivnfpl1prdxcmlkqq" Type="http://schemas.openxmlformats.org/officeDocument/2006/relationships/hyperlink" Target="https://www.aorn.org/article/whats-new-in-aorns-guideline-for-the-safe-use-of-surgical-energy-devices-2026-update" TargetMode="External"/><Relationship Id="rIdfigleks6gtxlnecklaxpd" Type="http://schemas.openxmlformats.org/officeDocument/2006/relationships/hyperlink" Target="https://internationalsafetycenter.org/exposure-data-network-epinet/" TargetMode="External"/><Relationship Id="rIdwg1x4tzutmkhiab2xgyce" Type="http://schemas.openxmlformats.org/officeDocument/2006/relationships/hyperlink" Target="https://pmc.ncbi.nlm.nih.gov/articles/PMC11042104/" TargetMode="External"/><Relationship Id="rIdmkbj1s2j_nyvapx7hfy02" Type="http://schemas.openxmlformats.org/officeDocument/2006/relationships/hyperlink" Target="https://www.who.int/teams/integrated-health-services/patient-safety/research/safe-surgery" TargetMode="External"/><Relationship Id="rIdakyuyrf_dupgt2vbg2mbc" Type="http://schemas.openxmlformats.org/officeDocument/2006/relationships/hyperlink" Target="https://www.cdc.gov/nhsn/pdfs/pscmanual/9pscssicurrent.pdf"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CTVS OT — Nursing Quality Indicators</dc:title>
  <dc:creator>UNICO Quality</dc:creator>
  <dc:description>Assigned nursing quality indicators for CTVS OT</dc:description>
  <cp:lastModifiedBy>Un-named</cp:lastModifiedBy>
  <cp:revision>1</cp:revision>
  <dcterms:created xsi:type="dcterms:W3CDTF">2026-08-18T04:56:25.012Z</dcterms:created>
  <dcterms:modified xsi:type="dcterms:W3CDTF">2026-08-18T04:56:25.012Z</dcterms:modified>
</cp:coreProperties>
</file>

<file path=docProps/custom.xml><?xml version="1.0" encoding="utf-8"?>
<Properties xmlns="http://schemas.openxmlformats.org/officeDocument/2006/custom-properties" xmlns:vt="http://schemas.openxmlformats.org/officeDocument/2006/docPropsVTypes"/>
</file>