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OVERALL HOSPITAL</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Overall Hospital</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Overall Hospital</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Call Bell Response Time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minutes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2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Consumable Cost per Patient-Day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5% below the established baseline</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 (Hospital)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Nursing Documentation Accuracy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Nursing Staff Satisfaction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97%</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Nursing Training Hours Compliance (Nurses)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90%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Nursing Training Hours Compliance (PCAs)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70%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Nursing Turnover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Patient Complaints Relating to Nursing Care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Patient Satisfaction (Nursing Services)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90%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bl>
    <w:p>
      <w:pPr>
        <w:pStyle w:val="Heading2"/>
        <w:keepNext/>
      </w:pPr>
      <w:r>
        <w:t xml:space="preserve">1.  Call Bell Response Time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Average — minutes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Average</w:t>
            </w:r>
          </w:p>
          <w:p>
            <w:r>
              <w:rPr>
                <w:color w:val="1A2433"/>
                <w:sz w:val="19"/>
                <w:szCs w:val="19"/>
              </w:rPr>
              <w:t xml:space="preserve">Total call bell response minutes ÷ Number of call bell calls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 call bell is the only means a patient in a bed has of summoning help, and how long it takes to answer is the single most concrete measure of responsiveness the department has. Slow responses are linked to patients attempting to mobilise or toilet unaided, which is a direct route to a fall, and they are consistently among the strongest drivers of how patients rate their whole stay. Because the delay reflects staffing and workload rather than willingness, a rising average is reviewed against the rounding programme and the deployment of care assistants. Reported here as the nursing-service figure the KPI plan tracks against its 2-minute standard, alongside the ward-level figures from the cabin floors — the hospital number shows whether the standard is being met, the ward numbers show where it is not.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Sum of the response time of every call bell call during the month = Σ (time a member of staff attends the patient − time the call bell was pressed), expressed in minutes. The clock stops when someone reaches the patient, not when the bell is cancelled at the console — silencing a bell from the nurses' station and attending the patient are different events, and only the second one answers the patient. A call attended by a Patient Care Assistant counts the same as one attended by a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call bell calls placed during the same month — the same calls whose response times are summed in the numerator. Where the nurse-call system does not log times, this is the number of calls in the sample that was timed by hand, and the sample size and method must be reported with the result.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minutes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The Nursing Department KPI sets a target of 2 minutes against a current average of 4 minutes (KPI deck, domain 3B), expressed there as responding by the second reminder. Report the mean with the number of calls; because a handful of very long waits are what patients and families remember, the longest response in the month is worth reporting alongside the average.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Meade CM, Bursell AL, Ketelsen L. Effects of nursing rounds on patients' call light use, satisfaction, and safety. American Journal of Nursing. 2006;106(9):58–70 — the study underlying the hourly-rounding response to call-light demand. NABH Accreditation Standards for Hospitals, 6th edition (effective 1 January 2025) — Patient Rights and Education (PRE) and Care of Patients (COP) chapters on responsiveness to patient needs. Internal source: UNICO Nursing Department KPI deck, domain 3B (Call bell response), which sets a 2-minute standard and links it to the hourly rounding programme.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IPD Cabin Level 10, IPD Cabin Level 9</w:t>
            </w:r>
          </w:p>
        </w:tc>
      </w:tr>
    </w:tbl>
    <w:p>
      <w:pPr>
        <w:spacing w:after="180"/>
      </w:pPr>
    </w:p>
    <w:p>
      <w:pPr>
        <w:pStyle w:val="Heading2"/>
        <w:keepNext/>
      </w:pPr>
      <w:r>
        <w:t xml:space="preserve">2.  Consumable Cost per Patient-Day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Average — cost per patient-day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Average</w:t>
            </w:r>
          </w:p>
          <w:p>
            <w:r>
              <w:rPr>
                <w:color w:val="1A2433"/>
                <w:sz w:val="19"/>
                <w:szCs w:val="19"/>
              </w:rPr>
              <w:t xml:space="preserve">Total consumable cost for the month ÷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Expressing consumable cost per patient-day separates genuine efficiency from a quiet month: a falling total spend during falling occupancy is not a saving. It is measured to find waste that ward practice controls — over-indenting, unnecessary printing, opened stock going unused — without touching the supplies that patient care depends on. The indicator is deliberately paired with the clinical measures in this manual, because a reduction in consumables achieved at the cost of a rise in infection or pressure-ulcer rates is not an improvement. Consumables are indented against one store at one price list, and the reduction target in the KPI plan is set against the hospital baseline rather than against any ward's. Holding the indicator centrally is also the only way to see whether a fall in one ward's consumption is a real saving or simply cost moving to another.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cost of consumables issued to the ward during the month at the price the store charges — clinical consumables, stationery and printing, and general ward supplies. Capital items, equipment, drugs dispensed against a patient bill, and anything recharged directly to a patient are excluded, because those are not what ward practice controls. State the currency and keep the cost basis the same from month to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inpatient-days during the same month. Dividing by patient-days rather than comparing month against month is what separates a genuine reduction in consumption from a quiet month — a falling total cost during a fall in occupancy is not an efficiency.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5% below the established baseline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The Nursing Department KPI (deck, domain 4) sets the target as a 5% reduction from existing cost, with the current figure not yet calculated. A relative target cannot be a fixed threshold until a baseline exists, so no numeric benchmark is set here and the indicator will not show a pass or breach status; enter the baseline as a numeric benchmark once three to six months of cost per patient-day have been recorded, then set the benchmark at 95% of 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NABH Accreditation Standards for Hospitals, 6th edition (effective 1 January 2025) — Patient Safety and Quality Improvement (PSQ) chapter, which requires the hospital to monitor managerial indicators including resource utilisation and the cost of care. Healthcare Financial Management Association — supply expense per patient-day as a standard hospital operating metric. Internal source: UNICO Nursing Department KPI deck, domain 4 (Financial Performance).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bl>
    <w:p>
      <w:pPr>
        <w:spacing w:after="180"/>
      </w:pPr>
    </w:p>
    <w:p>
      <w:pPr>
        <w:pStyle w:val="Heading2"/>
        <w:keepNext/>
      </w:pPr>
      <w:r>
        <w:t xml:space="preserve">3.  Hand Hygiene Compliance (Hospital)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 hospital-wide roll-up shows whether hand hygiene is an organisational habit or only strong in the units that are watched most closely. It is the board-level view of the same observations collected in each department, and it is the measure most directly linked to the hospital's overall infection performance. The hospital-wide view aggregates observations from every clinical area, where the same Five Moments observations are collected in every clinical area.</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Hospital-wide roll-up of the departmental observations.</w:t>
            </w:r>
          </w:p>
          <w:p>
            <w:hyperlink w:history="1" r:id="rIdjq0ezbhk5wbcidkqxkajm">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bl>
    <w:p>
      <w:pPr>
        <w:spacing w:after="180"/>
      </w:pPr>
    </w:p>
    <w:p>
      <w:pPr>
        <w:pStyle w:val="Heading2"/>
        <w:keepNext/>
      </w:pPr>
      <w:r>
        <w:t xml:space="preserve">4.  Nursing Documentation Accuracy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(Nursing records passing the documentation audit ÷ Nursing records audited)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 nursing record is the only durable evidence of what was assessed, what was given and what changed, and it is what the next shift relies on. Inaccurate or incomplete documentation causes real harm through missed handover information and repeated or omitted treatment, and it removes the hospital's ability to defend care that was in fact given. Auditing accuracy tests the record as a clinical tool, not as paperwork; a low score usually points at time pressure at the end of a shift rather than at unwillingness, so the response is to review when documentation is expected to happen. Documentation is audited against one checklist, by one audit process, across the nursing service, so that a score from one ward means the same as a score from another. Holding it centrally is also what makes the move towards paperless records measurable as a single trend rather than as eighteen unrelated ones.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audited nursing records that met every criterion on the documentation audit checklist — entries complete for the shift, timed and dated, signed and identifiable, legible, free of unapproved abbreviations, corrections made properly rather than obliterated, and assessments and care plans present where required. A record failing any single criterion is not counted, so this is an all-or-nothing pass, not a partial score.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nursing records audited during the period. The audit sample, how it is selected and the checklist used must be the same from month to month, or the trend measures the audit rather than the documentation. Report the sample size with the result.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85%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Higher is better. The Nursing Department KPI sets a target of 85% against a current 60% (KPI deck, domain 2C), on the way to paperless documentation. The figure is only as good as the audit behind it: state the sample size, and keep the checklist stable, because tightening or loosening a criterion moves this number without anything changing at the bedside.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American Nurses Association. Principles for Nursing Documentation: Guidance for Registered Nurses. Silver Spring, MD: ANA, 2010. NABH Accreditation Standards for Hospitals, 6th edition (effective 1 January 2025) — Information Management System (IMS) chapter, which requires patient clinical records to be complete, accurate, legible, dated, timed and attributable. The Joint Commission, Record of Care, Treatment, and Services (RC) standards. Internal source: UNICO Nursing Department KPI deck, domain 2C (Documentation Accuracy).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bl>
    <w:p>
      <w:pPr>
        <w:spacing w:after="180"/>
      </w:pPr>
    </w:p>
    <w:p>
      <w:pPr>
        <w:pStyle w:val="Heading2"/>
        <w:keepNext/>
      </w:pPr>
      <w:r>
        <w:t xml:space="preserve">5.  Nursing Staff Satisfaction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(Nursing staff recorded as satisfied ÷ Nursing staff surveyed)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Staff satisfaction is measured because it predicts the things the hospital cannot afford to discover late: turnover, absence, and the quiet withdrawal of discretionary effort that shows up as slower call-bell responses and thinner documentation long before anyone resigns. It is a leading indicator where turnover is a lagging one. Its value depends entirely on honest responses, so the survey must be genuinely anonymous and the results must visibly lead to action, or the score rises while the problem does not move. The satisfaction survey is run once across the nursing service and must stay anonymous to be worth anything — in units with only a handful of staff, a per-ward score would identify individual respondents and the responses would stop being honest. It is therefore reported at hospital level and read together with turnover.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nursing staff whose response to the nursing satisfaction survey falls in the satisfied band on the agreed scale. The threshold that counts as "satisfied" must be fixed before the survey is run and kept the same between rounds, or the trend measures the threshold rather than the satisfaction.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nursing staff who returned a completed survey. Report the response rate alongside the result: a 97% satisfaction score from a third of the workforce says something quite different from the same score from nearly all of it, because the staff least satisfied are the least likely to respond.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97%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Higher is better. The Nursing Department KPI sets a target of 97% against a current 95% from the satisfaction survey already conducted (KPI deck, domain 2D). Read this together with Nursing Turnover Rate — the two should move in opposite directions, and a high satisfaction score alongside rising turnover means the survey is not reaching the staff who are leaving.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NABH Accreditation Standards for Hospitals, 6th edition (effective 1 January 2025) — Human Resource Management (HRM) chapter, which requires the hospital to assess employee satisfaction and act on the findings. Lake ET. Development of the Practice Environment Scale of the Nursing Work Index. Research in Nursing &amp; Health. 2002;25(3):176–188 — the validated instrument underlying most nursing work-environment surveys. American Nurses Credentialing Center, Magnet Recognition Program. Internal source: UNICO Nursing Department KPI deck, domain 2D (Nursing Satisfaction).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bl>
    <w:p>
      <w:pPr>
        <w:spacing w:after="180"/>
      </w:pPr>
    </w:p>
    <w:p>
      <w:pPr>
        <w:pStyle w:val="Heading2"/>
        <w:keepNext/>
      </w:pPr>
      <w:r>
        <w:t xml:space="preserve">6.  Nursing Training Hours Compliance (Nurses)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(Nurses meeting the required training hours ÷ Total nurses)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Competence is not a state a nurse reaches once at registration; it decays as practice, equipment and protocols change. Measuring completed continuing-education hours against the department standard tests whether training is actually reaching the bedside rather than being scheduled and missed — the usual failure is not refusal but a ward too short-staffed to release anyone. A shortfall is read as a staffing and rostering problem first and an individual one second, and is reviewed against which units and which shifts are missing their hours. The continuing-education programme is run centrally — the six-monthly CNE workshop, the monthly CPD hours and the departmental training calendar are all Nursing Department commitments — so compliance is measured against the whole nursing establishment. Reporting it here also keeps the figure honest: a unit that cannot release staff to attend would otherwise simply record a lower target for itself.</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nurses who completed the required continuing-education hours for the period — 6 hours of Continuing Professional Development per nurse per month, equivalent to the department standard of 72 hours per nurse per year, including the six-monthly Continuing Nursing Education workshop and ward-based case and clinical presentations. Count a nurse only where the hours are evidenced in their individual training record, not where attendance was merely expected.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nurses in post during the period and therefore required to complete the training. Nurses who joined part-way through the period are counted against a pro-rata requirement; nurses on long leave for the whole period are excluded and the exclusion recorded.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90%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Higher is better. The Nursing Department KPI sets a target of 90% against a current 82% (KPI deck, domain 2B). The underlying individual standard is 72 training hours per nurse per year. This is not the same measure as Mandatory Training Compliance, which asks whether statutory training was completed within its cycle; a nurse can be fully compliant on mandatory training and still short of their CPD hours. Both can be reported.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NABH Accreditation Standards for Hospitals, 6th edition (effective 1 January 2025) — Human Resource Management (HRM) chapter, which requires a training needs assessment, a training calendar, and an individual training record for every member of staff. World Health Organization, Global Strategic Directions for Nursing and Midwifery — continuing professional development as a core workforce requirement. Internal source: UNICO Nursing Department KPI deck, domain 2B (Training and professional career development), which sets 6 CPD hours per nurse per month / 72 hours per year.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bl>
    <w:p>
      <w:pPr>
        <w:spacing w:after="180"/>
      </w:pPr>
    </w:p>
    <w:p>
      <w:pPr>
        <w:pStyle w:val="Heading2"/>
        <w:keepNext/>
      </w:pPr>
      <w:r>
        <w:t xml:space="preserve">7.  Nursing Training Hours Compliance (PCAs)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(PCAs meeting the required training sessions ÷ Total PCAs)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Patient Care Assistants deliver much of the direct personal care that falls, pressure ulcers and patient experience depend on, and they typically arrive with less formal preparation than nurses. Their training compliance is measured separately because the standard set for them is different and because a combined figure would let a strong nurse result mask a weak PCA one — which is precisely the gap the department is trying to close. Patient Care Assistants are trained on the same central programme as nurses and are deployed across wards rather than belonging to one, so their training compliance is a nursing-service figure. It is reported here beside the nurse figure precisely so the gap between the two — currently the larger of the two shortfalls — stays visible.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 Care Assistants who completed the required continuing-education sessions for the period — the department standard of 12 Continuing Professional Development classes per month — evidenced in the individual training record. Weekly departmental training sessions count towards this where attendance is recorded.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Care Assistants in post during the period and therefore required to complete the training. PCAs who joined part-way through the period are counted against a pro-rata requirement; those on long leave for the whole period are excluded and the exclusion recorded.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70%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Higher is better. The Nursing Department KPI sets a target of 70% against a current 52% (KPI deck, domain 2B). It is reported separately from the nurse figure because the deck sets a different target and a different training requirement for each group, and a single combined percentage would hide the much larger gap on the PCA side.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NABH Accreditation Standards for Hospitals, 6th edition (effective 1 January 2025) — Human Resource Management (HRM) chapter, which requires training and an individual training record for every member of staff, including non-nursing care staff. Internal source: UNICO Nursing Department KPI deck, domain 2B (Training and professional career development), which sets 12 CPD classes per PCA per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bl>
    <w:p>
      <w:pPr>
        <w:spacing w:after="180"/>
      </w:pPr>
    </w:p>
    <w:p>
      <w:pPr>
        <w:pStyle w:val="Heading2"/>
        <w:keepNext/>
      </w:pPr>
      <w:r>
        <w:t xml:space="preserve">8.  Nursing Turnover Rate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(Nurses who left during the period ÷ Average number of nurses during the period)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Turnover is the workforce measure that sits underneath almost every clinical indicator in this manual. Losing an experienced nurse costs the recruitment and induction of a replacement, but the larger cost is the months during which the ward runs with a less experienced team — the period in which falls, medication errors and device infections rise. It is measured because it is the earliest hard signal that the working environment is failing, and because the causes it points at (workload, recognition, career progression, supervision) are within the department's power to change. A rising rate is reviewed alongside staff satisfaction and exit-interview themes, not on its own. Turnover is measured for the nursing service as a whole because nurses move between wards as well as out of the hospital, and a ward-by-ward rate would count an internal transfer as a loss in one unit and a gain in another while the service had lost nobody. The levers are central too — recruitment, pay, career structure and the retention programme set out in the KPI plan — so accountability sits with the Nursing Department rather than with any single unit.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nurses whose employment ended during the month, for any reason — resignation, non-renewal, dismissal, retirement or transfer out of the nursing service. Count each person once, on the date their employment ended. Internal moves between wards are NOT departures and are excluded; staff on maternity, study or long leave are still employed and are excluded.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Average number of nurses employed during the same month = (headcount at the start of the month + headcount at the end of the month) ÷ 2. Using an average rather than an opening or closing headcount stops a month of heavy recruitment or heavy loss from distorting the rate.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The Nursing Department KPI sets a target of 2% against a current 3% (KPI deck, domain 2A). Note that this is a MONTHLY rate: 2% sustained every month is roughly 24% annualised, which is in the range of published hospital RN turnover, so the annual figure should be reported alongside the monthly one and the period always stated with the number. Turnover is conventionally benchmarked annually, not monthly.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NSI Nursing Solutions, Inc. National Health Care Retention &amp; RN Staffing Report (published annually) — the standard reference series for hospital registered-nurse turnover rates. American Nurses Credentialing Center, Magnet Recognition Program — nurse turnover as a required nurse-sensitive workforce measure. NABH Accreditation Standards for Hospitals, 6th edition (effective 1 January 2025) — Human Resource Management (HRM) chapter, which requires the hospital to monitor staff attrition. Internal source: UNICO Nursing Department KPI deck, domain 2A (Nursing Turnover).</w:t>
            </w:r>
          </w:p>
          <w:p>
            <w:hyperlink w:history="1" r:id="rIddpqxjhaculnwnmwnmldls">
              <w:r>
                <w:rPr>
                  <w:rStyle w:val="Hyperlink"/>
                  <w:sz w:val="16"/>
                  <w:szCs w:val="16"/>
                </w:rPr>
                <w:t xml:space="preserve">https://www.nsinursingsolutions.com/</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bl>
    <w:p>
      <w:pPr>
        <w:spacing w:after="180"/>
      </w:pPr>
    </w:p>
    <w:p>
      <w:pPr>
        <w:pStyle w:val="Heading2"/>
        <w:keepNext/>
      </w:pPr>
      <w:r>
        <w:t xml:space="preserve">9.  Patient Complaints Relating to Nursing Care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(Complaints relating to nursing care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complaint is a patient telling the hospital about a failure it has not detected itself, and complaints about nursing care cluster around a small number of correctable themes — communication and attitude, delay in attending, unrelieved pain, and unmet personal-care needs. They are counted and classified so that the theme, rather than the individual event, drives the response. Reporting is deliberately non-punitive: a falling count with unchanged practice signals that complaining has become harder, not that care has improved. Complaints arrive through one central redressal process, are frequently about a patient's whole stay rather than a single ward, and are classified by theme before they can be attributed anywhere. Counting them for the nursing service as a whole is what lets the recurring themes drive the response; attributing every complaint to a ward would turn a learning measure into a scoring one and suppress reporting.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complaints received during the month whose substance concerns nursing care — attitude or communication of nursing staff, delay in attending to the patient, pain or hygiene needs not met, medication or treatment not given as ordered, or inadequate information given to the patient or family. Count each complaint once, on the date it was received, whether it arrived verbally, in writing, through the feedback form or through the complaint-redressal process. Complaints about food, billing, housekeeping or medical decisions are recorded but are not counted here.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inpatient-days during the same month — the same denominator used for falls and pressure ulcers, so that a ward with longer stays is not penalised for having more opportunity to be complained about.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The Nursing Department KPI deck (domain 3A) sets no current figure and no target for this indicator, so ≤ 1 per 1000 patient-days is entered here as a starting local target and MUST be ratified by the Nursing Department once a baseline exists. Treat a falling count with unchanged practice as under-reporting rather than improvement — a complaints measure only works where complaining is easy and recording is honest. NOTE: the formula printed on slide 3A of the deck, "(positive patient experience responses ÷ total responses) × 100", measures satisfaction, not complaints, and is the same formula printed on slide 3C; it appears to be a slide error. This indicator is defined as a complaints rate, which is what the objective on that slide actually asks for.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NABH Accreditation Standards for Hospitals, 6th edition (effective 1 January 2025) — Patient Rights and Education (PRE) chapter, which requires a complaint-redressal mechanism and the monitoring and analysis of complaints received. Reader TW, Gillespie A, Roberts J. Patient complaints in healthcare systems: a systematic review and coding taxonomy. BMJ Quality &amp; Safety. 2014;23(8):678–689 — the standard taxonomy for classifying what a complaint is actually about. Internal source: UNICO Nursing Department KPI deck, domain 3A (Patient Complaints Pertaining to Nursing Care).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bl>
    <w:p>
      <w:pPr>
        <w:spacing w:after="180"/>
      </w:pPr>
    </w:p>
    <w:p>
      <w:pPr>
        <w:pStyle w:val="Heading2"/>
        <w:keepNext/>
      </w:pPr>
      <w:r>
        <w:t xml:space="preserve">10.  Patient Satisfaction (Nursing Services)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(Patients recorded as satisfied with nursing care ÷ Patients surveyed)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Patient satisfaction with nursing care measures the part of the stay the patient is best placed to judge — whether they were treated with respect, whether things were explained, and whether help came when they asked for it. It is measured separately from overall hospital satisfaction because nursing is the service the patient has most contact with and the one whose ratings move most in response to ward-level change. It is read together with the complaints indicator, which captures the same failures from the other direction and at a much lower response threshold. The patient survey is administered once, at discharge, across the hospital, and its nursing items are extracted from it — so the measure exists at hospital level by construction. Reporting it here also keeps it comparable with the HCAHPS nursing-communication composite it is modelled on.</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surveyed patients whose rating of the nursing care they received falls in the satisfied band on the agreed scale. Only the nursing items of the survey are counted — courtesy and respect of nurses, whether nurses listened carefully, whether explanations were clear, and responsiveness to requests for help. Items about doctors, food, cleanliness or billing are recorded but do not belong to this indicator.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who returned a completed survey during the period. Report the response rate with the result. Where the survey is given at discharge, patients who left against medical advice or died are outside the survey and are not counted in either part.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90%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Higher is better. The Nursing Department KPI deck (domain 3C) records this as not yet calculated and sets no target, so ≥ 90% is entered here as a starting target and MUST be ratified by the Nursing Department once the first survey round is complete. The international comparator for the same construct is the "Communication with Nurses" composite of the HCAHPS survey, which is worth using as the wording model so the hospital's result means something outside 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Centers for Medicare &amp; Medicaid Services and Agency for Healthcare Research and Quality. HCAHPS — Hospital Consumer Assessment of Healthcare Providers and Systems survey, "Communication with Nurses" composite: the standard instrument for nursing-specific patient experience. NABH Accreditation Standards for Hospitals, 6th edition (effective 1 January 2025) — Patient Rights and Education (PRE) chapter, which requires patient satisfaction to be assessed and acted upon. Internal source: UNICO Nursing Department KPI deck, domain 3C (Patient's Satisfaction — Nursing Services).</w:t>
            </w:r>
          </w:p>
          <w:p>
            <w:hyperlink w:history="1" r:id="rIdkng7jpsmax_dscspb6egj">
              <w:r>
                <w:rPr>
                  <w:rStyle w:val="Hyperlink"/>
                  <w:sz w:val="16"/>
                  <w:szCs w:val="16"/>
                </w:rPr>
                <w:t xml:space="preserve">https://hcahpsonline.org/</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Overall Hospital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q0ezbhk5wbcidkqxkajm" Type="http://schemas.openxmlformats.org/officeDocument/2006/relationships/hyperlink" Target="https://www.who.int/publications/i/item/9789241597906" TargetMode="External"/><Relationship Id="rIddpqxjhaculnwnmwnmldls" Type="http://schemas.openxmlformats.org/officeDocument/2006/relationships/hyperlink" Target="https://www.nsinursingsolutions.com/" TargetMode="External"/><Relationship Id="rIdkng7jpsmax_dscspb6egj" Type="http://schemas.openxmlformats.org/officeDocument/2006/relationships/hyperlink" Target="https://hcahpsonline.org/"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Overall Hospital — Nursing Quality Indicators</dc:title>
  <dc:creator>UNICO Quality</dc:creator>
  <dc:description>Assigned nursing quality indicators for Overall Hospital</dc:description>
  <cp:lastModifiedBy>Un-named</cp:lastModifiedBy>
  <cp:revision>1</cp:revision>
  <dcterms:created xsi:type="dcterms:W3CDTF">2026-08-18T04:56:25.133Z</dcterms:created>
  <dcterms:modified xsi:type="dcterms:W3CDTF">2026-08-18T04:56:25.133Z</dcterms:modified>
</cp:coreProperties>
</file>

<file path=docProps/custom.xml><?xml version="1.0" encoding="utf-8"?>
<Properties xmlns="http://schemas.openxmlformats.org/officeDocument/2006/custom-properties" xmlns:vt="http://schemas.openxmlformats.org/officeDocument/2006/docPropsVTypes"/>
</file>