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2020-12-18</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2020-12-18</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48"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pStyle w:val="Compact"/>
        <w:numPr>
          <w:numId w:val="1001"/>
          <w:ilvl w:val="0"/>
        </w:numPr>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Compac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numId w:val="1002"/>
          <w:ilvl w:val="0"/>
        </w:numPr>
      </w:pPr>
      <w:r>
        <w:t xml:space="preserve">H1: Facebook-poster med bild på en auktoritetsperson kommer att orsaka mer visuell uppmärksamhet på posten jämfört med bilder som innehåller en neutral person.</w:t>
      </w:r>
    </w:p>
    <w:p>
      <w:pPr>
        <w:numPr>
          <w:numId w:val="1002"/>
          <w:ilvl w:val="0"/>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End w:id="48"/>
    <w:bookmarkStart w:id="120" w:name="chap07"/>
    <w:p>
      <w:pPr>
        <w:pStyle w:val="Heading1"/>
      </w:pPr>
      <w:bookmarkStart w:id="49" w:name="genomförande"/>
      <w:r>
        <w:t xml:space="preserve">7 Genomförande</w:t>
      </w:r>
      <w:bookmarkEnd w:id="49"/>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numId w:val="1003"/>
          <w:ilvl w:val="0"/>
        </w:numPr>
      </w:pPr>
      <w:r>
        <w:t xml:space="preserve">experimentell metod kan handla om att tänka baklänges, börja i hur resultaten rapporteras, och resonera sig fram till hur man ska planera studien</w:t>
      </w:r>
    </w:p>
    <w:p>
      <w:pPr>
        <w:numPr>
          <w:numId w:val="1003"/>
          <w:ilvl w:val="0"/>
        </w:numPr>
      </w:pPr>
      <w:r>
        <w:t xml:space="preserve">Ofta den första delen som skrivs när man rapporterar resultaten av en studie. Fördelaktigt att börja med en genomgång av hur studien faktiskt har genomförts.</w:t>
      </w:r>
    </w:p>
    <w:p>
      <w:pPr>
        <w:numPr>
          <w:numId w:val="1003"/>
          <w:ilvl w:val="0"/>
        </w:numPr>
      </w:pPr>
      <w:r>
        <w:t xml:space="preserve">kontrastera med metodologi, i del 1 ? Pedagogiskt att presentera efterföljande text som tre centrala beståndsdelar: 1) deltagare, 2) mätinstrument, och 3) experimentella villkor/manipulationer.</w:t>
      </w:r>
    </w:p>
    <w:bookmarkStart w:id="55" w:name="sec07.1"/>
    <w:p>
      <w:pPr>
        <w:pStyle w:val="Heading2"/>
      </w:pPr>
      <w:bookmarkStart w:id="50" w:name="förstudier"/>
      <w:r>
        <w:t xml:space="preserve">7.1 Förstudier</w:t>
      </w:r>
      <w:bookmarkEnd w:id="50"/>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2" w:name="sub07.1.1"/>
    <w:p>
      <w:pPr>
        <w:pStyle w:val="Heading3"/>
      </w:pPr>
      <w:bookmarkStart w:id="51" w:name="power-analys"/>
      <w:r>
        <w:t xml:space="preserve">7.1.1 Power-analys</w:t>
      </w:r>
      <w:bookmarkEnd w:id="51"/>
    </w:p>
    <w:p>
      <w:pPr>
        <w:pStyle w:val="FirstParagraph"/>
      </w:pPr>
      <w:r>
        <w:t xml:space="preserve">Innan man genomför ett skarpt experiment, gör en power-analys. Power is the probability that we will correctly reject the null hypothesis.</w:t>
      </w:r>
    </w:p>
    <w:bookmarkEnd w:id="52"/>
    <w:bookmarkStart w:id="54" w:name="sub07.1.2"/>
    <w:p>
      <w:pPr>
        <w:pStyle w:val="Heading3"/>
      </w:pPr>
      <w:bookmarkStart w:id="53" w:name="pilottest"/>
      <w:r>
        <w:t xml:space="preserve">7.1.2 Pilottest</w:t>
      </w:r>
      <w:bookmarkEnd w:id="53"/>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4"/>
    <w:bookmarkEnd w:id="55"/>
    <w:bookmarkStart w:id="67" w:name="sec07.2"/>
    <w:p>
      <w:pPr>
        <w:pStyle w:val="Heading2"/>
      </w:pPr>
      <w:bookmarkStart w:id="56" w:name="försöksdeltagare"/>
      <w:r>
        <w:t xml:space="preserve">7.2 Försöksdeltagare</w:t>
      </w:r>
      <w:bookmarkEnd w:id="56"/>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58" w:name="sub07.2.1"/>
    <w:p>
      <w:pPr>
        <w:pStyle w:val="Heading3"/>
      </w:pPr>
      <w:bookmarkStart w:id="57" w:name="representativt-urval"/>
      <w:r>
        <w:t xml:space="preserve">7.2.1 Representativt urval</w:t>
      </w:r>
      <w:bookmarkEnd w:id="57"/>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58"/>
    <w:bookmarkStart w:id="60" w:name="sub07.2.2"/>
    <w:p>
      <w:pPr>
        <w:pStyle w:val="Heading3"/>
      </w:pPr>
      <w:bookmarkStart w:id="59" w:name="demografiska-egenskaper"/>
      <w:r>
        <w:t xml:space="preserve">7.2.2 Demografiska egenskaper</w:t>
      </w:r>
      <w:bookmarkEnd w:id="5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0"/>
    <w:bookmarkStart w:id="62" w:name="sub07.2.3"/>
    <w:p>
      <w:pPr>
        <w:pStyle w:val="Heading3"/>
      </w:pPr>
      <w:bookmarkStart w:id="61" w:name="etiska-hänsynstaganden"/>
      <w:r>
        <w:t xml:space="preserve">7.2.3 Etiska hänsynstaganden</w:t>
      </w:r>
      <w:bookmarkEnd w:id="6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2"/>
    <w:bookmarkStart w:id="64" w:name="sub07.2.4"/>
    <w:p>
      <w:pPr>
        <w:pStyle w:val="Heading3"/>
      </w:pPr>
      <w:bookmarkStart w:id="63" w:name="planering-av-deltagare"/>
      <w:r>
        <w:t xml:space="preserve">7.2.4 Planering av deltagare</w:t>
      </w:r>
      <w:bookmarkEnd w:id="63"/>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4"/>
    <w:bookmarkStart w:id="66" w:name="sub07.2.5"/>
    <w:p>
      <w:pPr>
        <w:pStyle w:val="Heading3"/>
      </w:pPr>
      <w:bookmarkStart w:id="65" w:name="rapportering-av-deltagare"/>
      <w:r>
        <w:t xml:space="preserve">7.2.5 Rapportering av deltagare</w:t>
      </w:r>
      <w:bookmarkEnd w:id="65"/>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6"/>
    <w:bookmarkEnd w:id="67"/>
    <w:bookmarkStart w:id="79" w:name="sec07.3"/>
    <w:p>
      <w:pPr>
        <w:pStyle w:val="Heading2"/>
      </w:pPr>
      <w:bookmarkStart w:id="68" w:name="mätinstrument"/>
      <w:r>
        <w:t xml:space="preserve">7.3 Mätinstrument</w:t>
      </w:r>
      <w:bookmarkEnd w:id="68"/>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0" w:name="sub07.3.1"/>
    <w:p>
      <w:pPr>
        <w:pStyle w:val="Heading3"/>
      </w:pPr>
      <w:bookmarkStart w:id="69" w:name="mätning-av-subjektiva-responser"/>
      <w:r>
        <w:t xml:space="preserve">7.3.1 Mätning av subjektiva responser</w:t>
      </w:r>
      <w:bookmarkEnd w:id="69"/>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0"/>
    <w:bookmarkStart w:id="72" w:name="sub07.3.2"/>
    <w:p>
      <w:pPr>
        <w:pStyle w:val="Heading3"/>
      </w:pPr>
      <w:bookmarkStart w:id="71" w:name="mätning-av-objektiva-responser"/>
      <w:r>
        <w:t xml:space="preserve">7.3.2 Mätning av objektiva responser</w:t>
      </w:r>
      <w:bookmarkEnd w:id="71"/>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2"/>
    <w:bookmarkStart w:id="74" w:name="sub07.3.3"/>
    <w:p>
      <w:pPr>
        <w:pStyle w:val="Heading3"/>
      </w:pPr>
      <w:bookmarkStart w:id="73" w:name="beroende-variabler"/>
      <w:r>
        <w:t xml:space="preserve">7.3.3 Beroende variabler</w:t>
      </w:r>
      <w:bookmarkEnd w:id="73"/>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w:t>
      </w:r>
    </w:p>
    <w:bookmarkEnd w:id="74"/>
    <w:bookmarkStart w:id="76" w:name="sub07.3.4"/>
    <w:p>
      <w:pPr>
        <w:pStyle w:val="Heading3"/>
      </w:pPr>
      <w:bookmarkStart w:id="75" w:name="planering-av-mätinstrument"/>
      <w:r>
        <w:t xml:space="preserve">7.3.4 Planering av mätinstrument</w:t>
      </w:r>
      <w:bookmarkEnd w:id="75"/>
    </w:p>
    <w:p>
      <w:pPr>
        <w:pStyle w:val="FirstParagraph"/>
      </w:pPr>
      <w:r>
        <w:t xml:space="preserve">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76"/>
    <w:bookmarkStart w:id="78" w:name="sub07.3.5"/>
    <w:p>
      <w:pPr>
        <w:pStyle w:val="Heading3"/>
      </w:pPr>
      <w:bookmarkStart w:id="77" w:name="rapportering-av-mätinstrument"/>
      <w:r>
        <w:t xml:space="preserve">7.3.5 Rapportering av mätinstrument</w:t>
      </w:r>
      <w:bookmarkEnd w:id="77"/>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78"/>
    <w:bookmarkEnd w:id="79"/>
    <w:bookmarkStart w:id="93" w:name="sec07.4"/>
    <w:p>
      <w:pPr>
        <w:pStyle w:val="Heading2"/>
      </w:pPr>
      <w:bookmarkStart w:id="80" w:name="experimentella-villkor"/>
      <w:r>
        <w:t xml:space="preserve">7.4 Experimentella villkor</w:t>
      </w:r>
      <w:bookmarkEnd w:id="80"/>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b/>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symbolen "0", medan förekomsten av en behandling (behandlingsvillkor) representeras av symbolen "1". I mer invecklade experiment kan det förekomma kombinationer av flera behandlingar (t.ex. intag av medicin</w:t>
      </w:r>
      <w:r>
        <w:t xml:space="preserve"> </w:t>
      </w:r>
      <w:r>
        <w:rPr>
          <w:b/>
        </w:rPr>
        <w:t xml:space="preserve">och</w:t>
      </w:r>
      <w:r>
        <w:t xml:space="preserve"> </w:t>
      </w:r>
      <w:r>
        <w:t xml:space="preserve">exponering för belysning) som dessutom utdelas i flera olika nivåer (t.ex.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(dvs. effekter 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 operationalisering (se tidigare avsnitt 6.2). Inom ett experiment är det även vanligt att behandlingar upprepas ett visst antal gånger, vilket kallas för försök, eller på engelska "trials" (se experimentdesign nedan).</w:t>
      </w:r>
    </w:p>
    <w:bookmarkStart w:id="82" w:name="sub07.4.1"/>
    <w:p>
      <w:pPr>
        <w:pStyle w:val="Heading3"/>
      </w:pPr>
      <w:bookmarkStart w:id="81" w:name="kontrollvillkor-och-behandlingsvillkor"/>
      <w:r>
        <w:t xml:space="preserve">7.4.1 Kontrollvillkor och behandlingsvillkor</w:t>
      </w:r>
      <w:bookmarkEnd w:id="81"/>
    </w:p>
    <w:p>
      <w:pPr>
        <w:pStyle w:val="FirstParagraph"/>
      </w:pPr>
      <w:r>
        <w:t xml:space="preserve">Låt oss återvända till bokens tänka exempel-experiment för att utveckla och konkretisera resonemanget kring experimentella villkor. Som vi har sagt tidigare, kräver den enklaste formen av experiment en kontrast mellan att deltagaren genomgår en behandling eller att de inte gör det. Att</w:t>
      </w:r>
      <w:r>
        <w:t xml:space="preserve"> </w:t>
      </w:r>
      <w:r>
        <w:rPr>
          <w:b/>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tar ett läkemedel. Men i ett samhällsvetenskapligt experiment kan det vara betydligt svårare att definiera vad som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nog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2"/>
    <w:bookmarkStart w:id="84" w:name="sub07.4.2"/>
    <w:p>
      <w:pPr>
        <w:pStyle w:val="Heading3"/>
      </w:pPr>
      <w:bookmarkStart w:id="83" w:name="oberoende-variabler"/>
      <w:r>
        <w:t xml:space="preserve">7.4.2 Oberoende variabler</w:t>
      </w:r>
      <w:bookmarkEnd w:id="8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b/>
        </w:rPr>
        <w:t xml:space="preserve">beroende variabler</w:t>
      </w:r>
      <w:r>
        <w:t xml:space="preserve"> </w:t>
      </w:r>
      <w:r>
        <w:t xml:space="preserve">kopplade till deltagarnas responser), samt vilka variabler som varieras eller manipuleras i undersökningen (oftast en eller flera</w:t>
      </w:r>
      <w:r>
        <w:t xml:space="preserve"> </w:t>
      </w:r>
      <w:r>
        <w:rPr>
          <w:b/>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BodyText"/>
      </w:pPr>
      <w:r>
        <w:t xml:space="preserve">En viss uppgift eller instruktion kan också vara ett experimentellt villkor. I sådana fall kontrasteras ofta denna uppgift mot ett kontrollvillkor där ingen uppgift eller instruktion förekommer (t.ex. fri interaktion)</w:t>
      </w:r>
    </w:p>
    <w:p>
      <w:pPr>
        <w:pStyle w:val="BodyText"/>
      </w:pPr>
      <w:r>
        <w:t xml:space="preserve">Till skillnad från beroende variabler, ofta kategoriska, faktorer med nivåer.</w:t>
      </w:r>
    </w:p>
    <w:bookmarkEnd w:id="84"/>
    <w:bookmarkStart w:id="86" w:name="sub07.4.3"/>
    <w:p>
      <w:pPr>
        <w:pStyle w:val="Heading3"/>
      </w:pPr>
      <w:bookmarkStart w:id="85" w:name="kontrollvariabler"/>
      <w:r>
        <w:t xml:space="preserve">7.4.3 Kontrollvariabler</w:t>
      </w:r>
      <w:bookmarkEnd w:id="85"/>
    </w:p>
    <w:p>
      <w:pPr>
        <w:pStyle w:val="FirstParagraph"/>
      </w:pPr>
      <w:r>
        <w:t xml:space="preserve">En annan faktor som har stor betydelse i samband med urvalet av</w:t>
      </w:r>
    </w:p>
    <w:bookmarkEnd w:id="86"/>
    <w:bookmarkStart w:id="88" w:name="sub07.4.4"/>
    <w:p>
      <w:pPr>
        <w:pStyle w:val="Heading3"/>
      </w:pPr>
      <w:bookmarkStart w:id="87" w:name="utrustning-och-materiel"/>
      <w:r>
        <w:t xml:space="preserve">7.4.4 Utrustning och materiel</w:t>
      </w:r>
      <w:bookmarkEnd w:id="87"/>
    </w:p>
    <w:p>
      <w:pPr>
        <w:pStyle w:val="FirstParagraph"/>
      </w:pPr>
      <w:r>
        <w:t xml:space="preserve">Implementation (operationalisering) av abstrakt villkor till konkret behandling. Kan vara intag av en medicinsk substans eller exponering för ett visuellt stimuli (material).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BodyText"/>
      </w:pPr>
      <w:r>
        <w:t xml:space="preserve">Generellt: Utrustning som används för att på ett kontrollerat sätt generera eller presentera ett 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88"/>
    <w:bookmarkStart w:id="90" w:name="sub07.4.5"/>
    <w:p>
      <w:pPr>
        <w:pStyle w:val="Heading3"/>
      </w:pPr>
      <w:bookmarkStart w:id="89" w:name="planering-av-experimentella-villkor"/>
      <w:r>
        <w:t xml:space="preserve">7.4.5 Planering av experimentella villkor</w:t>
      </w:r>
      <w:bookmarkEnd w:id="89"/>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90"/>
    <w:bookmarkStart w:id="92" w:name="sub07.4.6"/>
    <w:p>
      <w:pPr>
        <w:pStyle w:val="Heading3"/>
      </w:pPr>
      <w:bookmarkStart w:id="91" w:name="rapportering-av-experimentella-villkor"/>
      <w:r>
        <w:t xml:space="preserve">7.4.6 Rapportering av experimentella villkor</w:t>
      </w:r>
      <w:bookmarkEnd w:id="91"/>
    </w:p>
    <w:p>
      <w:pPr>
        <w:pStyle w:val="FirstParagraph"/>
      </w:pPr>
      <w:r>
        <w:t xml:space="preserve">Rapportering - exempel på hur detta skulle kunna formuleras i ett manuskript</w:t>
      </w:r>
    </w:p>
    <w:bookmarkEnd w:id="92"/>
    <w:bookmarkEnd w:id="93"/>
    <w:bookmarkStart w:id="115" w:name="sec07.5"/>
    <w:p>
      <w:pPr>
        <w:pStyle w:val="Heading2"/>
      </w:pPr>
      <w:bookmarkStart w:id="94" w:name="experimentell-design"/>
      <w:r>
        <w:t xml:space="preserve">7.5 Experimentell design</w:t>
      </w:r>
      <w:bookmarkEnd w:id="94"/>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96" w:name="sub07.5.1"/>
    <w:p>
      <w:pPr>
        <w:pStyle w:val="Heading3"/>
      </w:pPr>
      <w:bookmarkStart w:id="95" w:name="instruktioner-och-uppgifter"/>
      <w:r>
        <w:t xml:space="preserve">7.5.1 Instruktioner och uppgifter</w:t>
      </w:r>
      <w:bookmarkEnd w:id="95"/>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("free-viewing"), medan den andra hälften får instruktionen att försöka hitta ett specifikt objekt i varje bild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96"/>
    <w:bookmarkStart w:id="98" w:name="sub07.5.2"/>
    <w:p>
      <w:pPr>
        <w:pStyle w:val="Heading3"/>
      </w:pPr>
      <w:bookmarkStart w:id="97" w:name="randomisering-och-balansering"/>
      <w:r>
        <w:t xml:space="preserve">7.5.2 Randomisering och balansering</w:t>
      </w:r>
      <w:bookmarkEnd w:id="97"/>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c>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c>
          <w:p/>
        </w:tc>
      </w:tr>
      <w:tr>
        <w:tc>
          <w:p>
            <w:pPr>
              <w:pStyle w:val="Compact"/>
              <w:jc w:val="left"/>
            </w:pPr>
            <w:r>
              <w:t xml:space="preserve">...</w:t>
            </w:r>
          </w:p>
        </w:tc>
        <w:tc>
          <w:p/>
        </w:tc>
        <w:tc>
          <w:p/>
        </w:tc>
        <w:tc>
          <w:p/>
        </w:tc>
        <w:tc>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98"/>
    <w:bookmarkStart w:id="100" w:name="sub07.5.3"/>
    <w:p>
      <w:pPr>
        <w:pStyle w:val="Heading3"/>
      </w:pPr>
      <w:bookmarkStart w:id="99" w:name="mellangruppsdesign"/>
      <w:r>
        <w:t xml:space="preserve">7.5.3 Mellangruppsdesign</w:t>
      </w:r>
      <w:bookmarkEnd w:id="99"/>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0"/>
    <w:bookmarkStart w:id="102" w:name="sub07.5.4"/>
    <w:p>
      <w:pPr>
        <w:pStyle w:val="Heading3"/>
      </w:pPr>
      <w:bookmarkStart w:id="101" w:name="inomgruppsdesign"/>
      <w:r>
        <w:t xml:space="preserve">7.5.4 Inomgruppsdesign</w:t>
      </w:r>
      <w:bookmarkEnd w:id="101"/>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2"/>
    <w:bookmarkStart w:id="104" w:name="sub07.5.5"/>
    <w:p>
      <w:pPr>
        <w:pStyle w:val="Heading3"/>
      </w:pPr>
      <w:bookmarkStart w:id="103" w:name="upprepade-villkor"/>
      <w:r>
        <w:t xml:space="preserve">7.5.5 Upprepade villkor</w:t>
      </w:r>
      <w:bookmarkEnd w:id="103"/>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04"/>
    <w:bookmarkStart w:id="106" w:name="sub07.5.6"/>
    <w:p>
      <w:pPr>
        <w:pStyle w:val="Heading3"/>
      </w:pPr>
      <w:bookmarkStart w:id="105" w:name="faktoriell-design"/>
      <w:r>
        <w:t xml:space="preserve">7.5.6 Faktoriell design</w:t>
      </w:r>
      <w:bookmarkEnd w:id="105"/>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06"/>
    <w:bookmarkStart w:id="108" w:name="sub07.5.7"/>
    <w:p>
      <w:pPr>
        <w:pStyle w:val="Heading3"/>
      </w:pPr>
      <w:bookmarkStart w:id="107" w:name="naturliga-experiment"/>
      <w:r>
        <w:t xml:space="preserve">7.5.7 Naturliga experiment</w:t>
      </w:r>
      <w:bookmarkEnd w:id="10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08"/>
    <w:bookmarkStart w:id="110" w:name="sub07.5.8"/>
    <w:p>
      <w:pPr>
        <w:pStyle w:val="Heading3"/>
      </w:pPr>
      <w:bookmarkStart w:id="109" w:name="kvasi-experiment"/>
      <w:r>
        <w:t xml:space="preserve">7.5.8 Kvasi-experiment</w:t>
      </w:r>
      <w:bookmarkEnd w:id="109"/>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0"/>
    <w:bookmarkStart w:id="112" w:name="sub07.5.9"/>
    <w:p>
      <w:pPr>
        <w:pStyle w:val="Heading3"/>
      </w:pPr>
      <w:bookmarkStart w:id="111" w:name="planering-av-experimentdesign"/>
      <w:r>
        <w:t xml:space="preserve">7.5.9 Planering av experimentdesign</w:t>
      </w:r>
      <w:bookmarkEnd w:id="111"/>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12"/>
    <w:bookmarkStart w:id="114" w:name="sub07.5.10"/>
    <w:p>
      <w:pPr>
        <w:pStyle w:val="Heading3"/>
      </w:pPr>
      <w:bookmarkStart w:id="113" w:name="rapportering-av-experimentdesign"/>
      <w:r>
        <w:t xml:space="preserve">7.5.10 Rapportering av experimentdesign</w:t>
      </w:r>
      <w:bookmarkEnd w:id="113"/>
    </w:p>
    <w:p>
      <w:pPr>
        <w:pStyle w:val="FirstParagraph"/>
      </w:pPr>
      <w:r>
        <w:t xml:space="preserve">Håll designen så enkel som möjligt för att underlätta tolkningen av resultat. Helst inte mer än 2x2 design.</w:t>
      </w:r>
    </w:p>
    <w:bookmarkEnd w:id="114"/>
    <w:bookmarkEnd w:id="115"/>
    <w:bookmarkStart w:id="117" w:name="sec07.6"/>
    <w:p>
      <w:pPr>
        <w:pStyle w:val="Heading2"/>
      </w:pPr>
      <w:bookmarkStart w:id="116" w:name="procedur"/>
      <w:r>
        <w:t xml:space="preserve">7.6 Procedur</w:t>
      </w:r>
      <w:bookmarkEnd w:id="116"/>
    </w:p>
    <w:p>
      <w:pPr>
        <w:pStyle w:val="FirstParagraph"/>
      </w:pPr>
      <w:r>
        <w:t xml:space="preserve">some line</w:t>
      </w:r>
    </w:p>
    <w:p>
      <w:pPr>
        <w:pStyle w:val="Compact"/>
        <w:numPr>
          <w:numId w:val="1004"/>
          <w:ilvl w:val="0"/>
        </w:numPr>
      </w:pPr>
      <w:r>
        <w:t xml:space="preserve">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w:t>
      </w:r>
    </w:p>
    <w:bookmarkEnd w:id="117"/>
    <w:bookmarkStart w:id="119" w:name="sec07.7"/>
    <w:p>
      <w:pPr>
        <w:pStyle w:val="Heading2"/>
      </w:pPr>
      <w:bookmarkStart w:id="118" w:name="dataanalys"/>
      <w:r>
        <w:t xml:space="preserve">7.7 Dataanalys</w:t>
      </w:r>
      <w:bookmarkEnd w:id="118"/>
    </w:p>
    <w:p>
      <w:pPr>
        <w:pStyle w:val="FirstParagraph"/>
      </w:pPr>
      <w:r>
        <w:t xml:space="preserve">Beräkning av beroende och oberoende variabler - aggregering, summativt index</w:t>
      </w:r>
    </w:p>
    <w:bookmarkEnd w:id="119"/>
    <w:bookmarkEnd w:id="120"/>
    <w:bookmarkStart w:id="140" w:name="chap08"/>
    <w:p>
      <w:pPr>
        <w:pStyle w:val="Heading1"/>
      </w:pPr>
      <w:bookmarkStart w:id="121" w:name="efterarbete"/>
      <w:r>
        <w:t xml:space="preserve">8 Efterarbete</w:t>
      </w:r>
      <w:bookmarkEnd w:id="121"/>
    </w:p>
    <w:p>
      <w:pPr>
        <w:pStyle w:val="FirstParagraph"/>
      </w:pPr>
      <w:r>
        <w:t xml:space="preserve">Denna text kommer är tänkt att ersätta sektion 08 resultat och 09 diskussion. Därmed frångår boken den tidigare indelningen enligt IMRD.</w:t>
      </w:r>
    </w:p>
    <w:bookmarkStart w:id="129" w:name="sec08.1"/>
    <w:p>
      <w:pPr>
        <w:pStyle w:val="Heading2"/>
      </w:pPr>
      <w:bookmarkStart w:id="122" w:name="resultat"/>
      <w:r>
        <w:t xml:space="preserve">8.1 Resultat</w:t>
      </w:r>
      <w:bookmarkEnd w:id="122"/>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24" w:name="sub08.1.1"/>
    <w:p>
      <w:pPr>
        <w:pStyle w:val="Heading3"/>
      </w:pPr>
      <w:bookmarkStart w:id="123" w:name="deskriptiv-statistik"/>
      <w:r>
        <w:t xml:space="preserve">8.1.1 Deskriptiv statistik</w:t>
      </w:r>
      <w:bookmarkEnd w:id="123"/>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24"/>
    <w:bookmarkStart w:id="126" w:name="sub08.1.2"/>
    <w:p>
      <w:pPr>
        <w:pStyle w:val="Heading3"/>
      </w:pPr>
      <w:bookmarkStart w:id="125" w:name="inferentiell-statistik"/>
      <w:r>
        <w:t xml:space="preserve">8.1.2 Inferentiell statistik</w:t>
      </w:r>
      <w:bookmarkEnd w:id="125"/>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26"/>
    <w:bookmarkStart w:id="128" w:name="sub08.1.3"/>
    <w:p>
      <w:pPr>
        <w:pStyle w:val="Heading3"/>
      </w:pPr>
      <w:bookmarkStart w:id="127" w:name="presentation-av-statistik"/>
      <w:r>
        <w:t xml:space="preserve">8.1.3 Presentation av statistik</w:t>
      </w:r>
      <w:bookmarkEnd w:id="127"/>
    </w:p>
    <w:p>
      <w:pPr>
        <w:pStyle w:val="FirstParagraph"/>
      </w:pPr>
      <w:r>
        <w:t xml:space="preserve">Här kommer något om diagram och visualiseringar.</w:t>
      </w:r>
    </w:p>
    <w:bookmarkEnd w:id="128"/>
    <w:bookmarkEnd w:id="129"/>
    <w:bookmarkStart w:id="137" w:name="sec08.2"/>
    <w:p>
      <w:pPr>
        <w:pStyle w:val="Heading2"/>
      </w:pPr>
      <w:bookmarkStart w:id="130" w:name="diskussion"/>
      <w:r>
        <w:t xml:space="preserve">8.2 Diskussion</w:t>
      </w:r>
      <w:bookmarkEnd w:id="130"/>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32" w:name="sub08.2.1"/>
    <w:p>
      <w:pPr>
        <w:pStyle w:val="Heading3"/>
      </w:pPr>
      <w:bookmarkStart w:id="131" w:name="hypoteser-och-empiriska-resultat"/>
      <w:r>
        <w:t xml:space="preserve">8.2.1 Hypoteser och empiriska resultat</w:t>
      </w:r>
      <w:bookmarkEnd w:id="131"/>
    </w:p>
    <w:p>
      <w:pPr>
        <w:pStyle w:val="FirstParagraph"/>
      </w:pPr>
      <w:r>
        <w:t xml:space="preserve">Relatera faktiska observationer till ursprungliga förväntade hypoteser. Här kommer lite Brödtext igen. Här ko</w:t>
      </w:r>
    </w:p>
    <w:bookmarkEnd w:id="132"/>
    <w:bookmarkStart w:id="134" w:name="sub08.2.2"/>
    <w:p>
      <w:pPr>
        <w:pStyle w:val="Heading3"/>
      </w:pPr>
      <w:bookmarkStart w:id="133" w:name="alternativa-förklaringar-till-resultat"/>
      <w:r>
        <w:t xml:space="preserve">8.2.2 Alternativa förklaringar till resultat</w:t>
      </w:r>
      <w:bookmarkEnd w:id="133"/>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34"/>
    <w:bookmarkStart w:id="136" w:name="sub08.2.3"/>
    <w:p>
      <w:pPr>
        <w:pStyle w:val="Heading3"/>
      </w:pPr>
      <w:bookmarkStart w:id="135" w:name="framtida-forskning"/>
      <w:r>
        <w:t xml:space="preserve">8.2.3 Framtida forskning</w:t>
      </w:r>
      <w:bookmarkEnd w:id="135"/>
    </w:p>
    <w:p>
      <w:pPr>
        <w:pStyle w:val="FirstParagraph"/>
      </w:pPr>
      <w:r>
        <w:t xml:space="preserve">Hkommer lite Brödtext igen. Här kommer lite Brödtext igen. Här kommer lite Brödtext igen.</w:t>
      </w:r>
    </w:p>
    <w:bookmarkEnd w:id="136"/>
    <w:bookmarkEnd w:id="137"/>
    <w:bookmarkStart w:id="139" w:name="sec08.3"/>
    <w:p>
      <w:pPr>
        <w:pStyle w:val="Heading2"/>
      </w:pPr>
      <w:bookmarkStart w:id="138" w:name="publicering"/>
      <w:r>
        <w:t xml:space="preserve">8.3 Publicering</w:t>
      </w:r>
      <w:bookmarkEnd w:id="138"/>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39"/>
    <w:bookmarkEnd w:id="140"/>
    <w:bookmarkStart w:id="142" w:name="del-3"/>
    <w:p>
      <w:pPr>
        <w:pStyle w:val="Heading1"/>
      </w:pPr>
      <w:bookmarkStart w:id="141" w:name="del-3"/>
      <w:r>
        <w:t xml:space="preserve">Del 3</w:t>
      </w:r>
      <w:bookmarkEnd w:id="141"/>
    </w:p>
    <w:p>
      <w:pPr>
        <w:pStyle w:val="FirstParagraph"/>
      </w:pPr>
      <w:r>
        <w:t xml:space="preserve">I denna del av boken följer vi utvecklingen och genomförandet av ett samhällsvetenskapligt experiment.</w:t>
      </w:r>
    </w:p>
    <w:bookmarkEnd w:id="142"/>
    <w:bookmarkStart w:id="144" w:name="chap09"/>
    <w:p>
      <w:pPr>
        <w:pStyle w:val="Heading1"/>
      </w:pPr>
      <w:bookmarkStart w:id="143" w:name="kapitel"/>
      <w:r>
        <w:t xml:space="preserve">9 Kapitel</w:t>
      </w:r>
      <w:bookmarkEnd w:id="143"/>
    </w:p>
    <w:p>
      <w:pPr>
        <w:pStyle w:val="FirstParagraph"/>
      </w:pPr>
      <w:r>
        <w:t xml:space="preserve">some line</w:t>
      </w:r>
    </w:p>
    <w:bookmarkEnd w:id="144"/>
    <w:bookmarkStart w:id="149" w:name="references"/>
    <w:p>
      <w:pPr>
        <w:pStyle w:val="Heading1"/>
      </w:pPr>
      <w:bookmarkStart w:id="145" w:name="references"/>
      <w:r>
        <w:t xml:space="preserve">References</w:t>
      </w:r>
      <w:bookmarkEnd w:id="145"/>
    </w:p>
    <w:bookmarkStart w:id="148" w:name="refs"/>
    <w:bookmarkStart w:id="146" w:name="ref-einstein2002induction"/>
    <w:p>
      <w:pPr>
        <w:pStyle w:val="Bibliography"/>
      </w:pPr>
      <w:r>
        <w:t xml:space="preserve">Einstein, Albert. 2002. “Induction and Deduction in Physics. The Collected Papers of Albert Einstein, Vol. 7.” Princeton University Press.</w:t>
      </w:r>
    </w:p>
    <w:bookmarkEnd w:id="146"/>
    <w:bookmarkStart w:id="147"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2020-12-18T08:32:11Z</dcterms:created>
  <dcterms:modified xsi:type="dcterms:W3CDTF">2020-12-18T08:32:11Z</dcterms:modified>
</cp:coreProperties>
</file>

<file path=docProps/custom.xml><?xml version="1.0" encoding="utf-8"?>
<Properties xmlns="http://schemas.openxmlformats.org/officeDocument/2006/custom-properties" xmlns:vt="http://schemas.openxmlformats.org/officeDocument/2006/docPropsVTypes"/>
</file>