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2021-05-21</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2021-05-21</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ett så kallat</w:t>
      </w:r>
      <w:r>
        <w:t xml:space="preserve"> </w:t>
      </w:r>
      <w:r>
        <w:rPr>
          <w:i/>
        </w:rPr>
        <w:t xml:space="preserve">informerat samtycke</w:t>
      </w:r>
      <w:r>
        <w:t xml:space="preserve">. De forskningsetiska reglerna kring informerat samtycke har alltså sedermera inkorporerats som en del av GDPR.</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2021-05-21T15:37:24Z</dcterms:created>
  <dcterms:modified xsi:type="dcterms:W3CDTF">2021-05-21T15:37:24Z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2021-05-21</vt:lpwstr>
  </property>
  <property fmtid="{D5CDD505-2E9C-101B-9397-08002B2CF9AE}" pid="3" name="generator">
    <vt:lpwstr>pandoc</vt:lpwstr>
  </property>
  <property fmtid="{D5CDD505-2E9C-101B-9397-08002B2CF9AE}" pid="4" name="viewport">
    <vt:lpwstr>width=device-width, initial-scale=1</vt:lpwstr>
  </property>
</Properties>
</file>