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2021-02-08</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2021-02-08</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Vad heter pre-registration på svenska? Kanske förregistrering.</w:t>
      </w:r>
    </w:p>
    <w:bookmarkEnd w:id="49"/>
    <w:bookmarkEnd w:id="50"/>
    <w:bookmarkStart w:id="12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Ta upp levels of measurement. Olika mätnivåer. Nominal, Kvot-skala. Intervall. Nominal tillåter bara analyser som handlar om att räkna antal förekomster.</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7"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villkor-och-behandlingsvillkor"/>
      <w:r>
        <w:t xml:space="preserve">7.4.1 Kontrollvillkor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8"/>
    <w:bookmarkStart w:id="90" w:name="sub07.4.3"/>
    <w:p>
      <w:pPr>
        <w:pStyle w:val="Heading3"/>
      </w:pPr>
      <w:bookmarkStart w:id="89" w:name="kontrollvariabler"/>
      <w:r>
        <w:t xml:space="preserve">7.4.3 Kontrollvariabler</w:t>
      </w:r>
      <w:bookmarkEnd w:id="89"/>
    </w:p>
    <w:p>
      <w:pPr>
        <w:pStyle w:val="FirstParagraph"/>
      </w:pPr>
      <w:r>
        <w:t xml:space="preserve">En annan faktor som har stor betydelse i samband med urvalet av</w:t>
      </w:r>
    </w:p>
    <w:bookmarkEnd w:id="90"/>
    <w:bookmarkStart w:id="92" w:name="sub07.4.4"/>
    <w:p>
      <w:pPr>
        <w:pStyle w:val="Heading3"/>
      </w:pPr>
      <w:bookmarkStart w:id="91" w:name="utrustning-och-materiel"/>
      <w:r>
        <w:t xml:space="preserve">7.4.4 Utrustning och materiel</w:t>
      </w:r>
      <w:bookmarkEnd w:id="91"/>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2"/>
    <w:bookmarkStart w:id="94" w:name="sub07.4.5"/>
    <w:p>
      <w:pPr>
        <w:pStyle w:val="Heading3"/>
      </w:pPr>
      <w:bookmarkStart w:id="93" w:name="planering-av-experimentella-villkor"/>
      <w:r>
        <w:t xml:space="preserve">7.4.5 Planering av experimentella villkor</w:t>
      </w:r>
      <w:bookmarkEnd w:id="93"/>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4"/>
    <w:bookmarkStart w:id="96" w:name="sub07.4.6"/>
    <w:p>
      <w:pPr>
        <w:pStyle w:val="Heading3"/>
      </w:pPr>
      <w:bookmarkStart w:id="95" w:name="rapportering-av-experimentella-villkor"/>
      <w:r>
        <w:t xml:space="preserve">7.4.6 Rapportering av experimentella villkor</w:t>
      </w:r>
      <w:bookmarkEnd w:id="95"/>
    </w:p>
    <w:p>
      <w:pPr>
        <w:pStyle w:val="FirstParagraph"/>
      </w:pPr>
      <w:r>
        <w:t xml:space="preserve">Rapportering - exempel på hur detta skulle kunna formuleras i ett manuskript</w:t>
      </w:r>
    </w:p>
    <w:bookmarkEnd w:id="96"/>
    <w:bookmarkEnd w:id="97"/>
    <w:bookmarkStart w:id="119" w:name="sec07.5"/>
    <w:p>
      <w:pPr>
        <w:pStyle w:val="Heading2"/>
      </w:pPr>
      <w:bookmarkStart w:id="98" w:name="experimentell-design"/>
      <w:r>
        <w:t xml:space="preserve">7.5 Experimentell design</w:t>
      </w:r>
      <w:bookmarkEnd w:id="98"/>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0" w:name="sub07.5.1"/>
    <w:p>
      <w:pPr>
        <w:pStyle w:val="Heading3"/>
      </w:pPr>
      <w:bookmarkStart w:id="99" w:name="instruktioner-och-uppgifter"/>
      <w:r>
        <w:t xml:space="preserve">7.5.1 Instruktioner och uppgifter</w:t>
      </w:r>
      <w:bookmarkEnd w:id="99"/>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0"/>
    <w:bookmarkStart w:id="102" w:name="sub07.5.2"/>
    <w:p>
      <w:pPr>
        <w:pStyle w:val="Heading3"/>
      </w:pPr>
      <w:bookmarkStart w:id="101" w:name="randomisering-och-balansering"/>
      <w:r>
        <w:t xml:space="preserve">7.5.2 Randomisering och balansering</w:t>
      </w:r>
      <w:bookmarkEnd w:id="101"/>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2"/>
    <w:bookmarkStart w:id="104" w:name="sub07.5.3"/>
    <w:p>
      <w:pPr>
        <w:pStyle w:val="Heading3"/>
      </w:pPr>
      <w:bookmarkStart w:id="103" w:name="mellangruppsdesign"/>
      <w:r>
        <w:t xml:space="preserve">7.5.3 Mellangruppsdesign</w:t>
      </w:r>
      <w:bookmarkEnd w:id="103"/>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4"/>
    <w:bookmarkStart w:id="106" w:name="sub07.5.4"/>
    <w:p>
      <w:pPr>
        <w:pStyle w:val="Heading3"/>
      </w:pPr>
      <w:bookmarkStart w:id="105" w:name="inomgruppsdesign"/>
      <w:r>
        <w:t xml:space="preserve">7.5.4 Inomgruppsdesign</w:t>
      </w:r>
      <w:bookmarkEnd w:id="105"/>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6"/>
    <w:bookmarkStart w:id="108" w:name="sub07.5.5"/>
    <w:p>
      <w:pPr>
        <w:pStyle w:val="Heading3"/>
      </w:pPr>
      <w:bookmarkStart w:id="107" w:name="upprepade-villkor"/>
      <w:r>
        <w:t xml:space="preserve">7.5.5 Upprepade villkor</w:t>
      </w:r>
      <w:bookmarkEnd w:id="107"/>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8"/>
    <w:bookmarkStart w:id="110" w:name="sub07.5.6"/>
    <w:p>
      <w:pPr>
        <w:pStyle w:val="Heading3"/>
      </w:pPr>
      <w:bookmarkStart w:id="109" w:name="faktoriell-design"/>
      <w:r>
        <w:t xml:space="preserve">7.5.6 Faktoriell design</w:t>
      </w:r>
      <w:bookmarkEnd w:id="109"/>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0"/>
    <w:bookmarkStart w:id="112" w:name="sub07.5.7"/>
    <w:p>
      <w:pPr>
        <w:pStyle w:val="Heading3"/>
      </w:pPr>
      <w:bookmarkStart w:id="111" w:name="naturliga-experiment"/>
      <w:r>
        <w:t xml:space="preserve">7.5.7 Naturliga experiment</w:t>
      </w:r>
      <w:bookmarkEnd w:id="111"/>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2"/>
    <w:bookmarkStart w:id="114" w:name="sub07.5.8"/>
    <w:p>
      <w:pPr>
        <w:pStyle w:val="Heading3"/>
      </w:pPr>
      <w:bookmarkStart w:id="113" w:name="kvasi-experiment"/>
      <w:r>
        <w:t xml:space="preserve">7.5.8 Kvasi-experiment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4"/>
    <w:bookmarkStart w:id="116" w:name="sub07.5.9"/>
    <w:p>
      <w:pPr>
        <w:pStyle w:val="Heading3"/>
      </w:pPr>
      <w:bookmarkStart w:id="115" w:name="planering-av-experimentdesign"/>
      <w:r>
        <w:t xml:space="preserve">7.5.9 Planering av experimentdesign</w:t>
      </w:r>
      <w:bookmarkEnd w:id="115"/>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6"/>
    <w:bookmarkStart w:id="118" w:name="sub07.5.10"/>
    <w:p>
      <w:pPr>
        <w:pStyle w:val="Heading3"/>
      </w:pPr>
      <w:bookmarkStart w:id="117" w:name="rapportering-av-experimentdesign"/>
      <w:r>
        <w:t xml:space="preserve">7.5.10 Rapportering av experimentdesign</w:t>
      </w:r>
      <w:bookmarkEnd w:id="117"/>
    </w:p>
    <w:p>
      <w:pPr>
        <w:pStyle w:val="FirstParagraph"/>
      </w:pPr>
      <w:r>
        <w:t xml:space="preserve">Håll designen så enkel som möjligt för att underlätta tolkningen av resultat. Helst inte mer än 2x2 design.</w:t>
      </w:r>
    </w:p>
    <w:bookmarkEnd w:id="118"/>
    <w:bookmarkEnd w:id="119"/>
    <w:bookmarkStart w:id="121" w:name="sec07.6"/>
    <w:p>
      <w:pPr>
        <w:pStyle w:val="Heading2"/>
      </w:pPr>
      <w:bookmarkStart w:id="120" w:name="procedur"/>
      <w:r>
        <w:t xml:space="preserve">7.6 Procedur</w:t>
      </w:r>
      <w:bookmarkEnd w:id="120"/>
    </w:p>
    <w:p>
      <w:pPr>
        <w:pStyle w:val="FirstParagraph"/>
      </w:pPr>
      <w:r>
        <w:t xml:space="preserve">some line</w:t>
      </w:r>
    </w:p>
    <w:p>
      <w:pPr>
        <w:numPr>
          <w:ilvl w:val="0"/>
          <w:numId w:val="1004"/>
        </w:numPr>
        <w:pStyle w:val="Compact"/>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21"/>
    <w:bookmarkStart w:id="123" w:name="sec07.7"/>
    <w:p>
      <w:pPr>
        <w:pStyle w:val="Heading2"/>
      </w:pPr>
      <w:bookmarkStart w:id="122" w:name="dataanalys"/>
      <w:r>
        <w:t xml:space="preserve">7.7 Dataanalys</w:t>
      </w:r>
      <w:bookmarkEnd w:id="122"/>
    </w:p>
    <w:p>
      <w:pPr>
        <w:pStyle w:val="FirstParagraph"/>
      </w:pPr>
      <w:r>
        <w:t xml:space="preserve">Beräkning av beroende och oberoende variabler - aggregering, summativt index</w:t>
      </w:r>
    </w:p>
    <w:bookmarkEnd w:id="123"/>
    <w:bookmarkEnd w:id="124"/>
    <w:bookmarkStart w:id="144" w:name="chap08"/>
    <w:p>
      <w:pPr>
        <w:pStyle w:val="Heading1"/>
      </w:pPr>
      <w:bookmarkStart w:id="125" w:name="efterarbete"/>
      <w:r>
        <w:t xml:space="preserve">8 Efterarbete</w:t>
      </w:r>
      <w:bookmarkEnd w:id="125"/>
    </w:p>
    <w:p>
      <w:pPr>
        <w:pStyle w:val="FirstParagraph"/>
      </w:pPr>
      <w:r>
        <w:t xml:space="preserve">Denna text kommer är tänkt att ersätta sektion 08 resultat och 09 diskussion. Därmed frångår boken den tidigare indelningen enligt IMRD.</w:t>
      </w:r>
    </w:p>
    <w:bookmarkStart w:id="133" w:name="sec08.1"/>
    <w:p>
      <w:pPr>
        <w:pStyle w:val="Heading2"/>
      </w:pPr>
      <w:bookmarkStart w:id="126" w:name="resultat"/>
      <w:r>
        <w:t xml:space="preserve">8.1 Resultat</w:t>
      </w:r>
      <w:bookmarkEnd w:id="12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8" w:name="sub08.1.1"/>
    <w:p>
      <w:pPr>
        <w:pStyle w:val="Heading3"/>
      </w:pPr>
      <w:bookmarkStart w:id="127" w:name="deskriptiv-statistik"/>
      <w:r>
        <w:t xml:space="preserve">8.1.1 Deskriptiv statistik</w:t>
      </w:r>
      <w:bookmarkEnd w:id="12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8"/>
    <w:bookmarkStart w:id="130" w:name="sub08.1.2"/>
    <w:p>
      <w:pPr>
        <w:pStyle w:val="Heading3"/>
      </w:pPr>
      <w:bookmarkStart w:id="129" w:name="inferentiell-statistik"/>
      <w:r>
        <w:t xml:space="preserve">8.1.2 Inferentiell statistik</w:t>
      </w:r>
      <w:bookmarkEnd w:id="12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30"/>
    <w:bookmarkStart w:id="132" w:name="sub08.1.3"/>
    <w:p>
      <w:pPr>
        <w:pStyle w:val="Heading3"/>
      </w:pPr>
      <w:bookmarkStart w:id="131" w:name="presentation-av-statistik"/>
      <w:r>
        <w:t xml:space="preserve">8.1.3 Presentation av statistik</w:t>
      </w:r>
      <w:bookmarkEnd w:id="131"/>
    </w:p>
    <w:p>
      <w:pPr>
        <w:pStyle w:val="FirstParagraph"/>
      </w:pPr>
      <w:r>
        <w:t xml:space="preserve">Här kommer något om diagram och visualiseringar.</w:t>
      </w:r>
    </w:p>
    <w:bookmarkEnd w:id="132"/>
    <w:bookmarkEnd w:id="133"/>
    <w:bookmarkStart w:id="141" w:name="sec08.2"/>
    <w:p>
      <w:pPr>
        <w:pStyle w:val="Heading2"/>
      </w:pPr>
      <w:bookmarkStart w:id="134" w:name="diskussion"/>
      <w:r>
        <w:t xml:space="preserve">8.2 Diskussion</w:t>
      </w:r>
      <w:bookmarkEnd w:id="13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6" w:name="sub08.2.1"/>
    <w:p>
      <w:pPr>
        <w:pStyle w:val="Heading3"/>
      </w:pPr>
      <w:bookmarkStart w:id="135" w:name="hypoteser-och-empiriska-resultat"/>
      <w:r>
        <w:t xml:space="preserve">8.2.1 Hypoteser och empiriska resultat</w:t>
      </w:r>
      <w:bookmarkEnd w:id="135"/>
    </w:p>
    <w:p>
      <w:pPr>
        <w:pStyle w:val="FirstParagraph"/>
      </w:pPr>
      <w:r>
        <w:t xml:space="preserve">Relatera faktiska observationer till ursprungliga förväntade hypoteser. Här kommer lite Brödtext igen. Här ko</w:t>
      </w:r>
    </w:p>
    <w:bookmarkEnd w:id="136"/>
    <w:bookmarkStart w:id="138" w:name="sub08.2.2"/>
    <w:p>
      <w:pPr>
        <w:pStyle w:val="Heading3"/>
      </w:pPr>
      <w:bookmarkStart w:id="137" w:name="alternativa-förklaringar-till-resultat"/>
      <w:r>
        <w:t xml:space="preserve">8.2.2 Alternativa förklaringar till resultat</w:t>
      </w:r>
      <w:bookmarkEnd w:id="13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8"/>
    <w:bookmarkStart w:id="140" w:name="sub08.2.3"/>
    <w:p>
      <w:pPr>
        <w:pStyle w:val="Heading3"/>
      </w:pPr>
      <w:bookmarkStart w:id="139" w:name="framtida-forskning"/>
      <w:r>
        <w:t xml:space="preserve">8.2.3 Framtida forskning</w:t>
      </w:r>
      <w:bookmarkEnd w:id="139"/>
    </w:p>
    <w:p>
      <w:pPr>
        <w:pStyle w:val="FirstParagraph"/>
      </w:pPr>
      <w:r>
        <w:t xml:space="preserve">Hkommer lite Brödtext igen. Här kommer lite Brödtext igen. Här kommer lite Brödtext igen.</w:t>
      </w:r>
    </w:p>
    <w:bookmarkEnd w:id="140"/>
    <w:bookmarkEnd w:id="141"/>
    <w:bookmarkStart w:id="143" w:name="sec08.3"/>
    <w:p>
      <w:pPr>
        <w:pStyle w:val="Heading2"/>
      </w:pPr>
      <w:bookmarkStart w:id="142" w:name="publicering"/>
      <w:r>
        <w:t xml:space="preserve">8.3 Publicering</w:t>
      </w:r>
      <w:bookmarkEnd w:id="14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43"/>
    <w:bookmarkEnd w:id="144"/>
    <w:bookmarkStart w:id="146" w:name="del-3"/>
    <w:p>
      <w:pPr>
        <w:pStyle w:val="Heading1"/>
      </w:pPr>
      <w:bookmarkStart w:id="145" w:name="del-3"/>
      <w:r>
        <w:t xml:space="preserve">Del 3</w:t>
      </w:r>
      <w:bookmarkEnd w:id="145"/>
    </w:p>
    <w:p>
      <w:pPr>
        <w:pStyle w:val="FirstParagraph"/>
      </w:pPr>
      <w:r>
        <w:t xml:space="preserve">I denna del av boken följer vi utvecklingen och genomförandet av ett samhällsvetenskapligt experiment.</w:t>
      </w:r>
    </w:p>
    <w:bookmarkEnd w:id="146"/>
    <w:bookmarkStart w:id="148" w:name="chap09"/>
    <w:p>
      <w:pPr>
        <w:pStyle w:val="Heading1"/>
      </w:pPr>
      <w:bookmarkStart w:id="147" w:name="kapitel"/>
      <w:r>
        <w:t xml:space="preserve">9 Kapitel</w:t>
      </w:r>
      <w:bookmarkEnd w:id="147"/>
    </w:p>
    <w:p>
      <w:pPr>
        <w:pStyle w:val="FirstParagraph"/>
      </w:pPr>
      <w:r>
        <w:t xml:space="preserve">some line</w:t>
      </w:r>
    </w:p>
    <w:bookmarkEnd w:id="148"/>
    <w:bookmarkStart w:id="153" w:name="references"/>
    <w:p>
      <w:pPr>
        <w:pStyle w:val="Heading1"/>
      </w:pPr>
      <w:bookmarkStart w:id="149" w:name="references"/>
      <w:r>
        <w:t xml:space="preserve">References</w:t>
      </w:r>
      <w:bookmarkEnd w:id="149"/>
    </w:p>
    <w:bookmarkStart w:id="152" w:name="refs"/>
    <w:bookmarkStart w:id="150" w:name="ref-einstein2002induction"/>
    <w:p>
      <w:pPr>
        <w:pStyle w:val="Bibliography"/>
      </w:pPr>
      <w:r>
        <w:t xml:space="preserve">Einstein, Albert. 2002. “Induction and Deduction in Physics. The Collected Papers of Albert Einstein, Vol. 7.” Princeton University Press.</w:t>
      </w:r>
    </w:p>
    <w:bookmarkEnd w:id="150"/>
    <w:bookmarkStart w:id="15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2021-02-08T12:57:21Z</dcterms:created>
  <dcterms:modified xsi:type="dcterms:W3CDTF">2021-02-08T12:57:21Z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2021-02-08</vt:lpwstr>
  </property>
  <property fmtid="{D5CDD505-2E9C-101B-9397-08002B2CF9AE}" pid="3" name="generator">
    <vt:lpwstr>pandoc</vt:lpwstr>
  </property>
  <property fmtid="{D5CDD505-2E9C-101B-9397-08002B2CF9AE}" pid="4" name="viewport">
    <vt:lpwstr>width=device-width, initial-scale=1</vt:lpwstr>
  </property>
</Properties>
</file>