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2020-12-07</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2020-12-07</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48"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TableCaption"/>
      </w:pPr>
      <w:r>
        <w:t xml:space="preserve">This is a test table.</w:t>
      </w:r>
    </w:p>
    <w:tbl>
      <w:tblPr>
        <w:tblStyle w:val="Table"/>
        <w:tblW w:type="pct" w:w="0.0"/>
        <w:tblLook w:firstRow="1"/>
        <w:tblCaption w:val="This is a test table."/>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pStyle w:val="Compact"/>
        <w:numPr>
          <w:numId w:val="1001"/>
          <w:ilvl w:val="0"/>
        </w:numPr>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Compact"/>
      </w:pPr>
      <w:r>
        <w:drawing>
          <wp:inline>
            <wp:extent cx="5334000" cy="3000375"/>
            <wp:effectExtent b="0" l="0" r="0" t="0"/>
            <wp:docPr descr="någon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någon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 (REF).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numId w:val="1002"/>
          <w:ilvl w:val="0"/>
        </w:numPr>
      </w:pPr>
      <w:r>
        <w:t xml:space="preserve">H1: Facebook-poster med bild på en auktoritetsperson kommer att orsaka mer visuell uppmärksamhet på posten jämfört med bilder som innehåller en neutral person.</w:t>
      </w:r>
    </w:p>
    <w:p>
      <w:pPr>
        <w:numPr>
          <w:numId w:val="1002"/>
          <w:ilvl w:val="0"/>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End w:id="48"/>
    <w:bookmarkStart w:id="116" w:name="chap07"/>
    <w:p>
      <w:pPr>
        <w:pStyle w:val="Heading1"/>
      </w:pPr>
      <w:bookmarkStart w:id="49" w:name="genomförande"/>
      <w:r>
        <w:t xml:space="preserve">7 Genomförande</w:t>
      </w:r>
      <w:bookmarkEnd w:id="49"/>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numId w:val="1003"/>
          <w:ilvl w:val="0"/>
        </w:numPr>
      </w:pPr>
      <w:r>
        <w:t xml:space="preserve">experimentell metod kan handla om att tänka baklänges, börja i hur resultaten rapporteras, och resonera sig fram till hur man ska planera studien</w:t>
      </w:r>
    </w:p>
    <w:p>
      <w:pPr>
        <w:numPr>
          <w:numId w:val="1003"/>
          <w:ilvl w:val="0"/>
        </w:numPr>
      </w:pPr>
      <w:r>
        <w:t xml:space="preserve">Ofta den första delen som skrivs när man rapporterar resultaten av en studie. Fördelaktigt att börja med en genomgång av hur studien faktiskt har genomförts.</w:t>
      </w:r>
    </w:p>
    <w:p>
      <w:pPr>
        <w:numPr>
          <w:numId w:val="1003"/>
          <w:ilvl w:val="0"/>
        </w:numPr>
      </w:pPr>
      <w:r>
        <w:t xml:space="preserve">kontrastera med metodologi, i del 1 ? Pedagogiskt att presentera efterföljande text som tre centrala beståndsdelar: 1) deltagare, 2) mätinstrument, och 3) experimentella villkor/manipulationer.</w:t>
      </w:r>
    </w:p>
    <w:bookmarkStart w:id="51" w:name="sec07.1"/>
    <w:p>
      <w:pPr>
        <w:pStyle w:val="Heading2"/>
      </w:pPr>
      <w:bookmarkStart w:id="50" w:name="pilottest"/>
      <w:r>
        <w:t xml:space="preserve">7.1 Pilottest</w:t>
      </w:r>
      <w:bookmarkEnd w:id="50"/>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 I sambad med planering och förberedelse av experimentet kommer vi också diskutera begreppet poweranalys (från engelskans power analysis).</w:t>
      </w:r>
    </w:p>
    <w:bookmarkEnd w:id="51"/>
    <w:bookmarkStart w:id="63" w:name="sec07.2"/>
    <w:p>
      <w:pPr>
        <w:pStyle w:val="Heading2"/>
      </w:pPr>
      <w:bookmarkStart w:id="52" w:name="försöksdeltagare"/>
      <w:r>
        <w:t xml:space="preserve">7.2 Försöksdeltagare</w:t>
      </w:r>
      <w:bookmarkEnd w:id="52"/>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w:t>
      </w:r>
    </w:p>
    <w:bookmarkStart w:id="54" w:name="sub07.2.1"/>
    <w:p>
      <w:pPr>
        <w:pStyle w:val="Heading3"/>
      </w:pPr>
      <w:bookmarkStart w:id="53" w:name="representativt-urval"/>
      <w:r>
        <w:t xml:space="preserve">7.2.1 Representativt urval</w:t>
      </w:r>
      <w:bookmarkEnd w:id="53"/>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54"/>
    <w:bookmarkStart w:id="56" w:name="sub07.2.2"/>
    <w:p>
      <w:pPr>
        <w:pStyle w:val="Heading3"/>
      </w:pPr>
      <w:bookmarkStart w:id="55" w:name="demografiska-egenskaper"/>
      <w:r>
        <w:t xml:space="preserve">7.2.2 Demografiska egenskaper</w:t>
      </w:r>
      <w:bookmarkEnd w:id="55"/>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 (ref).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56"/>
    <w:bookmarkStart w:id="58" w:name="sub07.2.3"/>
    <w:p>
      <w:pPr>
        <w:pStyle w:val="Heading3"/>
      </w:pPr>
      <w:bookmarkStart w:id="57" w:name="etiska-hänsynstaganden"/>
      <w:r>
        <w:t xml:space="preserve">7.2.3 Etiska hänsynstaganden</w:t>
      </w:r>
      <w:bookmarkEnd w:id="57"/>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58"/>
    <w:bookmarkStart w:id="60" w:name="sub07.2.4"/>
    <w:p>
      <w:pPr>
        <w:pStyle w:val="Heading3"/>
      </w:pPr>
      <w:bookmarkStart w:id="59" w:name="planering-av-deltagare"/>
      <w:r>
        <w:t xml:space="preserve">7.2.4 Planering av deltagare</w:t>
      </w:r>
      <w:bookmarkEnd w:id="59"/>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60"/>
    <w:bookmarkStart w:id="62" w:name="sub07.2.5"/>
    <w:p>
      <w:pPr>
        <w:pStyle w:val="Heading3"/>
      </w:pPr>
      <w:bookmarkStart w:id="61" w:name="rapportering-av-deltagare"/>
      <w:r>
        <w:t xml:space="preserve">7.2.5 Rapportering av deltagare</w:t>
      </w:r>
      <w:bookmarkEnd w:id="61"/>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62"/>
    <w:bookmarkEnd w:id="63"/>
    <w:bookmarkStart w:id="75" w:name="sec07.3"/>
    <w:p>
      <w:pPr>
        <w:pStyle w:val="Heading2"/>
      </w:pPr>
      <w:bookmarkStart w:id="64" w:name="mätinstrument"/>
      <w:r>
        <w:t xml:space="preserve">7.3 Mätinstrument</w:t>
      </w:r>
      <w:bookmarkEnd w:id="64"/>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66" w:name="sub07.3.1"/>
    <w:p>
      <w:pPr>
        <w:pStyle w:val="Heading3"/>
      </w:pPr>
      <w:bookmarkStart w:id="65" w:name="mätning-av-subjektiva-responser"/>
      <w:r>
        <w:t xml:space="preserve">7.3.1 Mätning av subjektiva responser</w:t>
      </w:r>
      <w:bookmarkEnd w:id="65"/>
    </w:p>
    <w:p>
      <w:pPr>
        <w:pStyle w:val="FirstParagraph"/>
      </w:pPr>
      <w:r>
        <w:t xml:space="preserve">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66"/>
    <w:bookmarkStart w:id="68" w:name="sub07.3.2"/>
    <w:p>
      <w:pPr>
        <w:pStyle w:val="Heading3"/>
      </w:pPr>
      <w:bookmarkStart w:id="67" w:name="mätning-av-objektiva-responser"/>
      <w:r>
        <w:t xml:space="preserve">7.3.2 Mätning av objektiva responser</w:t>
      </w:r>
      <w:bookmarkEnd w:id="67"/>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använder som stimuli i studien (se 2.2.5 nedan). Fysiologiska och beteendevetenskapliga, (mer) objektiva responser. Potentiellt bättre validitet, reliabilitet. Tillvägagångssätt, planering. Reaktionstider. Viljestyrda eller autonoma, reflexiva. Pupilldilatation eller visuell uppmärksamhet. Top-down och bottom-up</w:t>
      </w:r>
    </w:p>
    <w:bookmarkEnd w:id="68"/>
    <w:bookmarkStart w:id="70" w:name="sub07.3.3"/>
    <w:p>
      <w:pPr>
        <w:pStyle w:val="Heading3"/>
      </w:pPr>
      <w:bookmarkStart w:id="69" w:name="beroende-variabler"/>
      <w:r>
        <w:t xml:space="preserve">7.3.3 Beroende variabler</w:t>
      </w:r>
      <w:bookmarkEnd w:id="69"/>
    </w:p>
    <w:p>
      <w:pPr>
        <w:pStyle w:val="FirstParagraph"/>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w:t>
      </w:r>
    </w:p>
    <w:bookmarkEnd w:id="70"/>
    <w:bookmarkStart w:id="72" w:name="sub07.3.4"/>
    <w:p>
      <w:pPr>
        <w:pStyle w:val="Heading3"/>
      </w:pPr>
      <w:bookmarkStart w:id="71" w:name="planering-av-mätinstrument"/>
      <w:r>
        <w:t xml:space="preserve">7.3.4 Planering av mätinstrument</w:t>
      </w:r>
      <w:bookmarkEnd w:id="71"/>
    </w:p>
    <w:p>
      <w:pPr>
        <w:pStyle w:val="FirstParagraph"/>
      </w:pPr>
      <w:r>
        <w:t xml:space="preserve">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w:t>
      </w:r>
    </w:p>
    <w:bookmarkEnd w:id="72"/>
    <w:bookmarkStart w:id="74" w:name="sub07.3.5"/>
    <w:p>
      <w:pPr>
        <w:pStyle w:val="Heading3"/>
      </w:pPr>
      <w:bookmarkStart w:id="73" w:name="rapportering-av-mätinstrument"/>
      <w:r>
        <w:t xml:space="preserve">7.3.5 Rapportering av mätinstrument</w:t>
      </w:r>
      <w:bookmarkEnd w:id="73"/>
    </w:p>
    <w:p>
      <w:pPr>
        <w:pStyle w:val="FirstParagraph"/>
      </w:pPr>
      <w:r>
        <w:t xml:space="preserve">Rapportering. På engelska kallas detta avsnitt ofta för "apparatus". Exempel på hur detta skulle kunna formuleras i ett artikelmanuskript. Utgår från exempel-experimentet.</w:t>
      </w:r>
    </w:p>
    <w:bookmarkEnd w:id="74"/>
    <w:bookmarkEnd w:id="75"/>
    <w:bookmarkStart w:id="89" w:name="sec07.4"/>
    <w:p>
      <w:pPr>
        <w:pStyle w:val="Heading2"/>
      </w:pPr>
      <w:bookmarkStart w:id="76" w:name="experimentella-villkor"/>
      <w:r>
        <w:t xml:space="preserve">7.4 Experimentella villkor</w:t>
      </w:r>
      <w:bookmarkEnd w:id="76"/>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b/>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symbolen "0", medan förekomsten av en behandling (behandlingsvillkor) representeras av symbolen "1". I mer invecklade experiment kan det förekomma kombinationer av flera behandlingar (t.ex. intag av medicin</w:t>
      </w:r>
      <w:r>
        <w:t xml:space="preserve"> </w:t>
      </w:r>
      <w:r>
        <w:rPr>
          <w:b/>
        </w:rPr>
        <w:t xml:space="preserve">och</w:t>
      </w:r>
      <w:r>
        <w:t xml:space="preserve"> </w:t>
      </w:r>
      <w:r>
        <w:t xml:space="preserve">exponering för belysning) som dessutom utdelas i flera olika nivåer (t.ex.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(dvs. effekter 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 operationalisering (se tidigare avsnitt 6.2). Inom ett experiment är det även vanligt att behandlingar upprepas ett visst antal gånger, vilket kallas för försök, eller på engelska "trials" (se experimentdesign nedan).</w:t>
      </w:r>
    </w:p>
    <w:bookmarkStart w:id="78" w:name="sub07.4.1"/>
    <w:p>
      <w:pPr>
        <w:pStyle w:val="Heading3"/>
      </w:pPr>
      <w:bookmarkStart w:id="77" w:name="kontrollvillkor-och-behandlingsvillkor"/>
      <w:r>
        <w:t xml:space="preserve">7.4.1 Kontrollvillkor och behandlingsvillkor</w:t>
      </w:r>
      <w:bookmarkEnd w:id="77"/>
    </w:p>
    <w:p>
      <w:pPr>
        <w:pStyle w:val="FirstParagraph"/>
      </w:pPr>
      <w:r>
        <w:t xml:space="preserve">Låt oss återvända till bokens tänka exempel-experiment för att utveckla och konkretisera resonemanget kring experimentella villkor. Som vi har sagt tidigare, kräver den enklaste formen av experiment en kontrast mellan att deltagaren genomgår en behandling eller att de inte gör det. Att</w:t>
      </w:r>
      <w:r>
        <w:t xml:space="preserve"> </w:t>
      </w:r>
      <w:r>
        <w:rPr>
          <w:b/>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tar ett läkemedel. Men i ett samhällsvetenskapligt experiment kan det vara betydligt svårare att definiera vad som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nog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78"/>
    <w:bookmarkStart w:id="80" w:name="sub07.4.2"/>
    <w:p>
      <w:pPr>
        <w:pStyle w:val="Heading3"/>
      </w:pPr>
      <w:bookmarkStart w:id="79" w:name="oberoende-variabler"/>
      <w:r>
        <w:t xml:space="preserve">7.4.2 Oberoende variabler</w:t>
      </w:r>
      <w:bookmarkEnd w:id="79"/>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b/>
        </w:rPr>
        <w:t xml:space="preserve">beroende variabler</w:t>
      </w:r>
      <w:r>
        <w:t xml:space="preserve"> </w:t>
      </w:r>
      <w:r>
        <w:t xml:space="preserve">kopplade till deltagarnas responser), samt vilka variabler som varieras eller manipuleras i undersökningen (oftast en eller flera</w:t>
      </w:r>
      <w:r>
        <w:t xml:space="preserve"> </w:t>
      </w:r>
      <w:r>
        <w:rPr>
          <w:b/>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p>
      <w:pPr>
        <w:pStyle w:val="BodyText"/>
      </w:pPr>
      <w:r>
        <w:t xml:space="preserve">En viss uppgift eller instruktion kan också vara ett experimentellt villkor. I sådana fall kontrasteras ofta denna uppgift mot ett kontrollvillkor där ingen uppgift eller instruktion förekommer (t.ex. fri interaktion)</w:t>
      </w:r>
    </w:p>
    <w:p>
      <w:pPr>
        <w:pStyle w:val="BodyText"/>
      </w:pPr>
      <w:r>
        <w:t xml:space="preserve">Till skillnad från beroende variabler, ofta kategoriska, faktorer med nivåer.</w:t>
      </w:r>
    </w:p>
    <w:bookmarkEnd w:id="80"/>
    <w:bookmarkStart w:id="82" w:name="sub07.4.3"/>
    <w:p>
      <w:pPr>
        <w:pStyle w:val="Heading3"/>
      </w:pPr>
      <w:bookmarkStart w:id="81" w:name="kontrollvariabler"/>
      <w:r>
        <w:t xml:space="preserve">7.4.3 Kontrollvariabler</w:t>
      </w:r>
      <w:bookmarkEnd w:id="81"/>
    </w:p>
    <w:p>
      <w:pPr>
        <w:pStyle w:val="FirstParagraph"/>
      </w:pPr>
      <w:r>
        <w:t xml:space="preserve">En annan faktor som har stor betydelse i samband med urvalet av</w:t>
      </w:r>
    </w:p>
    <w:bookmarkEnd w:id="82"/>
    <w:bookmarkStart w:id="84" w:name="sub07.4.4"/>
    <w:p>
      <w:pPr>
        <w:pStyle w:val="Heading3"/>
      </w:pPr>
      <w:bookmarkStart w:id="83" w:name="utrustning-och-materiel"/>
      <w:r>
        <w:t xml:space="preserve">7.4.4 Utrustning och materiel</w:t>
      </w:r>
      <w:bookmarkEnd w:id="83"/>
    </w:p>
    <w:p>
      <w:pPr>
        <w:pStyle w:val="FirstParagraph"/>
      </w:pPr>
      <w:r>
        <w:t xml:space="preserve">Implementation (operationalisering) av abstrakt villkor till konkret behandling. Kan vara intag av en medicinsk substans eller exponering för ett visuellt stimuli (material).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p>
      <w:pPr>
        <w:pStyle w:val="BodyText"/>
      </w:pPr>
      <w:r>
        <w:t xml:space="preserve">Generellt: Utrustning som används för att på ett kontrollerat sätt generera eller presentera ett 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84"/>
    <w:bookmarkStart w:id="86" w:name="sub07.4.5"/>
    <w:p>
      <w:pPr>
        <w:pStyle w:val="Heading3"/>
      </w:pPr>
      <w:bookmarkStart w:id="85" w:name="planering-av-experimentella-villkor"/>
      <w:r>
        <w:t xml:space="preserve">7.4.5 Planering av experimentella villkor</w:t>
      </w:r>
      <w:bookmarkEnd w:id="85"/>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bookmarkEnd w:id="86"/>
    <w:bookmarkStart w:id="88" w:name="sub07.4.6"/>
    <w:p>
      <w:pPr>
        <w:pStyle w:val="Heading3"/>
      </w:pPr>
      <w:bookmarkStart w:id="87" w:name="rapportering-av-experimentella-villkor"/>
      <w:r>
        <w:t xml:space="preserve">7.4.6 Rapportering av experimentella villkor</w:t>
      </w:r>
      <w:bookmarkEnd w:id="87"/>
    </w:p>
    <w:p>
      <w:pPr>
        <w:pStyle w:val="FirstParagraph"/>
      </w:pPr>
      <w:r>
        <w:t xml:space="preserve">Rapportering - exempel på hur detta skulle kunna formuleras i ett manuskript</w:t>
      </w:r>
    </w:p>
    <w:bookmarkEnd w:id="88"/>
    <w:bookmarkEnd w:id="89"/>
    <w:bookmarkStart w:id="111" w:name="sec07.5"/>
    <w:p>
      <w:pPr>
        <w:pStyle w:val="Heading2"/>
      </w:pPr>
      <w:bookmarkStart w:id="90" w:name="experimentell-design"/>
      <w:r>
        <w:t xml:space="preserve">7.5 Experimentell design</w:t>
      </w:r>
      <w:bookmarkEnd w:id="90"/>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 för att rekrytera försöksdeltagare som delas in i två grupper, där en grupp får en overksam spruta med saltvattenlösning, och deltagare i den andra gruppen får en spruta med det nya vaccinet. Vi säger därför att detta experiment har en</w:t>
      </w:r>
      <w:r>
        <w:t xml:space="preserve"> </w:t>
      </w:r>
      <w:r>
        <w:rPr>
          <w:b/>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är enklare att tolka. Enklare experimentella designer består ofta bara av en enda oberoende variabel som kan vara antingen kontinuerlig eller diskret (). När man designar ett experiment försöker man ofta passa på att</w:t>
      </w:r>
    </w:p>
    <w:p>
      <w:pPr>
        <w:pStyle w:val="BodyText"/>
      </w:pPr>
      <w:r>
        <w:t xml:space="preserve">Även om enkla experiment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skapar stor individuell variation. Här krävs alltså experimentdesigner som är mer robusta i på grund av brusiga datainsamlingar innehållande flera potentiella felkällor. En lösning på detta problem är så kallad</w:t>
      </w:r>
      <w:r>
        <w:t xml:space="preserve"> </w:t>
      </w:r>
      <w:r>
        <w:rPr>
          <w:b/>
        </w:rPr>
        <w:t xml:space="preserve">inomgruppsdesign</w:t>
      </w:r>
      <w:r>
        <w:t xml:space="preserve">, vilket vi ska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 och en verksam medicin vid samma tillfälle.</w:t>
      </w:r>
    </w:p>
    <w:bookmarkStart w:id="92" w:name="sub07.5.1"/>
    <w:p>
      <w:pPr>
        <w:pStyle w:val="Heading3"/>
      </w:pPr>
      <w:bookmarkStart w:id="91" w:name="instruktioner-och-uppgifter"/>
      <w:r>
        <w:t xml:space="preserve">7.5.1 Instruktioner och uppgifter</w:t>
      </w:r>
      <w:bookmarkEnd w:id="91"/>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Dessa instruktioner är i sig en viktig aspekt av experimentet, eftersom forskaren därigenom försöker uppnå en standardiserad 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("free-viewing"), medan den andra hälften får instruktionen att försöka hitta ett specifikt objekt i varje bild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användbar variabel.</w:t>
      </w:r>
    </w:p>
    <w:bookmarkEnd w:id="92"/>
    <w:bookmarkStart w:id="94" w:name="sub07.5.2"/>
    <w:p>
      <w:pPr>
        <w:pStyle w:val="Heading3"/>
      </w:pPr>
      <w:bookmarkStart w:id="93" w:name="randomisering-och-balansering"/>
      <w:r>
        <w:t xml:space="preserve">7.5.2 Randomisering och balansering</w:t>
      </w:r>
      <w:bookmarkEnd w:id="93"/>
    </w:p>
    <w:p>
      <w:pPr>
        <w:pStyle w:val="FirstParagraph"/>
      </w:pPr>
      <w:r>
        <w:t xml:space="preserve">Vi har hittills diskuterat de individer som deltar i experiment (7.2 Försöksdeltagare), de beroende variabler experimentet undersöker hos deltagarna (7.3 Mätinstrument), samt de behandlingar som dessa individer genomgår (7.4 Experimentella villkor). När vi nu fortsätter med att diskutera experimentdesign (7.5), är förmodligen en av de viktigaste aspekterna begreppet "randomisering" (ref, Fisher). Randomisering är så centralt att det ibland tas för givet inom den experimentella forskningen. Dock kan detta utgöra ett av de mer krävande momenten i att designa ett experiment för studenter och yngre forskare, eftersom randomisering ofta kräver grundläggande kunskaper i programmering för att realiseras.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(krona eller klave) tilldelar deltagaren ett av de två villkoren. Med tillräckligt många deltagare förutsäger slumpens lagar att fördelningen mellan två experimentella villkor kommer bli ungefär 50%,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(jfr. 7.2.4).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 två eller flera behandlingsvillkor, eller om varje deltagare genomgår flera villkor, eller om experimentet innehåller någon kombination av dessa situationer. Betänk experimentdesignen som visas i tabellen nedan, där varje deltager genomgår kontrollvillkoret samt två olika behandlingsvillkor.</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Stimulus 1</w:t>
            </w:r>
          </w:p>
        </w:tc>
        <w:tc>
          <w:tcPr>
            <w:tcBorders>
              <w:bottom w:val="single"/>
            </w:tcBorders>
            <w:vAlign w:val="bottom"/>
          </w:tcPr>
          <w:p>
            <w:pPr>
              <w:pStyle w:val="Compact"/>
              <w:jc w:val="left"/>
            </w:pPr>
            <w:r>
              <w:t xml:space="preserve">Stimulus 2</w:t>
            </w:r>
          </w:p>
        </w:tc>
        <w:tc>
          <w:tcPr>
            <w:tcBorders>
              <w:bottom w:val="single"/>
            </w:tcBorders>
            <w:vAlign w:val="bottom"/>
          </w:tcPr>
          <w:p>
            <w:pPr>
              <w:pStyle w:val="Compact"/>
              <w:jc w:val="left"/>
            </w:pPr>
            <w:r>
              <w:t xml:space="preserve">Stimulus 3</w:t>
            </w: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Behandling A</w:t>
            </w:r>
          </w:p>
        </w:tc>
        <w:tc>
          <w:p>
            <w:pPr>
              <w:pStyle w:val="Compact"/>
              <w:jc w:val="left"/>
            </w:pPr>
            <w:r>
              <w:t xml:space="preserve">Kontroll</w:t>
            </w:r>
          </w:p>
        </w:tc>
        <w:tc>
          <w:p>
            <w:pPr>
              <w:pStyle w:val="Compact"/>
              <w:jc w:val="left"/>
            </w:pPr>
            <w:r>
              <w:t xml:space="preserve">Behandling B</w:t>
            </w:r>
          </w:p>
        </w:tc>
        <w:tc>
          <w:p/>
        </w:tc>
      </w:tr>
      <w:tr>
        <w:tc>
          <w:p>
            <w:pPr>
              <w:pStyle w:val="Compact"/>
              <w:jc w:val="left"/>
            </w:pPr>
            <w:r>
              <w:t xml:space="preserve">Deltagare 3 &gt;</w:t>
            </w:r>
          </w:p>
        </w:tc>
        <w:tc>
          <w:p>
            <w:pPr>
              <w:pStyle w:val="Compact"/>
              <w:jc w:val="left"/>
            </w:pPr>
            <w:r>
              <w:t xml:space="preserve">Behandling B</w:t>
            </w:r>
          </w:p>
        </w:tc>
        <w:tc>
          <w:p>
            <w:pPr>
              <w:pStyle w:val="Compact"/>
              <w:jc w:val="left"/>
            </w:pPr>
            <w:r>
              <w:t xml:space="preserve">Behandling A</w:t>
            </w:r>
          </w:p>
        </w:tc>
        <w:tc>
          <w:p>
            <w:pPr>
              <w:pStyle w:val="Compact"/>
              <w:jc w:val="left"/>
            </w:pPr>
            <w:r>
              <w:t xml:space="preserve">Kontroll</w:t>
            </w:r>
          </w:p>
        </w:tc>
        <w:tc>
          <w:p/>
        </w:tc>
      </w:tr>
      <w:tr>
        <w:tc>
          <w:p>
            <w:pPr>
              <w:pStyle w:val="Compact"/>
              <w:jc w:val="left"/>
            </w:pPr>
            <w:r>
              <w:t xml:space="preserve">...</w:t>
            </w:r>
          </w:p>
        </w:tc>
        <w:tc>
          <w:p/>
        </w:tc>
        <w:tc>
          <w:p/>
        </w:tc>
        <w:tc>
          <w:p/>
        </w:tc>
        <w:tc>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 min (Kontroll), medan det andra ansiktet visar en ledsen min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Mest kritiskt i studier med inomgruppsdesign och upprepade villkor.</w:t>
      </w:r>
    </w:p>
    <w:bookmarkEnd w:id="94"/>
    <w:bookmarkStart w:id="96" w:name="sub07.5.3"/>
    <w:p>
      <w:pPr>
        <w:pStyle w:val="Heading3"/>
      </w:pPr>
      <w:bookmarkStart w:id="95" w:name="mellangruppsdesign"/>
      <w:r>
        <w:t xml:space="preserve">7.5.3 Mellangruppsdesign</w:t>
      </w:r>
      <w:bookmarkEnd w:id="95"/>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testas) eller ingen behandling (t.ex. ett sockerpiller som antas vara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odyText"/>
      </w:pPr>
      <w:r>
        <w:t xml:space="preserve">Ett typisk kommunikationsvetenskapligt exemplet på mellangruppsdesign är ett så kallat AB-test. Expandera.</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ody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ody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ody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bookmarkEnd w:id="96"/>
    <w:bookmarkStart w:id="98" w:name="sub07.5.4"/>
    <w:p>
      <w:pPr>
        <w:pStyle w:val="Heading3"/>
      </w:pPr>
      <w:bookmarkStart w:id="97" w:name="inomgruppsdesign"/>
      <w:r>
        <w:t xml:space="preserve">7.5.4 Inomgruppsdesign</w:t>
      </w:r>
      <w:bookmarkEnd w:id="97"/>
    </w:p>
    <w:p>
      <w:pPr>
        <w:pStyle w:val="FirstParagraph"/>
      </w:pPr>
      <w:r>
        <w:t xml:space="preserve">Ett sätt att åtgärda en del av svagheterna med mellangruppsdesign är att istället använda experiment med inomgruppsdesign, ibland även kallat inompersonsdesign, eller på engelska "within-subjects design". Det främsta kännetecknet för denna experimentdesign är att varje deltagare ingår i studiens alla villkor, både kontrollvillkor och experimentella villkor. Detta innebär således att varje försöksdeltagare jämförs med sig själv mellan undersökningens villkor. En betydande fördel med en sådan experimentdesign är att man därigenom kan kontrollera för individuella skillnader mellan deltagare, och att effekten av denna bruskälla därför blir mindre när man kontrasterar mätningar av någon responsvariabel mellan experimentella villkor (variansen inom varje villkor blir mindre). 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ody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odyText"/>
      </w:pPr>
      <w:r>
        <w:t xml:space="preserve">Diskutera expempel experiment med Facebook-poster enligt ett upplägg med inomgruppsdesign.</w:t>
      </w:r>
    </w:p>
    <w:bookmarkEnd w:id="98"/>
    <w:bookmarkStart w:id="100" w:name="sub07.5.5"/>
    <w:p>
      <w:pPr>
        <w:pStyle w:val="Heading3"/>
      </w:pPr>
      <w:bookmarkStart w:id="99" w:name="upprepade-villkor"/>
      <w:r>
        <w:t xml:space="preserve">7.5.5 Upprepade villkor</w:t>
      </w:r>
      <w:bookmarkEnd w:id="99"/>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odyText"/>
      </w:pPr>
      <w:r>
        <w:t xml:space="preserve">Diskutera expempel experiment med Facebook-poster enligt ett upplägg med mellangruppsdesign och upprepade villkor.</w:t>
      </w:r>
    </w:p>
    <w:bookmarkEnd w:id="100"/>
    <w:bookmarkStart w:id="102" w:name="sub07.5.6"/>
    <w:p>
      <w:pPr>
        <w:pStyle w:val="Heading3"/>
      </w:pPr>
      <w:bookmarkStart w:id="101" w:name="faktoriell-design"/>
      <w:r>
        <w:t xml:space="preserve">7.5.6 Faktoriell design</w:t>
      </w:r>
      <w:bookmarkEnd w:id="101"/>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ody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bookmarkEnd w:id="102"/>
    <w:bookmarkStart w:id="104" w:name="sub07.5.7"/>
    <w:p>
      <w:pPr>
        <w:pStyle w:val="Heading3"/>
      </w:pPr>
      <w:bookmarkStart w:id="103" w:name="naturliga-experiment"/>
      <w:r>
        <w:t xml:space="preserve">7.5.7 Naturliga experiment</w:t>
      </w:r>
      <w:bookmarkEnd w:id="103"/>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w:t>
      </w:r>
    </w:p>
    <w:bookmarkEnd w:id="104"/>
    <w:bookmarkStart w:id="106" w:name="sub07.5.8"/>
    <w:p>
      <w:pPr>
        <w:pStyle w:val="Heading3"/>
      </w:pPr>
      <w:bookmarkStart w:id="105" w:name="kvasi-experiment"/>
      <w:r>
        <w:t xml:space="preserve">7.5.8 Kvasi-experiment</w:t>
      </w:r>
      <w:bookmarkEnd w:id="105"/>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w:t>
      </w:r>
    </w:p>
    <w:bookmarkEnd w:id="106"/>
    <w:bookmarkStart w:id="108" w:name="sub07.5.9"/>
    <w:p>
      <w:pPr>
        <w:pStyle w:val="Heading3"/>
      </w:pPr>
      <w:bookmarkStart w:id="107" w:name="planering-av-experimentdesign"/>
      <w:r>
        <w:t xml:space="preserve">7.5.9 Planering av experimentdesign</w:t>
      </w:r>
      <w:bookmarkEnd w:id="107"/>
    </w:p>
    <w:p>
      <w:pPr>
        <w:pStyle w:val="FirstParagraph"/>
      </w:pPr>
      <w:r>
        <w:t xml:space="preserve">Håll designen så enkel som möjligt för att underlätta tolkningen av resultat. Helst inte mer än 2x2 design. - diskutera utifrån exempel-experiment med bildinnehåll hos Facebook-poster</w:t>
      </w:r>
    </w:p>
    <w:p>
      <w:pPr>
        <w:pStyle w:val="BodyText"/>
      </w:pPr>
      <w:r>
        <w:t xml:space="preserve">bild kommer ovan</w:t>
      </w:r>
    </w:p>
    <w:bookmarkEnd w:id="108"/>
    <w:bookmarkStart w:id="110" w:name="sub07.5.10"/>
    <w:p>
      <w:pPr>
        <w:pStyle w:val="Heading3"/>
      </w:pPr>
      <w:bookmarkStart w:id="109" w:name="rapportering-av-experimentdesign"/>
      <w:r>
        <w:t xml:space="preserve">7.5.10 Rapportering av experimentdesign</w:t>
      </w:r>
      <w:bookmarkEnd w:id="109"/>
    </w:p>
    <w:p>
      <w:pPr>
        <w:pStyle w:val="FirstParagraph"/>
      </w:pPr>
      <w:r>
        <w:t xml:space="preserve">Håll designen så enkel som möjligt för att underlätta tolkningen av resultat. Helst inte mer än 2x2 design.</w:t>
      </w:r>
    </w:p>
    <w:bookmarkEnd w:id="110"/>
    <w:bookmarkEnd w:id="111"/>
    <w:bookmarkStart w:id="113" w:name="sec07.6"/>
    <w:p>
      <w:pPr>
        <w:pStyle w:val="Heading2"/>
      </w:pPr>
      <w:bookmarkStart w:id="112" w:name="procedur"/>
      <w:r>
        <w:t xml:space="preserve">7.6 Procedur</w:t>
      </w:r>
      <w:bookmarkEnd w:id="112"/>
    </w:p>
    <w:p>
      <w:pPr>
        <w:pStyle w:val="FirstParagraph"/>
      </w:pPr>
      <w:r>
        <w:t xml:space="preserve">some line</w:t>
      </w:r>
    </w:p>
    <w:p>
      <w:pPr>
        <w:pStyle w:val="Compact"/>
        <w:numPr>
          <w:numId w:val="1004"/>
          <w:ilvl w:val="0"/>
        </w:numPr>
      </w:pPr>
      <w:r>
        <w:t xml:space="preserve">reliabilitet, standardisering, alla deltagare genomgår samma procedur, externa faktorer hålls så konstanta som möjligt -</w:t>
      </w:r>
      <w:r>
        <w:t xml:space="preserve"> </w:t>
      </w:r>
      <w:r>
        <w:rPr>
          <w:b/>
        </w:rPr>
        <w:t xml:space="preserve">Instruktion</w:t>
      </w:r>
      <w:r>
        <w:t xml:space="preserve">,</w:t>
      </w:r>
      <w:r>
        <w:t xml:space="preserve"> </w:t>
      </w:r>
      <w:r>
        <w:rPr>
          <w:b/>
        </w:rPr>
        <w:t xml:space="preserve">uppgift</w:t>
      </w:r>
      <w:r>
        <w:t xml:space="preserve">, dvs läs Facebook-artiklarna och bedöm sedan trovärdighet på en ordinal skala. Alternativt kan den skarpa uppgiften döljas, och istället ger man en skenuppgift till deltagarna för att hålla dem naiva om experimentets syfte och undvika bias</w:t>
      </w:r>
    </w:p>
    <w:bookmarkEnd w:id="113"/>
    <w:bookmarkStart w:id="115" w:name="sec07.7"/>
    <w:p>
      <w:pPr>
        <w:pStyle w:val="Heading2"/>
      </w:pPr>
      <w:bookmarkStart w:id="114" w:name="dataanalys"/>
      <w:r>
        <w:t xml:space="preserve">7.7 Dataanalys</w:t>
      </w:r>
      <w:bookmarkEnd w:id="114"/>
    </w:p>
    <w:p>
      <w:pPr>
        <w:pStyle w:val="FirstParagraph"/>
      </w:pPr>
      <w:r>
        <w:t xml:space="preserve">Beräkning av beroende och oberoende variabler - aggregering, summativt index</w:t>
      </w:r>
    </w:p>
    <w:bookmarkEnd w:id="115"/>
    <w:bookmarkEnd w:id="116"/>
    <w:bookmarkStart w:id="136" w:name="chap08"/>
    <w:p>
      <w:pPr>
        <w:pStyle w:val="Heading1"/>
      </w:pPr>
      <w:bookmarkStart w:id="117" w:name="efterarbete"/>
      <w:r>
        <w:t xml:space="preserve">8 Efterarbete</w:t>
      </w:r>
      <w:bookmarkEnd w:id="117"/>
    </w:p>
    <w:p>
      <w:pPr>
        <w:pStyle w:val="FirstParagraph"/>
      </w:pPr>
      <w:r>
        <w:t xml:space="preserve">Denna text kommer är tänkt att ersätta sektion 08 resultat och 09 diskussion. Därmed frångår boken den tidigare indelningen enligt IMRD.</w:t>
      </w:r>
    </w:p>
    <w:bookmarkStart w:id="125" w:name="sec08.1"/>
    <w:p>
      <w:pPr>
        <w:pStyle w:val="Heading2"/>
      </w:pPr>
      <w:bookmarkStart w:id="118" w:name="resultat"/>
      <w:r>
        <w:t xml:space="preserve">8.1 Resultat</w:t>
      </w:r>
      <w:bookmarkEnd w:id="118"/>
    </w:p>
    <w:p>
      <w:pPr>
        <w:pStyle w:val="FirstParagraph"/>
      </w:pPr>
      <w:r>
        <w:t xml:space="preserve">Här hänvisar vi främst läsaren till befintlig litteratur inom statistiska metoder</w:t>
      </w:r>
    </w:p>
    <w:p>
      <w:pPr>
        <w:pStyle w:val="BodyText"/>
      </w:pPr>
      <w:r>
        <w:t xml:space="preserve">Liksom i det föregående metodkapitlet, kommer vi detta kapitel</w:t>
      </w:r>
    </w:p>
    <w:p>
      <w:pPr>
        <w:pStyle w:val="BodyText"/>
      </w:pPr>
      <w:r>
        <w:t xml:space="preserve">- prediction vs. fitting (meningsfulla modeller kan vara viktigare än prediktion, retro-fitting hypotheses).</w:t>
      </w:r>
    </w:p>
    <w:bookmarkStart w:id="120" w:name="sub08.1.1"/>
    <w:p>
      <w:pPr>
        <w:pStyle w:val="Heading3"/>
      </w:pPr>
      <w:bookmarkStart w:id="119" w:name="deskriptiv-statistik"/>
      <w:r>
        <w:t xml:space="preserve">8.1.1 Deskriptiv statistik</w:t>
      </w:r>
      <w:bookmarkEnd w:id="119"/>
    </w:p>
    <w:p>
      <w:pPr>
        <w:pStyle w:val="FirstParagraph"/>
      </w:pPr>
      <w:r>
        <w:t xml:space="preserve">Här kommer lite Brödtext igen. Här ko</w:t>
      </w:r>
    </w:p>
    <w:p>
      <w:pPr>
        <w:pStyle w:val="BodyText"/>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20"/>
    <w:bookmarkStart w:id="122" w:name="sub08.1.2"/>
    <w:p>
      <w:pPr>
        <w:pStyle w:val="Heading3"/>
      </w:pPr>
      <w:bookmarkStart w:id="121" w:name="inferentiell-statistik"/>
      <w:r>
        <w:t xml:space="preserve">8.1.2 Inferentiell statistik</w:t>
      </w:r>
      <w:bookmarkEnd w:id="121"/>
    </w:p>
    <w:p>
      <w:pPr>
        <w:pStyle w:val="FirstParagraph"/>
      </w:pPr>
      <w:r>
        <w:t xml:space="preserve">Här kommer nåt om causal inference. In statistical hypothesis testing a type I error is the rejection of a true null hypothesis (also known as a "false positive" finding or conclusion), while a type II error is the non-rejection of a false null hypothesis (also known as a "false negative" finding or conclusion</w:t>
      </w:r>
    </w:p>
    <w:p>
      <w:pPr>
        <w:pStyle w:val="BodyText"/>
      </w:pPr>
      <w:r>
        <w:t xml:space="preserve">\[1\]</w:t>
      </w:r>
      <w:r>
        <w:t xml:space="preserve">). Much of statistical theory revolves around the minimization of one or both of these errors, though the complete elimination of either is a statistical impossibility for non-deterministic algorithms.</w:t>
      </w:r>
    </w:p>
    <w:bookmarkEnd w:id="122"/>
    <w:bookmarkStart w:id="124" w:name="sub08.1.3"/>
    <w:p>
      <w:pPr>
        <w:pStyle w:val="Heading3"/>
      </w:pPr>
      <w:bookmarkStart w:id="123" w:name="presentation-av-statistik"/>
      <w:r>
        <w:t xml:space="preserve">8.1.3 Presentation av statistik</w:t>
      </w:r>
      <w:bookmarkEnd w:id="123"/>
    </w:p>
    <w:p>
      <w:pPr>
        <w:pStyle w:val="FirstParagraph"/>
      </w:pPr>
      <w:r>
        <w:t xml:space="preserve">Här kommer något om diagram och visualiseringar.</w:t>
      </w:r>
    </w:p>
    <w:bookmarkEnd w:id="124"/>
    <w:bookmarkEnd w:id="125"/>
    <w:bookmarkStart w:id="133" w:name="sec08.2"/>
    <w:p>
      <w:pPr>
        <w:pStyle w:val="Heading2"/>
      </w:pPr>
      <w:bookmarkStart w:id="126" w:name="diskussion"/>
      <w:r>
        <w:t xml:space="preserve">8.2 Diskussion</w:t>
      </w:r>
      <w:bookmarkEnd w:id="126"/>
    </w:p>
    <w:p>
      <w:pPr>
        <w:pStyle w:val="FirstParagraph"/>
      </w:pPr>
      <w:r>
        <w:t xml:space="preserve">Här skulle man kunna använda sig av en domstolsmetafor. Den experimentella studien är genomförd och nu står insamlat material och experimentdesign åtalad för att visa något. Bevis, evidens, circumstantial evidence, alias. Forskaren antar både rollen som åklagare och försvarsadvokat (noll-hypotes). Kan läggas i 8.1 också.</w:t>
      </w:r>
    </w:p>
    <w:p>
      <w:pPr>
        <w:pStyle w:val="BodyText"/>
      </w:pPr>
      <w:r>
        <w:t xml:space="preserve">Vi skulle kunna tänka oss ett experiment som inte involverar mänskliga försöksdeltagare. T.ex.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bookmarkStart w:id="128" w:name="sub08.2.1"/>
    <w:p>
      <w:pPr>
        <w:pStyle w:val="Heading3"/>
      </w:pPr>
      <w:bookmarkStart w:id="127" w:name="hypoteser-och-empiriska-resultat"/>
      <w:r>
        <w:t xml:space="preserve">8.2.1 Hypoteser och empiriska resultat</w:t>
      </w:r>
      <w:bookmarkEnd w:id="127"/>
    </w:p>
    <w:p>
      <w:pPr>
        <w:pStyle w:val="FirstParagraph"/>
      </w:pPr>
      <w:r>
        <w:t xml:space="preserve">Relatera faktiska observationer till ursprungliga förväntade hypoteser. Här kommer lite Brödtext igen. Här ko</w:t>
      </w:r>
    </w:p>
    <w:bookmarkEnd w:id="128"/>
    <w:bookmarkStart w:id="130" w:name="sub08.2.2"/>
    <w:p>
      <w:pPr>
        <w:pStyle w:val="Heading3"/>
      </w:pPr>
      <w:bookmarkStart w:id="129" w:name="alternativa-förklaringar-till-resultat"/>
      <w:r>
        <w:t xml:space="preserve">8.2.2 Alternativa förklaringar till resultat</w:t>
      </w:r>
      <w:bookmarkEnd w:id="129"/>
    </w:p>
    <w:p>
      <w:pPr>
        <w:pStyle w:val="FirstParagraph"/>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30"/>
    <w:bookmarkStart w:id="132" w:name="sub08.2.3"/>
    <w:p>
      <w:pPr>
        <w:pStyle w:val="Heading3"/>
      </w:pPr>
      <w:bookmarkStart w:id="131" w:name="framtida-forskning"/>
      <w:r>
        <w:t xml:space="preserve">8.2.3 Framtida forskning</w:t>
      </w:r>
      <w:bookmarkEnd w:id="131"/>
    </w:p>
    <w:p>
      <w:pPr>
        <w:pStyle w:val="FirstParagraph"/>
      </w:pPr>
      <w:r>
        <w:t xml:space="preserve">Hkommer lite Brödtext igen. Här kommer lite Brödtext igen. Här kommer lite Brödtext igen.</w:t>
      </w:r>
    </w:p>
    <w:bookmarkEnd w:id="132"/>
    <w:bookmarkEnd w:id="133"/>
    <w:bookmarkStart w:id="135" w:name="sec08.3"/>
    <w:p>
      <w:pPr>
        <w:pStyle w:val="Heading2"/>
      </w:pPr>
      <w:bookmarkStart w:id="134" w:name="publicering"/>
      <w:r>
        <w:t xml:space="preserve">8.3 Publicering</w:t>
      </w:r>
      <w:bookmarkEnd w:id="134"/>
    </w:p>
    <w:p>
      <w:pPr>
        <w:pStyle w:val="FirstParagraph"/>
      </w:pPr>
      <w:r>
        <w:t xml:space="preserve">I denna del av boken följer vi, i illustrativt syfte,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För att undersöka dessa forskningsfrågor närmare behöver vi låta flera Facebook-användare läsa ett antal Facebook-poster medan vi observerar dem och samlar in empiriska data om hur de läste varje post, och därefter rapporterade hur pass trovärdiga de tyckte att dessa poster var. I detta tänkta experiment kommer vi därför att använda oss av en metod för ögonrörelsemätning för att exakt studera hur användarna bearbetar Facebook-posterna visuellt, och därefter får läsarna fylla i en webbenkät och besvara hur de upplevde trovärdigheten hos varje Facebook-post. Därmed försöker studien både mäta människors objektiva beteende (ögonrörelsemätning) och deras subjektiva attityder (survey-frågor om trovärdighet). Genom att ha detta hypotetiska experiment som underlag hoppas vi att det blir lättare för läsaren att följa en röd tråd genom planering, genomförande och rapportering av en experimentell studie.</w:t>
      </w:r>
    </w:p>
    <w:p>
      <w:pPr>
        <w:pStyle w:val="BodyText"/>
      </w:pPr>
      <w:r>
        <w:t xml:space="preserve">Eftersom detta tänkta experimentet innehåller olika metoder för datainsamling, och genom att texten ofta skiftar fokus mellan dessa metoder, hoppas vi att denna lärobok kan bli relevant för olika samhällsvetenskapliga discipliner, från psykologi till strategisk kommunikation. I praktiken hade kanske vårt hypotetiska experiment kunnat genomföras inom vilken samhällsvetenskaplig disciplin som helst som har tvärvetenskapliga ambitioner. Där sammanhanget kräver, kommer vi också att exemplifiera med andra typer av experimentella paradigm, bland annat så kallade "AB split test" inom digital marknadsföring webboptimering, och medicinska studier med kontrollgrupp och behandlingsgrupp. Exemplen kommer att hämtas från ett brett urval av vetenskapliga discipliner för att läsaren ska få en känsla för hur experimentella studier skulle kunna implementeras inom det egna ämnet.</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odyText"/>
      </w:pPr>
      <w:r>
        <w:t xml:space="preserve">Tabell 2.1 Resultatrapportering av en experimentell studie</w:t>
      </w:r>
    </w:p>
    <w:tbl>
      <w:tblPr>
        <w:tblStyle w:val="Table"/>
        <w:tblW w:type="pct" w:w="0.0"/>
        <w:tblLook w:firstRow="1"/>
      </w:tblPr>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t xml:space="preserve">Introduktion. I denna del av en artikel behandlas tidigare forskning och hur hypoteserna för vår egen studie har härletts från tidigare resultat inom samma ämne.</w:t>
            </w:r>
          </w:p>
        </w:tc>
        <w:tc>
          <w:p>
            <w:pPr>
              <w:pStyle w:val="Compact"/>
              <w:jc w:val="left"/>
            </w:pPr>
            <w:r>
              <w:t xml:space="preserve">Kapitel 6 (s NN)</w:t>
            </w:r>
          </w:p>
        </w:tc>
      </w:tr>
      <w:tr>
        <w:tc>
          <w:p>
            <w:pPr>
              <w:pStyle w:val="Compact"/>
              <w:jc w:val="left"/>
            </w:pPr>
            <w:r>
              <w:t xml:space="preserve">M</w:t>
            </w:r>
          </w:p>
        </w:tc>
        <w:tc>
          <w:p>
            <w:pPr>
              <w:pStyle w:val="Compact"/>
              <w:jc w:val="left"/>
            </w:pPr>
            <w:r>
              <w:t xml:space="preserve">Metod. I denna del behandlas experimentets utformning. Denna del måste vara tillräckligt detaljerad för att andra forskare inom samma ämne ska kunna upprepa (replikera) vår egen studie.</w:t>
            </w:r>
          </w:p>
        </w:tc>
        <w:tc>
          <w:p>
            <w:pPr>
              <w:pStyle w:val="Compact"/>
              <w:jc w:val="left"/>
            </w:pPr>
            <w:r>
              <w:t xml:space="preserve">Kapitel 7 (s NN)</w:t>
            </w:r>
          </w:p>
        </w:tc>
      </w:tr>
      <w:tr>
        <w:tc>
          <w:p>
            <w:pPr>
              <w:pStyle w:val="Compact"/>
              <w:jc w:val="left"/>
            </w:pPr>
            <w:r>
              <w:t xml:space="preserve">R</w:t>
            </w:r>
          </w:p>
        </w:tc>
        <w:tc>
          <w:p>
            <w:pPr>
              <w:pStyle w:val="Compact"/>
              <w:jc w:val="left"/>
            </w:pPr>
            <w:r>
              <w:t xml:space="preserve">Resultat. Denna del rapporterar kortfattat de faktiska resultaten av vårt experiment, och relaterar dessa till de förväntade resultat som uttrycktes i studiens hypoteser.</w:t>
            </w:r>
          </w:p>
        </w:tc>
        <w:tc>
          <w:p>
            <w:pPr>
              <w:pStyle w:val="Compact"/>
              <w:jc w:val="left"/>
            </w:pPr>
            <w:r>
              <w:t xml:space="preserve">Kapitel 8 (s NN)</w:t>
            </w:r>
          </w:p>
        </w:tc>
      </w:tr>
      <w:tr>
        <w:tc>
          <w:p>
            <w:pPr>
              <w:pStyle w:val="Compact"/>
              <w:jc w:val="left"/>
            </w:pPr>
            <w:r>
              <w:t xml:space="preserve">D</w:t>
            </w:r>
          </w:p>
        </w:tc>
        <w:tc>
          <w:p>
            <w:pPr>
              <w:pStyle w:val="Compact"/>
              <w:jc w:val="left"/>
            </w:pPr>
            <w:r>
              <w:t xml:space="preserve">Diskussion. Denna del diskuterar relevansen av experimentets resultat i ett större samhälleligt perspektiv, samt eventuella alternativa förklaringar till studiens resultat. Undersökningens begränsningar.</w:t>
            </w:r>
          </w:p>
        </w:tc>
        <w:tc>
          <w:p>
            <w:pPr>
              <w:pStyle w:val="Compact"/>
              <w:jc w:val="left"/>
            </w:pPr>
            <w:r>
              <w:t xml:space="preserve">Kapitel 9 (s NN)</w:t>
            </w:r>
          </w:p>
        </w:tc>
      </w:tr>
    </w:tbl>
    <w:p>
      <w:pPr>
        <w:pStyle w:val="BodyText"/>
      </w:pPr>
      <w:r>
        <w:t xml:space="preserve">I denna lärobok har vi försökt täcka in dessa två olika men näraliggande betydelser av begreppet experimentell metod: dels som en uppsättning praktiska tillvägagångssätt som bör användas för att i</w:t>
      </w:r>
      <w:r>
        <w:t xml:space="preserve"> </w:t>
      </w:r>
      <w:r>
        <w:rPr>
          <w:b/>
        </w:rPr>
        <w:t xml:space="preserve">planera</w:t>
      </w:r>
      <w:r>
        <w:t xml:space="preserve"> </w:t>
      </w:r>
      <w:r>
        <w:t xml:space="preserve">och genomföra en experimentell studie; och dels som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35"/>
    <w:bookmarkEnd w:id="136"/>
    <w:bookmarkStart w:id="138" w:name="del-3"/>
    <w:p>
      <w:pPr>
        <w:pStyle w:val="Heading1"/>
      </w:pPr>
      <w:bookmarkStart w:id="137" w:name="del-3"/>
      <w:r>
        <w:t xml:space="preserve">Del 3</w:t>
      </w:r>
      <w:bookmarkEnd w:id="137"/>
    </w:p>
    <w:p>
      <w:pPr>
        <w:pStyle w:val="FirstParagraph"/>
      </w:pPr>
      <w:r>
        <w:t xml:space="preserve">I denna del av boken följer vi utvecklingen och genomförandet av ett samhällsvetenskapligt experiment.</w:t>
      </w:r>
    </w:p>
    <w:bookmarkEnd w:id="138"/>
    <w:bookmarkStart w:id="140" w:name="chap09"/>
    <w:p>
      <w:pPr>
        <w:pStyle w:val="Heading1"/>
      </w:pPr>
      <w:bookmarkStart w:id="139" w:name="kapitel"/>
      <w:r>
        <w:t xml:space="preserve">9 Kapitel</w:t>
      </w:r>
      <w:bookmarkEnd w:id="139"/>
    </w:p>
    <w:p>
      <w:pPr>
        <w:pStyle w:val="FirstParagraph"/>
      </w:pPr>
      <w:r>
        <w:t xml:space="preserve">some line</w:t>
      </w:r>
    </w:p>
    <w:bookmarkEnd w:id="140"/>
    <w:bookmarkStart w:id="145" w:name="references"/>
    <w:p>
      <w:pPr>
        <w:pStyle w:val="Heading1"/>
      </w:pPr>
      <w:bookmarkStart w:id="141" w:name="references"/>
      <w:r>
        <w:t xml:space="preserve">References</w:t>
      </w:r>
      <w:bookmarkEnd w:id="141"/>
    </w:p>
    <w:bookmarkStart w:id="144" w:name="refs"/>
    <w:bookmarkStart w:id="142" w:name="ref-einstein2002induction"/>
    <w:p>
      <w:pPr>
        <w:pStyle w:val="Bibliography"/>
      </w:pPr>
      <w:r>
        <w:t xml:space="preserve">Einstein, Albert. 2002. “Induction and Deduction in Physics. The Collected Papers of Albert Einstein, Vol. 7.” Princeton University Press.</w:t>
      </w:r>
    </w:p>
    <w:bookmarkEnd w:id="142"/>
    <w:bookmarkStart w:id="143"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143"/>
    <w:bookmarkEnd w:id="144"/>
    <w:bookmarkEnd w:id="1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2020-12-07T09:09:41Z</dcterms:created>
  <dcterms:modified xsi:type="dcterms:W3CDTF">2020-12-07T09:09:41Z</dcterms:modified>
</cp:coreProperties>
</file>

<file path=docProps/custom.xml><?xml version="1.0" encoding="utf-8"?>
<Properties xmlns="http://schemas.openxmlformats.org/officeDocument/2006/custom-properties" xmlns:vt="http://schemas.openxmlformats.org/officeDocument/2006/docPropsVTypes"/>
</file>