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Förstudier och kvalitet</w:t>
      </w:r>
    </w:p>
    <w:p>
      <w:pPr>
        <w:numPr>
          <w:ilvl w:val="0"/>
          <w:numId w:val="1003"/>
        </w:numPr>
      </w:pPr>
      <w:r>
        <w:t xml:space="preserve">Försöksdeltagare</w:t>
      </w:r>
    </w:p>
    <w:p>
      <w:pPr>
        <w:numPr>
          <w:ilvl w:val="0"/>
          <w:numId w:val="1003"/>
        </w:numPr>
      </w:pPr>
      <w:r>
        <w:t xml:space="preserve">Mätinstrument</w:t>
      </w:r>
    </w:p>
    <w:p>
      <w:pPr>
        <w:numPr>
          <w:ilvl w:val="0"/>
          <w:numId w:val="1003"/>
        </w:numPr>
      </w:pPr>
      <w:r>
        <w:t xml:space="preserve">Experimentella-villkor</w:t>
      </w:r>
    </w:p>
    <w:p>
      <w:pPr>
        <w:numPr>
          <w:ilvl w:val="0"/>
          <w:numId w:val="1003"/>
        </w:numPr>
      </w:pPr>
      <w:r>
        <w:t xml:space="preserve">Experimentell-design</w:t>
      </w:r>
    </w:p>
    <w:p>
      <w:pPr>
        <w:numPr>
          <w:ilvl w:val="0"/>
          <w:numId w:val="1003"/>
        </w:numPr>
      </w:pPr>
      <w:r>
        <w:t xml:space="preserve">Procedur</w:t>
      </w:r>
    </w:p>
    <w:p>
      <w:pPr>
        <w:numPr>
          <w:ilvl w:val="0"/>
          <w:numId w:val="1003"/>
        </w:numPr>
      </w:pPr>
      <w:r>
        <w:t xml:space="preserve">Dataanalys</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och-kvalitet"/>
      <w:r>
        <w:t xml:space="preserve">7.1 Förstudier och kvalitet</w:t>
      </w:r>
      <w:bookmarkEnd w:id="41"/>
    </w:p>
    <w:p>
      <w:pPr>
        <w:pStyle w:val="FirstParagraph"/>
      </w:pPr>
      <w:r>
        <w:t xml:space="preserve">Innan man genomför ett skarpt experiment, vilket ofta kräver mycket resurser i form av tid och arbete, är det klokt att genomföra experimentet i liten skala. På så vis kan vi som studenter eller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validitet-och-reliabilitet"/>
      <w:r>
        <w:t xml:space="preserve">7.1.1 Validitet och reliabilitet</w:t>
      </w:r>
      <w:bookmarkEnd w:id="42"/>
    </w:p>
    <w:p>
      <w:pPr>
        <w:pStyle w:val="FirstParagraph"/>
      </w:pPr>
      <w:r>
        <w:t xml:space="preserve">Igen. Kvalitetsarbete. 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43" w:name="power-analys-1"/>
      <w:r>
        <w:t xml:space="preserve">7.1.2 Power-analys</w:t>
      </w:r>
      <w:bookmarkEnd w:id="43"/>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4">
        <w:r>
          <w:rPr>
            <w:rStyle w:val="Hyperlnk"/>
          </w:rPr>
          <w:t xml:space="preserve">http://shinyapps.org/apps/PPV/</w:t>
        </w:r>
      </w:hyperlink>
    </w:p>
    <w:p>
      <w:pPr>
        <w:numPr>
          <w:ilvl w:val="0"/>
          <w:numId w:val="1004"/>
        </w:numPr>
        <w:pStyle w:val="Compact"/>
      </w:pPr>
      <w:hyperlink r:id="rId45">
        <w:r>
          <w:rPr>
            <w:rStyle w:val="Hyperlnk"/>
          </w:rPr>
          <w:t xml:space="preserve">https://gallery.shinyapps.io/CLT_mean/</w:t>
        </w:r>
      </w:hyperlink>
    </w:p>
    <w:p>
      <w:pPr>
        <w:numPr>
          <w:ilvl w:val="0"/>
          <w:numId w:val="1004"/>
        </w:numPr>
        <w:pStyle w:val="Compact"/>
      </w:pPr>
      <w:hyperlink r:id="rId46">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7" w:name="pilottest"/>
      <w:r>
        <w:t xml:space="preserve">7.1.3 Pilottest</w:t>
      </w:r>
      <w:bookmarkEnd w:id="47"/>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8" w:name="försöksdeltagare"/>
      <w:r>
        <w:t xml:space="preserve">7.2 Försöksdeltagare</w:t>
      </w:r>
      <w:bookmarkEnd w:id="4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9" w:name="representativt-urval"/>
      <w:r>
        <w:t xml:space="preserve">7.2.1 Representativt urval</w:t>
      </w:r>
      <w:bookmarkEnd w:id="4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50" w:name="demografiska-egenskaper"/>
      <w:r>
        <w:t xml:space="preserve">7.2.2 Demografiska egenskaper</w:t>
      </w:r>
      <w:bookmarkEnd w:id="5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1" w:name="individuella-egenskaper"/>
      <w:r>
        <w:t xml:space="preserve">7.2.3 Individuella egenskaper</w:t>
      </w:r>
      <w:bookmarkEnd w:id="51"/>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2" w:name="etiska-hänsynstaganden"/>
      <w:r>
        <w:t xml:space="preserve">7.2.4 Etiska hänsynstaganden</w:t>
      </w:r>
      <w:bookmarkEnd w:id="5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3" w:name="planering-av-deltagare"/>
      <w:r>
        <w:t xml:space="preserve">7.2.5 Planering av deltagare</w:t>
      </w:r>
      <w:bookmarkEnd w:id="5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4" w:name="rapportering-av-deltagare"/>
      <w:r>
        <w:t xml:space="preserve">7.2.6 Rapportering av deltagare</w:t>
      </w:r>
      <w:bookmarkEnd w:id="54"/>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5" w:name="mätinstrument"/>
      <w:r>
        <w:t xml:space="preserve">7.3 Mätinstrument</w:t>
      </w:r>
      <w:bookmarkEnd w:id="55"/>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6" w:name="olika-mätskalor"/>
      <w:r>
        <w:t xml:space="preserve">7.3.1 Olika mätskalor</w:t>
      </w:r>
      <w:bookmarkEnd w:id="56"/>
    </w:p>
    <w:p>
      <w:pPr>
        <w:pStyle w:val="FirstParagraph"/>
      </w:pPr>
      <w:r>
        <w:t xml:space="preserve">Mätskala, eller ibland datanivå, är ett begrepp som används inom beskrivande statistik för att klassificera den variabel som mäts. Variabler som endast kan mätas enligt en nominalskala eller ordinalskala kallas med ett gemensamt namn kvalitativa variabler eller kategorivariabler och de som kan mätas enligt en intervallskala eller kvotskala kallas kvantitativa variabler. För kvantitativa variabler är det, förutom lägesmått som medelvärde och median, också möjligt att beräkna spridningsmått som standardavvikelse och varians (</w:t>
      </w:r>
      <w:hyperlink r:id="rId57">
        <w:r>
          <w:rPr>
            <w:rStyle w:val="Hyperlnk"/>
          </w:rPr>
          <w:t xml:space="preserve">https://sv.wikipedia.org/wiki/M%C3%A4tskala</w:t>
        </w:r>
      </w:hyperlink>
      <w:r>
        <w:t xml:space="preserve">). En viktig princip är att dessa skalor antas innehålla stegvis mer information, och man kan alltid ta bort information men den går inte att lägga till i efterhand (dvs vi kan omvandla en kvantitativ variabel till en kvalitativ, men inte omvänt). Det är alltså</w:t>
      </w:r>
      <w:r>
        <w:t xml:space="preserve"> </w:t>
      </w:r>
      <w:r>
        <w:rPr>
          <w:i/>
        </w:rPr>
        <w:t xml:space="preserve">alltid bättre</w:t>
      </w:r>
      <w:r>
        <w:t xml:space="preserve"> </w:t>
      </w:r>
      <w:r>
        <w:t xml:space="preserve">att försöka använda en mätskala som innehåller så mycket information som möjligt.</w:t>
      </w:r>
    </w:p>
    <w:p>
      <w:pPr>
        <w:pStyle w:val="Brdtext"/>
      </w:pPr>
      <w:r>
        <w:t xml:space="preserve">Mätskalor och information.</w:t>
      </w:r>
    </w:p>
    <w:p>
      <w:pPr>
        <w:pStyle w:val="TableCaption"/>
      </w:pPr>
      <w:r>
        <w:t xml:space="preserve">Mätskalor och information.</w:t>
      </w:r>
    </w:p>
    <w:tbl>
      <w:tblPr>
        <w:tblStyle w:val="Table"/>
        <w:tblW w:type="pct" w:w="0.0"/>
        <w:tblLook w:firstRow="1"/>
        <w:tblCaption w:val="Mätskalor och information."/>
      </w:tblPr>
      <w:tblGrid/>
      <w:tr>
        <w:trPr>
          <w:cnfStyle w:firstRow="1"/>
        </w:trPr>
        <w:tc>
          <w:tcPr>
            <w:tcBorders>
              <w:bottom w:val="single"/>
            </w:tcBorders>
            <w:vAlign w:val="bottom"/>
          </w:tcPr>
          <w:p>
            <w:pPr>
              <w:pStyle w:val="Compact"/>
              <w:jc w:val="left"/>
            </w:pPr>
            <w:r>
              <w:t xml:space="preserve">Mätskala_Information</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Intervall</w:t>
            </w:r>
          </w:p>
        </w:tc>
        <w:tc>
          <w:tcPr>
            <w:tcBorders>
              <w:bottom w:val="single"/>
            </w:tcBorders>
            <w:vAlign w:val="bottom"/>
          </w:tcPr>
          <w:p>
            <w:pPr>
              <w:pStyle w:val="Compact"/>
              <w:jc w:val="left"/>
            </w:pPr>
            <w:r>
              <w:t xml:space="preserve">Kvot</w:t>
            </w:r>
          </w:p>
        </w:tc>
      </w:tr>
      <w:tr>
        <w:tc>
          <w:p>
            <w:pPr>
              <w:pStyle w:val="Compact"/>
              <w:jc w:val="left"/>
            </w:pPr>
            <w:r>
              <w:t xml:space="preserve">Namn eller kategorier (binära, multiklass)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Ordningsföljd eller rangordning</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Mätningar med godtycklig nollpunkt</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Kontinuerliga mätningar med absolut nollpunkt</w:t>
            </w:r>
          </w:p>
        </w:tc>
        <w:tc>
          <w:p/>
        </w:tc>
        <w:tc>
          <w:p/>
        </w:tc>
        <w:tc>
          <w:p/>
        </w:tc>
        <w:tc>
          <w:p>
            <w:pPr>
              <w:pStyle w:val="Compact"/>
              <w:jc w:val="left"/>
            </w:pPr>
            <w:r>
              <w:t xml:space="preserve">X</w:t>
            </w:r>
          </w:p>
        </w:tc>
      </w:tr>
    </w:tbl>
    <w:p>
      <w:pPr>
        <w:pStyle w:val="Brdtext"/>
      </w:pPr>
      <w:r>
        <w:rPr>
          <w:b/>
        </w:rPr>
        <w:t xml:space="preserve">Nominalskala.</w:t>
      </w:r>
      <w:r>
        <w:t xml:space="preserve"> </w:t>
      </w:r>
      <w:r>
        <w:t xml:space="preserve">Det man mäter kan endast delas in i grupper utan inbördesordning. Exempel är kön, yrke och sjukdomstyp. Variabelns olika värden kan endast beskrivas med ord, exempelvis man/kvinna, läkare/sjuksköterska/städare/säljare. För variabler som mäts enligt en nominalskala är det möjligt att beräkna typvärde, men inte median eller aritmetiskt medelvärde.</w:t>
      </w:r>
    </w:p>
    <w:p>
      <w:pPr>
        <w:pStyle w:val="Brdtext"/>
      </w:pPr>
      <w:r>
        <w:rPr>
          <w:b/>
        </w:rPr>
        <w:t xml:space="preserve">Ordinalskala.</w:t>
      </w:r>
      <w:r>
        <w:t xml:space="preserve"> </w:t>
      </w:r>
      <w:r>
        <w:t xml:space="preserve">Variabelns olika värden kan rangordnas, men det går inte att på något meningsfullt sätt ange skillnader eller avstånd mellan värdena. Exempel är utbildning som kan anta värdena grundskola/gymnasium/högskola/forskarutbildning. Det går att ordna värdena efter stigande utbildningsnivå, men man kan inte tilldela en viss utbildning något numeriskt värde. För en variabel mätt enligt denna skala är det möjligt att beräkna typvärde, median och percentiler, men inte aritmetiskt medelvärde. När vi i exempel-experimentet mäter deltagares attityd till Facebook-posters trovärdighet kallar vi detta ordinalskala, men vi behandlar den som en intervallskala av praktiska skäl.</w:t>
      </w:r>
    </w:p>
    <w:p>
      <w:pPr>
        <w:pStyle w:val="Brdtext"/>
      </w:pPr>
      <w:r>
        <w:rPr>
          <w:b/>
        </w:rPr>
        <w:t xml:space="preserve">Intervallskala.</w:t>
      </w:r>
      <w:r>
        <w:t xml:space="preserve"> </w:t>
      </w:r>
      <w:r>
        <w:t xml:space="preserve">I detta fall kan det man mäter tilldelas ett numeriskt värde med ett konstant avstånd mellan de olika värdena. Ett exempel är temperatur mätt i grader Celsius. Det är här meningsfullt att ange skillnaden mellan två mätvärden. 20 grader Celsius är 10 grader varmare än 10 grader Celsius och 30 grader är ytterligare 10 grader varmare. Däremot är det inte riktigt att påstå att det en dag är dubbelt så varmt som föregående dag eftersom nollpunkten är godtycklig och det finns negativa temperaturvärden. För variabler mätta enligt denna skala är det möjligt att beräkna både typvärde, median och aritmetiskt medelvärde.</w:t>
      </w:r>
    </w:p>
    <w:p>
      <w:pPr>
        <w:pStyle w:val="Brdtext"/>
      </w:pPr>
      <w:r>
        <w:rPr>
          <w:b/>
        </w:rPr>
        <w:t xml:space="preserve">Kvotskala.</w:t>
      </w:r>
      <w:r>
        <w:t xml:space="preserve"> </w:t>
      </w:r>
      <w:r>
        <w:t xml:space="preserve">Det som mäts kan beskrivas med ett kontinuerligt varierande numeriskt värde, och det finns ett entydigt sätt att definiera ett nollvärde. Därmed kan man jämföra storleken mellan de olika värdena. Exempel är kroppslängd mätt i centimeter. En person kan vara dubbelt så lång som en annan. Märk väl att det inte är i princip omöjligt att uppmäta negativa värden på en kvotskala. Exempelvis kan en persons samlade ekonomiska tillgångar anta ett negativt värde på en kvotskala om personens skulder överstiger dennes tillgångar. Endast för variabler som mäts enligt en kvotskala är det meningsfullt att multiplicera och dividera mätvärdena. När vi i exempel-experimentet mäter deltagares läsning av texten i Facebook-poster med hjälp av en ögonrörelsemätare, kan vi anse att detta utgör mätvärden på en kvotskala.</w:t>
      </w:r>
    </w:p>
    <w:p>
      <w:pPr>
        <w:pStyle w:val="Rubrik3"/>
      </w:pPr>
      <w:bookmarkStart w:id="58" w:name="mätning-av-subjektiva-responser"/>
      <w:r>
        <w:t xml:space="preserve">7.3.2 Mätning av subjektiva responser</w:t>
      </w:r>
      <w:bookmarkEnd w:id="58"/>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9" w:name="mätning-av-objektiva-responser"/>
      <w:r>
        <w:t xml:space="preserve">7.3.3 Mätning av objektiva responser</w:t>
      </w:r>
      <w:bookmarkEnd w:id="59"/>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60" w:name="beroende-variabler"/>
      <w:r>
        <w:t xml:space="preserve">7.3.4 Beroende variabler</w:t>
      </w:r>
      <w:bookmarkEnd w:id="60"/>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61" w:name="planering-av-mätinstrument"/>
      <w:r>
        <w:t xml:space="preserve">7.3.5 Planering av mätinstrument</w:t>
      </w:r>
      <w:bookmarkEnd w:id="61"/>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2" w:name="rapportering-av-mätinstrument"/>
      <w:r>
        <w:t xml:space="preserve">7.3.6 Rapportering av mätinstrument</w:t>
      </w:r>
      <w:bookmarkEnd w:id="6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3" w:name="experimentella-villkor"/>
      <w:r>
        <w:t xml:space="preserve">7.4 Experimentella villkor</w:t>
      </w:r>
      <w:bookmarkEnd w:id="63"/>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4" w:name="kontroll--och-behandlingsvillkor"/>
      <w:r>
        <w:t xml:space="preserve">7.4.1 Kontroll- och behandlingsvillkor</w:t>
      </w:r>
      <w:bookmarkEnd w:id="6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5" w:name="oberoende-variabler"/>
      <w:r>
        <w:t xml:space="preserve">7.4.2 Oberoende variabler</w:t>
      </w:r>
      <w:bookmarkEnd w:id="65"/>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6" w:name="instruktionsvillkor"/>
      <w:r>
        <w:t xml:space="preserve">7.4.3 Instruktionsvillkor</w:t>
      </w:r>
      <w:bookmarkEnd w:id="66"/>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7" w:name="kontrollvariabler"/>
      <w:r>
        <w:t xml:space="preserve">7.4.4 Kontrollvariabler</w:t>
      </w:r>
      <w:bookmarkEnd w:id="67"/>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8" w:name="utrustning-och-materiel"/>
      <w:r>
        <w:t xml:space="preserve">7.4.5 Utrustning och materiel</w:t>
      </w:r>
      <w:bookmarkEnd w:id="68"/>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9" w:name="planering-av-experimentella-villkor"/>
      <w:r>
        <w:t xml:space="preserve">7.4.6 Planering av experimentella villkor</w:t>
      </w:r>
      <w:bookmarkEnd w:id="6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70" w:name="rapportering-av-experimentella-villkor"/>
      <w:r>
        <w:t xml:space="preserve">7.4.7 Rapportering av experimentella villkor</w:t>
      </w:r>
      <w:bookmarkEnd w:id="70"/>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71" w:name="experimentell-design"/>
      <w:r>
        <w:t xml:space="preserve">7.5 Experimentell design</w:t>
      </w:r>
      <w:bookmarkEnd w:id="71"/>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2" w:name="instruktioner-och-uppgifter"/>
      <w:r>
        <w:t xml:space="preserve">7.5.1 Instruktioner och uppgifter</w:t>
      </w:r>
      <w:bookmarkEnd w:id="7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3" w:name="randomisering-och-balansering"/>
      <w:r>
        <w:t xml:space="preserve">7.5.2 Randomisering och balansering</w:t>
      </w:r>
      <w:bookmarkEnd w:id="73"/>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4" w:name="mellangruppsdesign"/>
      <w:r>
        <w:t xml:space="preserve">7.5.3 Mellangruppsdesign</w:t>
      </w:r>
      <w:bookmarkEnd w:id="7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5" w:name="inomgruppsdesign"/>
      <w:r>
        <w:t xml:space="preserve">7.5.4 Inomgruppsdesign</w:t>
      </w:r>
      <w:bookmarkEnd w:id="75"/>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6" w:name="upprepade-försök"/>
      <w:r>
        <w:t xml:space="preserve">7.5.5 Upprepade försök</w:t>
      </w:r>
      <w:bookmarkEnd w:id="76"/>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7" w:name="faktoriell-design"/>
      <w:r>
        <w:t xml:space="preserve">7.5.6 Faktoriell design</w:t>
      </w:r>
      <w:bookmarkEnd w:id="77"/>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8" w:name="individuella-deltagare"/>
      <w:r>
        <w:t xml:space="preserve">7.5.7 Individuella deltagare</w:t>
      </w:r>
      <w:bookmarkEnd w:id="78"/>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9">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80" w:name="naturliga-experiment"/>
      <w:r>
        <w:t xml:space="preserve">7.5.8 Naturliga experiment</w:t>
      </w:r>
      <w:bookmarkEnd w:id="80"/>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81" w:name="kvasi-experiment"/>
      <w:r>
        <w:t xml:space="preserve">7.5.9 Kvasi-experiment</w:t>
      </w:r>
      <w:bookmarkEnd w:id="81"/>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2" w:name="planering-av-experimentdesign"/>
      <w:r>
        <w:t xml:space="preserve">7.5.10 Planering av experimentdesign</w:t>
      </w:r>
      <w:bookmarkEnd w:id="82"/>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3" w:name="rapportering-av-experimentdesign"/>
      <w:r>
        <w:t xml:space="preserve">7.5.11 Rapportering av experimentdesign</w:t>
      </w:r>
      <w:bookmarkEnd w:id="83"/>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4" w:name="procedur"/>
      <w:r>
        <w:t xml:space="preserve">7.6 Procedur</w:t>
      </w:r>
      <w:bookmarkEnd w:id="84"/>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8" w:name="applicera-mätutrustning"/>
      <w:r>
        <w:t xml:space="preserve">7.6.4 Applicera mätutrustning</w:t>
      </w:r>
      <w:bookmarkEnd w:id="88"/>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9" w:name="instruktioner-och-uppgifter-1"/>
      <w:r>
        <w:t xml:space="preserve">7.6.5 Instruktioner och uppgifter</w:t>
      </w:r>
      <w:bookmarkEnd w:id="89"/>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90" w:name="under-experimentets-gång"/>
      <w:r>
        <w:t xml:space="preserve">7.6.6 Under experimentets gång</w:t>
      </w:r>
      <w:bookmarkEnd w:id="90"/>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91" w:name="debriefing-och-ersättning"/>
      <w:r>
        <w:t xml:space="preserve">7.6.7 Debriefing och ersättning</w:t>
      </w:r>
      <w:bookmarkEnd w:id="91"/>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2" w:name="planering-av-procedur"/>
      <w:r>
        <w:t xml:space="preserve">7.6.8 Planering av procedur</w:t>
      </w:r>
      <w:bookmarkEnd w:id="92"/>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t xml:space="preserve">Typ I- och Typ II-fel.</w:t>
      </w:r>
    </w:p>
    <w:p>
      <w:pPr>
        <w:pStyle w:val="TableCaption"/>
      </w:pPr>
      <w:r>
        <w:t xml:space="preserve">Typ I- och Typ II-fel.</w:t>
      </w:r>
    </w:p>
    <w:tbl>
      <w:tblPr>
        <w:tblStyle w:val="Table"/>
        <w:tblW w:type="pct" w:w="0.0"/>
        <w:tblLook w:firstRow="1"/>
        <w:tblCaption w:val="Typ I- och Typ II-fel."/>
      </w:tblPr>
      <w:tblGrid/>
      <w:tr>
        <w:trPr>
          <w:cnfStyle w:firstRow="1"/>
        </w:trPr>
        <w:tc>
          <w:tcPr>
            <w:tcBorders>
              <w:bottom w:val="single"/>
            </w:tcBorders>
            <w:vAlign w:val="bottom"/>
          </w:tcPr>
          <w:p>
            <w:pPr>
              <w:pStyle w:val="Compact"/>
              <w:jc w:val="left"/>
            </w:pPr>
            <w:r>
              <w:t xml:space="preserve">Nollhypotesen.är…</w:t>
            </w:r>
          </w:p>
        </w:tc>
        <w:tc>
          <w:tcPr>
            <w:tcBorders>
              <w:bottom w:val="single"/>
            </w:tcBorders>
            <w:vAlign w:val="bottom"/>
          </w:tcPr>
          <w:p>
            <w:pPr>
              <w:pStyle w:val="Compact"/>
              <w:jc w:val="left"/>
            </w:pPr>
            <w:r>
              <w:t xml:space="preserve">Sann</w:t>
            </w:r>
          </w:p>
        </w:tc>
        <w:tc>
          <w:tcPr>
            <w:tcBorders>
              <w:bottom w:val="single"/>
            </w:tcBorders>
            <w:vAlign w:val="bottom"/>
          </w:tcPr>
          <w:p>
            <w:pPr>
              <w:pStyle w:val="Compact"/>
              <w:jc w:val="left"/>
            </w:pPr>
            <w:r>
              <w:t xml:space="preserve">Falsk</w:t>
            </w:r>
          </w:p>
        </w:tc>
      </w:tr>
      <w:tr>
        <w:tc>
          <w:p>
            <w:pPr>
              <w:pStyle w:val="Compact"/>
              <w:jc w:val="left"/>
            </w:pPr>
            <w:r>
              <w:t xml:space="preserve">Förkastas</w:t>
            </w:r>
          </w:p>
        </w:tc>
        <w:tc>
          <w:p>
            <w:pPr>
              <w:pStyle w:val="Compact"/>
              <w:jc w:val="left"/>
            </w:pPr>
            <w:r>
              <w:t xml:space="preserve">Typ I-fel, Falsk positiv</w:t>
            </w:r>
          </w:p>
        </w:tc>
        <w:tc>
          <w:p>
            <w:pPr>
              <w:pStyle w:val="Compact"/>
              <w:jc w:val="left"/>
            </w:pPr>
            <w:r>
              <w:t xml:space="preserve">Korrekt beslut, Sann positiv</w:t>
            </w:r>
          </w:p>
        </w:tc>
      </w:tr>
      <w:tr>
        <w:tc>
          <w:p>
            <w:pPr>
              <w:pStyle w:val="Compact"/>
              <w:jc w:val="left"/>
            </w:pPr>
            <w:r>
              <w:t xml:space="preserve">Förkastas inte</w:t>
            </w:r>
          </w:p>
        </w:tc>
        <w:tc>
          <w:p>
            <w:pPr>
              <w:pStyle w:val="Compact"/>
              <w:jc w:val="left"/>
            </w:pPr>
            <w:r>
              <w:t xml:space="preserve">Korrekt slutsats, Sann negativ</w:t>
            </w:r>
          </w:p>
        </w:tc>
        <w:tc>
          <w:p>
            <w:pPr>
              <w:pStyle w:val="Compact"/>
              <w:jc w:val="left"/>
            </w:pPr>
            <w:r>
              <w:t xml:space="preserve">Typ II-fel, Falsk negativ</w:t>
            </w:r>
          </w:p>
        </w:tc>
      </w:tr>
    </w:tbl>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9" w:name="alternativa-förklaringar-till-resultat"/>
      <w:r>
        <w:t xml:space="preserve">8.2.2 Alternativa förklaringar till resultat</w:t>
      </w:r>
      <w:bookmarkEnd w:id="109"/>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0" w:name="kontextualisering-och-framtida-forskning"/>
      <w:r>
        <w:t xml:space="preserve">8.2.3 Kontextualisering och framtida forskning</w:t>
      </w:r>
      <w:bookmarkEnd w:id="110"/>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1" w:name="publicering"/>
      <w:r>
        <w:t xml:space="preserve">8.3 Publicering</w:t>
      </w:r>
      <w:bookmarkEnd w:id="111"/>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2" w:name="öppen-vetenskap"/>
      <w:r>
        <w:t xml:space="preserve">8.3.1 Öppen vetenskap</w:t>
      </w:r>
      <w:bookmarkEnd w:id="112"/>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3" w:name="vetenskapliga-tidskrifter"/>
      <w:r>
        <w:t xml:space="preserve">8.3.2 Vetenskapliga tidskrifter</w:t>
      </w:r>
      <w:bookmarkEnd w:id="11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4">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5" w:name="sakkunniggranskning"/>
      <w:r>
        <w:t xml:space="preserve">8.3.3 Sakkunniggranskning</w:t>
      </w:r>
      <w:bookmarkEnd w:id="115"/>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6" w:name="planering-av-publicering"/>
      <w:r>
        <w:t xml:space="preserve">8.3.4 Planering av publicering</w:t>
      </w:r>
      <w:bookmarkEnd w:id="116"/>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7" w:name="del-3"/>
      <w:r>
        <w:t xml:space="preserve">Del 3</w:t>
      </w:r>
      <w:bookmarkEnd w:id="117"/>
    </w:p>
    <w:p>
      <w:pPr>
        <w:pStyle w:val="FirstParagraph"/>
      </w:pPr>
      <w:r>
        <w:t xml:space="preserve">I denna del av boken följer vi utvecklingen och genomförandet av ett samhällsvetenskapligt experiment.</w:t>
      </w:r>
    </w:p>
    <w:p>
      <w:pPr>
        <w:pStyle w:val="Rubrik1"/>
      </w:pPr>
      <w:bookmarkStart w:id="118" w:name="kapitel"/>
      <w:r>
        <w:t xml:space="preserve">9 Kapitel</w:t>
      </w:r>
      <w:bookmarkEnd w:id="118"/>
    </w:p>
    <w:p>
      <w:pPr>
        <w:pStyle w:val="FirstParagraph"/>
      </w:pPr>
      <w:r>
        <w:t xml:space="preserve">some line</w:t>
      </w:r>
    </w:p>
    <w:p>
      <w:pPr>
        <w:pStyle w:val="Rubrik1"/>
      </w:pPr>
      <w:bookmarkStart w:id="119" w:name="references"/>
      <w:r>
        <w:t xml:space="preserve">References</w:t>
      </w:r>
      <w:bookmarkEnd w:id="119"/>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20">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4" Target="http://shinyapps.org/apps/PPV/" TargetMode="External" /><Relationship Type="http://schemas.openxmlformats.org/officeDocument/2006/relationships/hyperlink" Id="rId46" Target="http://www.gpower.hhu.de/" TargetMode="External" /><Relationship Type="http://schemas.openxmlformats.org/officeDocument/2006/relationships/hyperlink" Id="rId45"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20" Target="https://opentextbc.ca/researchmethods/" TargetMode="External" /><Relationship Type="http://schemas.openxmlformats.org/officeDocument/2006/relationships/hyperlink" Id="rId57" Target="https://sv.wikipedia.org/wiki/M%C3%A4tskala" TargetMode="External" /><Relationship Type="http://schemas.openxmlformats.org/officeDocument/2006/relationships/hyperlink" Id="rId114" Target="https://www.lu.se/artikel/se-upp-rovdjuren" TargetMode="External" /><Relationship Type="http://schemas.openxmlformats.org/officeDocument/2006/relationships/hyperlink" Id="rId79"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2021-12-16T22:17:50Z</dcterms:created>
  <dcterms:modified xsi:type="dcterms:W3CDTF">2021-12-16T22:17:50Z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