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3.png" ContentType="image/png;base64"/>
  <Override PartName="/word/media/rId109.png" ContentType="image/png;base64"/>
  <Override PartName="/word/media/rId81.png" ContentType="image/png;base64"/>
  <Override PartName="/word/media/rId104.png" ContentType="image/png;base64"/>
  <Override PartName="/word/media/rId10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title</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FirstParagraph"/>
      </w:pPr>
      <w:r>
        <w:t xml:space="preserve">Nils Gustafsson &amp; Nils Holmberg</w:t>
      </w:r>
    </w:p>
    <w:p>
      <w:pPr>
        <w:pStyle w:val="Brdtext"/>
      </w:pPr>
      <w:r>
        <w:t xml:space="preserve">2021-12-08</w:t>
      </w:r>
    </w:p>
    <w:p>
      <w:pPr>
        <w:pStyle w:val="Rubrik1"/>
      </w:pPr>
      <w:bookmarkStart w:id="20" w:name="experiment"/>
      <w:r>
        <w:t xml:space="preserve">Experiment</w:t>
      </w:r>
      <w:bookmarkEnd w:id="20"/>
    </w:p>
    <w:p>
      <w:pPr>
        <w:pStyle w:val="Rubrik4"/>
      </w:pPr>
      <w:bookmarkStart w:id="21" w:name="nils-gustafsson-nils-holmberg"/>
      <w:r>
        <w:t xml:space="preserve">Nils Gustafsson &amp; Nils Holmberg</w:t>
      </w:r>
      <w:bookmarkEnd w:id="21"/>
    </w:p>
    <w:p>
      <w:pPr>
        <w:pStyle w:val="Rubrik4"/>
      </w:pPr>
      <w:bookmarkStart w:id="22" w:name="section"/>
      <w:r>
        <w:t xml:space="preserve">2021-12-08</w:t>
      </w:r>
      <w:bookmarkEnd w:id="22"/>
    </w:p>
    <w:p>
      <w:pPr>
        <w:pStyle w:val="Rubrik1"/>
      </w:pPr>
      <w:bookmarkStart w:id="23" w:name="del-1"/>
      <w:r>
        <w:t xml:space="preserve">Del 1</w:t>
      </w:r>
      <w:bookmarkEnd w:id="23"/>
    </w:p>
    <w:p>
      <w:pPr>
        <w:pStyle w:val="FirstParagraph"/>
      </w:pPr>
      <w:r>
        <w:t xml:space="preserve">I denna del av boken följer vi utvecklingen och genomförandet av ett samhällsvetenskapligt experiment.</w:t>
      </w:r>
    </w:p>
    <w:p>
      <w:pPr>
        <w:pStyle w:val="Rubrik1"/>
      </w:pPr>
      <w:bookmarkStart w:id="24" w:name="del-2"/>
      <w:r>
        <w:t xml:space="preserve">Del 2</w:t>
      </w:r>
      <w:bookmarkEnd w:id="24"/>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rd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rd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rd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rd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1"/>
      </w:pPr>
      <w:bookmarkStart w:id="25" w:name="förarbete"/>
      <w:r>
        <w:t xml:space="preserve">6 Förarbete</w:t>
      </w:r>
      <w:bookmarkEnd w:id="25"/>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rd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 (Holmberg</w:t>
      </w:r>
      <w:r>
        <w:t xml:space="preserve"> </w:t>
      </w:r>
      <w:hyperlink w:anchor="ref-holmberg-2016-effects">
        <w:r>
          <w:rPr>
            <w:rStyle w:val="Hyperlnk"/>
          </w:rPr>
          <w:t xml:space="preserve">2016</w:t>
        </w:r>
      </w:hyperlink>
      <w:r>
        <w:t xml:space="preserve">).</w:t>
      </w:r>
    </w:p>
    <w:p>
      <w:pPr>
        <w:pStyle w:val="Brd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rd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p>
      <w:pPr>
        <w:pStyle w:val="Rubrik2"/>
      </w:pPr>
      <w:bookmarkStart w:id="26" w:name="forskningsfrågor"/>
      <w:r>
        <w:t xml:space="preserve">6.1 Forskningsfrågor</w:t>
      </w:r>
      <w:bookmarkEnd w:id="26"/>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rd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rdtext"/>
      </w:pPr>
      <w:r>
        <w:t xml:space="preserve">En testtabell.</w:t>
      </w:r>
    </w:p>
    <w:p>
      <w:pPr>
        <w:pStyle w:val="TableCaption"/>
      </w:pPr>
      <w:r>
        <w:t xml:space="preserve">En testtabell.</w:t>
      </w:r>
    </w:p>
    <w:tbl>
      <w:tblPr>
        <w:tblStyle w:val="Table"/>
        <w:tblW w:type="pct" w:w="0.0"/>
        <w:tblLook w:firstRow="1"/>
        <w:tblCaption w:val="En testtabell."/>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left"/>
            </w:pPr>
            <w:r>
              <w:t xml:space="preserve">col_b</w:t>
            </w:r>
          </w:p>
        </w:tc>
        <w:tc>
          <w:tcPr>
            <w:tcBorders>
              <w:bottom w:val="single"/>
            </w:tcBorders>
            <w:vAlign w:val="bottom"/>
          </w:tcPr>
          <w:p>
            <w:pPr>
              <w:pStyle w:val="Compact"/>
              <w:jc w:val="left"/>
            </w:pPr>
            <w:r>
              <w:t xml:space="preserve">col_c</w:t>
            </w:r>
          </w:p>
        </w:tc>
      </w:tr>
      <w:tr>
        <w:tc>
          <w:p>
            <w:pPr>
              <w:pStyle w:val="Compact"/>
              <w:jc w:val="left"/>
            </w:pPr>
            <w:r>
              <w:t xml:space="preserve">a</w:t>
            </w:r>
          </w:p>
        </w:tc>
        <w:tc>
          <w:p>
            <w:pPr>
              <w:pStyle w:val="Compact"/>
              <w:jc w:val="left"/>
            </w:pPr>
            <w:r>
              <w:t xml:space="preserve">1</w:t>
            </w:r>
          </w:p>
        </w:tc>
        <w:tc>
          <w:p>
            <w:pPr>
              <w:pStyle w:val="Compact"/>
              <w:jc w:val="left"/>
            </w:pPr>
            <w:r>
              <w:t xml:space="preserve">45</w:t>
            </w:r>
          </w:p>
        </w:tc>
      </w:tr>
      <w:tr>
        <w:tc>
          <w:p>
            <w:pPr>
              <w:pStyle w:val="Compact"/>
              <w:jc w:val="left"/>
            </w:pPr>
            <w:r>
              <w:t xml:space="preserve">b</w:t>
            </w:r>
          </w:p>
        </w:tc>
        <w:tc>
          <w:p>
            <w:pPr>
              <w:pStyle w:val="Compact"/>
              <w:jc w:val="left"/>
            </w:pPr>
            <w:r>
              <w:t xml:space="preserve">2</w:t>
            </w:r>
          </w:p>
        </w:tc>
        <w:tc>
          <w:p>
            <w:pPr>
              <w:pStyle w:val="Compact"/>
              <w:jc w:val="left"/>
            </w:pPr>
            <w:r>
              <w:t xml:space="preserve">46</w:t>
            </w:r>
          </w:p>
        </w:tc>
      </w:tr>
      <w:tr>
        <w:tc>
          <w:p>
            <w:pPr>
              <w:pStyle w:val="Compact"/>
              <w:jc w:val="left"/>
            </w:pPr>
            <w:r>
              <w:t xml:space="preserve">c</w:t>
            </w:r>
          </w:p>
        </w:tc>
        <w:tc>
          <w:p>
            <w:pPr>
              <w:pStyle w:val="Compact"/>
              <w:jc w:val="left"/>
            </w:pPr>
            <w:r>
              <w:t xml:space="preserve">3</w:t>
            </w:r>
          </w:p>
        </w:tc>
        <w:tc>
          <w:p>
            <w:pPr>
              <w:pStyle w:val="Compact"/>
              <w:jc w:val="left"/>
            </w:pPr>
            <w:r>
              <w:t xml:space="preserve">47</w:t>
            </w:r>
          </w:p>
        </w:tc>
      </w:tr>
    </w:tbl>
    <w:p>
      <w:pPr>
        <w:pStyle w:val="Brd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p>
      <w:pPr>
        <w:pStyle w:val="Rubrik3"/>
      </w:pPr>
      <w:bookmarkStart w:id="27" w:name="planering-av-forskningsfrågor"/>
      <w:r>
        <w:t xml:space="preserve">6.1.1 Planering av forskningsfrågor</w:t>
      </w:r>
      <w:bookmarkEnd w:id="27"/>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p>
      <w:pPr>
        <w:pStyle w:val="Rubrik3"/>
      </w:pPr>
      <w:bookmarkStart w:id="28" w:name="rapportering-av-forskningsfrågor"/>
      <w:r>
        <w:t xml:space="preserve">6.1.2 Rapportering av forskningsfrågor</w:t>
      </w:r>
      <w:bookmarkEnd w:id="28"/>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p>
      <w:pPr>
        <w:pStyle w:val="Rubrik2"/>
      </w:pPr>
      <w:bookmarkStart w:id="29" w:name="operationalisering"/>
      <w:r>
        <w:t xml:space="preserve">6.2 Operationalisering</w:t>
      </w:r>
      <w:bookmarkEnd w:id="29"/>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rd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rd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rd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rd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p>
      <w:pPr>
        <w:pStyle w:val="Rubrik3"/>
      </w:pPr>
      <w:bookmarkStart w:id="30" w:name="planering-av-operationalisering"/>
      <w:r>
        <w:t xml:space="preserve">6.2.1 Planering av operationalisering</w:t>
      </w:r>
      <w:bookmarkEnd w:id="30"/>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p>
      <w:pPr>
        <w:pStyle w:val="Rubrik3"/>
      </w:pPr>
      <w:bookmarkStart w:id="31" w:name="rapportering-av-operationalisering"/>
      <w:r>
        <w:t xml:space="preserve">6.2.2 Rapportering av operationalisering</w:t>
      </w:r>
      <w:bookmarkEnd w:id="31"/>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p>
      <w:pPr>
        <w:pStyle w:val="Rubrik2"/>
      </w:pPr>
      <w:bookmarkStart w:id="32" w:name="hypotestestning"/>
      <w:r>
        <w:t xml:space="preserve">6.3 Hypotestestning</w:t>
      </w:r>
      <w:bookmarkEnd w:id="32"/>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rd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rd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rdtext"/>
      </w:pPr>
      <w:r>
        <w:drawing>
          <wp:inline>
            <wp:extent cx="4673600" cy="2628900"/>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33"/>
                    <a:stretch>
                      <a:fillRect/>
                    </a:stretch>
                  </pic:blipFill>
                  <pic:spPr bwMode="auto">
                    <a:xfrm>
                      <a:off x="0" y="0"/>
                      <a:ext cx="4673600" cy="2628900"/>
                    </a:xfrm>
                    <a:prstGeom prst="rect">
                      <a:avLst/>
                    </a:prstGeom>
                    <a:noFill/>
                    <a:ln w="9525">
                      <a:noFill/>
                      <a:headEnd/>
                      <a:tailEnd/>
                    </a:ln>
                  </pic:spPr>
                </pic:pic>
              </a:graphicData>
            </a:graphic>
          </wp:inline>
        </w:drawing>
      </w:r>
    </w:p>
    <w:p>
      <w:pPr>
        <w:pStyle w:val="Brdtext"/>
      </w:pPr>
      <w:r>
        <w:t xml:space="preserve">en teoretisk modell</w:t>
      </w:r>
    </w:p>
    <w:p>
      <w:pPr>
        <w:pStyle w:val="Rubrik3"/>
      </w:pPr>
      <w:bookmarkStart w:id="34" w:name="planering-av-hypoteser"/>
      <w:r>
        <w:t xml:space="preserve">6.3.1 Planering av hypoteser</w:t>
      </w:r>
      <w:bookmarkEnd w:id="34"/>
    </w:p>
    <w:p>
      <w:pPr>
        <w:pStyle w:val="FirstParagraph"/>
      </w:pPr>
      <w:r>
        <w:t xml:space="preserve">Inom flera samhällsvetenskapliga ämnen använder man sig av ett ramverk som kallas "Null Hypothesis Significance Testing" (förkortat NHST) i samband med att man formulerar hypoteser inom ett experiment (Pernet</w:t>
      </w:r>
      <w:r>
        <w:t xml:space="preserve"> </w:t>
      </w:r>
      <w:hyperlink w:anchor="ref-pernet2015null">
        <w:r>
          <w:rPr>
            <w:rStyle w:val="Hyperlnk"/>
          </w:rPr>
          <w:t xml:space="preserve">2015</w:t>
        </w:r>
      </w:hyperlink>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p>
      <w:pPr>
        <w:pStyle w:val="Rubrik3"/>
      </w:pPr>
      <w:bookmarkStart w:id="35" w:name="rapportering-av-hypoteser"/>
      <w:r>
        <w:t xml:space="preserve">6.3.2 Rapportering av hypoteser</w:t>
      </w:r>
      <w:bookmarkEnd w:id="3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rd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 (Einstein</w:t>
      </w:r>
      <w:r>
        <w:t xml:space="preserve"> </w:t>
      </w:r>
      <w:hyperlink w:anchor="ref-einstein2002induction">
        <w:r>
          <w:rPr>
            <w:rStyle w:val="Hyperlnk"/>
          </w:rPr>
          <w:t xml:space="preserve">2002</w:t>
        </w:r>
      </w:hyperlink>
      <w:r>
        <w:t xml:space="preserve">)</w:t>
      </w:r>
    </w:p>
    <w:p>
      <w:pPr>
        <w:pStyle w:val="Rubrik2"/>
      </w:pPr>
      <w:bookmarkStart w:id="36" w:name="projektarbete"/>
      <w:r>
        <w:t xml:space="preserve">6.4 Projektarbete</w:t>
      </w:r>
      <w:bookmarkEnd w:id="36"/>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p>
      <w:pPr>
        <w:pStyle w:val="Rubrik3"/>
      </w:pPr>
      <w:bookmarkStart w:id="37" w:name="power-analys"/>
      <w:r>
        <w:t xml:space="preserve">6.4.1 Power-analys</w:t>
      </w:r>
      <w:bookmarkEnd w:id="37"/>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p>
      <w:pPr>
        <w:pStyle w:val="Rubrik3"/>
      </w:pPr>
      <w:bookmarkStart w:id="38" w:name="pre-registrering"/>
      <w:r>
        <w:t xml:space="preserve">6.4.2 Pre-registrering</w:t>
      </w:r>
      <w:bookmarkEnd w:id="3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 (Veer and Giner-Sorolla</w:t>
      </w:r>
      <w:r>
        <w:t xml:space="preserve"> </w:t>
      </w:r>
      <w:hyperlink w:anchor="ref-van2016pre">
        <w:r>
          <w:rPr>
            <w:rStyle w:val="Hyperlnk"/>
          </w:rPr>
          <w:t xml:space="preserve">2016</w:t>
        </w:r>
      </w:hyperlink>
      <w:r>
        <w:t xml:space="preserve">) till denna relativt nya företeelse.</w:t>
      </w:r>
    </w:p>
    <w:p>
      <w:pPr>
        <w:pStyle w:val="Rubrik3"/>
      </w:pPr>
      <w:bookmarkStart w:id="39" w:name="implementering"/>
      <w:r>
        <w:t xml:space="preserve">6.4.3 Implementering</w:t>
      </w:r>
      <w:bookmarkEnd w:id="39"/>
    </w:p>
    <w:p>
      <w:pPr>
        <w:pStyle w:val="FirstParagraph"/>
      </w:pPr>
      <w:r>
        <w:t xml:space="preserve">Programvaror för att skapa ett experiment, google forms, qualtrics, psychopy, pavlovia, python flask, R shiny.</w:t>
      </w:r>
    </w:p>
    <w:p>
      <w:pPr>
        <w:pStyle w:val="Rubrik1"/>
      </w:pPr>
      <w:bookmarkStart w:id="40" w:name="genomförande"/>
      <w:r>
        <w:t xml:space="preserve">7 Genomförande</w:t>
      </w:r>
      <w:bookmarkEnd w:id="40"/>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rd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rd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rd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p>
      <w:pPr>
        <w:pStyle w:val="Rubrik2"/>
      </w:pPr>
      <w:bookmarkStart w:id="41" w:name="förstudier"/>
      <w:r>
        <w:t xml:space="preserve">7.1 Förstudier</w:t>
      </w:r>
      <w:bookmarkEnd w:id="41"/>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p>
      <w:pPr>
        <w:pStyle w:val="Rubrik3"/>
      </w:pPr>
      <w:bookmarkStart w:id="42" w:name="power-analys-1"/>
      <w:r>
        <w:t xml:space="preserve">7.1.1 Power-analys</w:t>
      </w:r>
      <w:bookmarkEnd w:id="42"/>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 (Ellis</w:t>
      </w:r>
      <w:r>
        <w:t xml:space="preserve"> </w:t>
      </w:r>
      <w:hyperlink w:anchor="ref-ellis2010essential">
        <w:r>
          <w:rPr>
            <w:rStyle w:val="Hyperlnk"/>
          </w:rPr>
          <w:t xml:space="preserve">2010</w:t>
        </w:r>
      </w:hyperlink>
      <w:r>
        <w:t xml:space="preserve">; Sullivan and Feinn</w:t>
      </w:r>
      <w:r>
        <w:t xml:space="preserve"> </w:t>
      </w:r>
      <w:hyperlink w:anchor="ref-sullivan2012using">
        <w:r>
          <w:rPr>
            <w:rStyle w:val="Hyperlnk"/>
          </w:rPr>
          <w:t xml:space="preserve">2012</w:t>
        </w:r>
      </w:hyperlink>
      <w:r>
        <w:t xml:space="preserve">; Cumming</w:t>
      </w:r>
      <w:r>
        <w:t xml:space="preserve"> </w:t>
      </w:r>
      <w:hyperlink w:anchor="ref-cumming2013understanding">
        <w:r>
          <w:rPr>
            <w:rStyle w:val="Hyperlnk"/>
          </w:rPr>
          <w:t xml:space="preserve">2013</w:t>
        </w:r>
      </w:hyperlink>
      <w:r>
        <w:t xml:space="preserve">).</w:t>
      </w:r>
    </w:p>
    <w:p>
      <w:pPr>
        <w:numPr>
          <w:ilvl w:val="0"/>
          <w:numId w:val="1004"/>
        </w:numPr>
        <w:pStyle w:val="Compact"/>
      </w:pPr>
      <w:hyperlink r:id="rId43">
        <w:r>
          <w:rPr>
            <w:rStyle w:val="Hyperlnk"/>
          </w:rPr>
          <w:t xml:space="preserve">http://shinyapps.org/apps/PPV/</w:t>
        </w:r>
      </w:hyperlink>
    </w:p>
    <w:p>
      <w:pPr>
        <w:numPr>
          <w:ilvl w:val="0"/>
          <w:numId w:val="1004"/>
        </w:numPr>
        <w:pStyle w:val="Compact"/>
      </w:pPr>
      <w:hyperlink r:id="rId44">
        <w:r>
          <w:rPr>
            <w:rStyle w:val="Hyperlnk"/>
          </w:rPr>
          <w:t xml:space="preserve">https://gallery.shinyapps.io/CLT_mean/</w:t>
        </w:r>
      </w:hyperlink>
    </w:p>
    <w:p>
      <w:pPr>
        <w:numPr>
          <w:ilvl w:val="0"/>
          <w:numId w:val="1004"/>
        </w:numPr>
        <w:pStyle w:val="Compact"/>
      </w:pPr>
      <w:hyperlink r:id="rId45">
        <w:r>
          <w:rPr>
            <w:rStyle w:val="Hyperl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rdtext"/>
      </w:pPr>
      <w:r>
        <w:t xml:space="preserve">Innan man genomför ett skarpt experiment är det således viktigt att vi gör en power-analys, eftersom detta hjälper oss att undvika typ II-fel när vi analyserar resultaten (Cohen</w:t>
      </w:r>
      <w:r>
        <w:t xml:space="preserve"> </w:t>
      </w:r>
      <w:hyperlink w:anchor="ref-cohen1992power">
        <w:r>
          <w:rPr>
            <w:rStyle w:val="Hyperlnk"/>
          </w:rPr>
          <w:t xml:space="preserve">1992</w:t>
        </w:r>
      </w:hyperlink>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Brdtext"/>
      </w:pPr>
      <w:r>
        <w:t xml:space="preserve">Antal deltagare som krävs för att uppnå statistisk kraft på 0.8 vid olika starka samband.</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left"/>
            </w:pPr>
            <w:r>
              <w:t xml:space="preserve">Deltagare.t.test</w:t>
            </w:r>
          </w:p>
        </w:tc>
        <w:tc>
          <w:tcPr>
            <w:tcBorders>
              <w:bottom w:val="single"/>
            </w:tcBorders>
            <w:vAlign w:val="bottom"/>
          </w:tcPr>
          <w:p>
            <w:pPr>
              <w:pStyle w:val="Compact"/>
              <w:jc w:val="left"/>
            </w:pPr>
            <w:r>
              <w:t xml:space="preserve">Deltagare.Pearsons.r</w:t>
            </w:r>
          </w:p>
        </w:tc>
      </w:tr>
      <w:tr>
        <w:tc>
          <w:p>
            <w:pPr>
              <w:pStyle w:val="Compact"/>
              <w:jc w:val="left"/>
            </w:pPr>
            <w:r>
              <w:t xml:space="preserve">Starkt (d=0.8, r=0.5)</w:t>
            </w:r>
          </w:p>
        </w:tc>
        <w:tc>
          <w:p>
            <w:pPr>
              <w:pStyle w:val="Compact"/>
              <w:jc w:val="left"/>
            </w:pPr>
            <w:r>
              <w:t xml:space="preserve">52</w:t>
            </w:r>
          </w:p>
        </w:tc>
        <w:tc>
          <w:p>
            <w:pPr>
              <w:pStyle w:val="Compact"/>
              <w:jc w:val="left"/>
            </w:pPr>
            <w:r>
              <w:t xml:space="preserve">28</w:t>
            </w:r>
          </w:p>
        </w:tc>
      </w:tr>
      <w:tr>
        <w:tc>
          <w:p>
            <w:pPr>
              <w:pStyle w:val="Compact"/>
              <w:jc w:val="left"/>
            </w:pPr>
            <w:r>
              <w:t xml:space="preserve">Medel (d=0.5, r=0.3)</w:t>
            </w:r>
          </w:p>
        </w:tc>
        <w:tc>
          <w:p>
            <w:pPr>
              <w:pStyle w:val="Compact"/>
              <w:jc w:val="left"/>
            </w:pPr>
            <w:r>
              <w:t xml:space="preserve">128</w:t>
            </w:r>
          </w:p>
        </w:tc>
        <w:tc>
          <w:p>
            <w:pPr>
              <w:pStyle w:val="Compact"/>
              <w:jc w:val="left"/>
            </w:pPr>
            <w:r>
              <w:t xml:space="preserve">84</w:t>
            </w:r>
          </w:p>
        </w:tc>
      </w:tr>
      <w:tr>
        <w:tc>
          <w:p>
            <w:pPr>
              <w:pStyle w:val="Compact"/>
              <w:jc w:val="left"/>
            </w:pPr>
            <w:r>
              <w:t xml:space="preserve">Svagt (d=0.2, r=0.1)</w:t>
            </w:r>
          </w:p>
        </w:tc>
        <w:tc>
          <w:p>
            <w:pPr>
              <w:pStyle w:val="Compact"/>
              <w:jc w:val="left"/>
            </w:pPr>
            <w:r>
              <w:t xml:space="preserve">788</w:t>
            </w:r>
          </w:p>
        </w:tc>
        <w:tc>
          <w:p>
            <w:pPr>
              <w:pStyle w:val="Compact"/>
              <w:jc w:val="left"/>
            </w:pPr>
            <w:r>
              <w:t xml:space="preserve">782</w:t>
            </w:r>
          </w:p>
        </w:tc>
      </w:tr>
    </w:tbl>
    <w:p>
      <w:pPr>
        <w:pStyle w:val="Brd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rd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 (Faul et al.</w:t>
      </w:r>
      <w:r>
        <w:t xml:space="preserve"> </w:t>
      </w:r>
      <w:hyperlink w:anchor="ref-faul2007g">
        <w:r>
          <w:rPr>
            <w:rStyle w:val="Hyperlnk"/>
          </w:rPr>
          <w:t xml:space="preserve">2007</w:t>
        </w:r>
      </w:hyperlink>
      <w:r>
        <w:t xml:space="preserve">,</w:t>
      </w:r>
      <w:r>
        <w:t xml:space="preserve"> </w:t>
      </w:r>
      <w:hyperlink w:anchor="ref-faul2009statistical">
        <w:r>
          <w:rPr>
            <w:rStyle w:val="Hyperlnk"/>
          </w:rPr>
          <w:t xml:space="preserve">2009</w:t>
        </w:r>
      </w:hyperlink>
      <w:r>
        <w:t xml:space="preserve">).</w:t>
      </w:r>
    </w:p>
    <w:p>
      <w:pPr>
        <w:pStyle w:val="Rubrik3"/>
      </w:pPr>
      <w:bookmarkStart w:id="46" w:name="pilottest"/>
      <w:r>
        <w:t xml:space="preserve">7.1.2 Pilottest</w:t>
      </w:r>
      <w:bookmarkEnd w:id="46"/>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rd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rd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rd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rd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rd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rd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p>
      <w:pPr>
        <w:pStyle w:val="Rubrik2"/>
      </w:pPr>
      <w:bookmarkStart w:id="47" w:name="försöksdeltagare"/>
      <w:r>
        <w:t xml:space="preserve">7.2 Försöksdeltagare</w:t>
      </w:r>
      <w:bookmarkEnd w:id="47"/>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Rubrik3"/>
      </w:pPr>
      <w:bookmarkStart w:id="48" w:name="representativt-urval"/>
      <w:r>
        <w:t xml:space="preserve">7.2.1 Representativt urval</w:t>
      </w:r>
      <w:bookmarkEnd w:id="48"/>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rdtext"/>
      </w:pPr>
      <w:r>
        <w:t xml:space="preserve">- ska vi ta upp termer som “obundet slumpmässig urval”, stratifierat urval, bekvämlighetsurval, snöbollsurval (inom intervjustudier)?</w:t>
      </w:r>
    </w:p>
    <w:p>
      <w:pPr>
        <w:pStyle w:val="Rubrik3"/>
      </w:pPr>
      <w:bookmarkStart w:id="49" w:name="demografiska-egenskaper"/>
      <w:r>
        <w:t xml:space="preserve">7.2.2 Demografiska egenskaper</w:t>
      </w:r>
      <w:bookmarkEnd w:id="49"/>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rd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(Henrich, Heine, and Norenzayan</w:t>
      </w:r>
      <w:r>
        <w:t xml:space="preserve"> </w:t>
      </w:r>
      <w:hyperlink w:anchor="ref-henrich2010weirdest">
        <w:r>
          <w:rPr>
            <w:rStyle w:val="Hyperlnk"/>
          </w:rPr>
          <w:t xml:space="preserve">2010</w:t>
        </w:r>
      </w:hyperlink>
      <w:r>
        <w:t xml:space="preserve">). Referera till begreppen bakgrundsvariabler, kontrollvariabler.</w:t>
      </w:r>
    </w:p>
    <w:p>
      <w:pPr>
        <w:pStyle w:val="Brd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p>
      <w:pPr>
        <w:pStyle w:val="Rubrik3"/>
      </w:pPr>
      <w:bookmarkStart w:id="50" w:name="individuella-egenskaper"/>
      <w:r>
        <w:t xml:space="preserve">7.2.3 Individuella egenskaper</w:t>
      </w:r>
      <w:bookmarkEnd w:id="50"/>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p>
      <w:pPr>
        <w:pStyle w:val="Rubrik3"/>
      </w:pPr>
      <w:bookmarkStart w:id="51" w:name="etiska-hänsynstaganden"/>
      <w:r>
        <w:t xml:space="preserve">7.2.4 Etiska hänsynstaganden</w:t>
      </w:r>
      <w:bookmarkEnd w:id="51"/>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p>
      <w:pPr>
        <w:pStyle w:val="Rubrik3"/>
      </w:pPr>
      <w:bookmarkStart w:id="52" w:name="planering-av-deltagare"/>
      <w:r>
        <w:t xml:space="preserve">7.2.5 Planering av deltagare</w:t>
      </w:r>
      <w:bookmarkEnd w:id="52"/>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rd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rd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rd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rd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rdtext"/>
      </w:pPr>
      <w:r>
        <w:t xml:space="preserve">Forskaren har rätt att: använda insamlade data för publikationer</w:t>
      </w:r>
    </w:p>
    <w:p>
      <w:pPr>
        <w:pStyle w:val="Brd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rdtext"/>
      </w:pPr>
      <w:r>
        <w:t xml:space="preserve">Deltagaren har rätt att: få sina data utlämnade (raderade om ingen anonymisering)</w:t>
      </w:r>
    </w:p>
    <w:p>
      <w:pPr>
        <w:pStyle w:val="Brdtext"/>
      </w:pPr>
      <w:r>
        <w:t xml:space="preserve">Deltagaren är skyldig att: Signera att ersättning tagits emot</w:t>
      </w:r>
    </w:p>
    <w:p>
      <w:pPr>
        <w:pStyle w:val="Rubrik3"/>
      </w:pPr>
      <w:bookmarkStart w:id="53" w:name="rapportering-av-deltagare"/>
      <w:r>
        <w:t xml:space="preserve">7.2.6 Rapportering av deltagare</w:t>
      </w:r>
      <w:bookmarkEnd w:id="53"/>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rdtext"/>
      </w:pPr>
      <w:r>
        <w:t xml:space="preserve">- demografiska variabler, medelålder, range</w:t>
      </w:r>
    </w:p>
    <w:p>
      <w:pPr>
        <w:pStyle w:val="Brdtext"/>
      </w:pPr>
      <w:r>
        <w:t xml:space="preserve">- exempel på hur detta skulle kunna formuleras i ett manuskript, på engelska?</w:t>
      </w:r>
    </w:p>
    <w:p>
      <w:pPr>
        <w:pStyle w:val="Brdtext"/>
      </w:pPr>
      <w:r>
        <w:t xml:space="preserve">- representativt urval, population, bakgrundsvariabler, individuell variation</w:t>
      </w:r>
    </w:p>
    <w:p>
      <w:pPr>
        <w:pStyle w:val="Brdtext"/>
      </w:pPr>
      <w:r>
        <w:t xml:space="preserve">- bortfall, missing cases</w:t>
      </w:r>
    </w:p>
    <w:p>
      <w:pPr>
        <w:pStyle w:val="Rubrik2"/>
      </w:pPr>
      <w:bookmarkStart w:id="54" w:name="mätinstrument"/>
      <w:r>
        <w:t xml:space="preserve">7.3 Mätinstrument</w:t>
      </w:r>
      <w:bookmarkEnd w:id="54"/>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rd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rd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nk"/>
          </w:rPr>
          <w:t xml:space="preserve">7.3.2</w:t>
        </w:r>
      </w:hyperlink>
      <w:r>
        <w:t xml:space="preserve">).</w:t>
      </w:r>
    </w:p>
    <w:p>
      <w:pPr>
        <w:pStyle w:val="Rubrik3"/>
      </w:pPr>
      <w:bookmarkStart w:id="55" w:name="olika-mätnivåer"/>
      <w:r>
        <w:t xml:space="preserve">7.3.1 Olika mätnivåer</w:t>
      </w:r>
      <w:bookmarkEnd w:id="55"/>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rdtext"/>
      </w:pPr>
      <w:r>
        <w:t xml:space="preserve">TODO: Samlad diskussion om alla olika typer av validitet och reliabilitet hör hemma under mätinstrument, kanske även någonstans under diskussion.</w:t>
      </w:r>
    </w:p>
    <w:p>
      <w:pPr>
        <w:pStyle w:val="Rubrik3"/>
      </w:pPr>
      <w:bookmarkStart w:id="56" w:name="mätning-av-subjektiva-responser"/>
      <w:r>
        <w:t xml:space="preserve">7.3.2 Mätning av subjektiva responser</w:t>
      </w:r>
      <w:bookmarkEnd w:id="56"/>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rd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rd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rd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p>
      <w:pPr>
        <w:pStyle w:val="Rubrik3"/>
      </w:pPr>
      <w:bookmarkStart w:id="57" w:name="mätning-av-objektiva-responser"/>
      <w:r>
        <w:t xml:space="preserve">7.3.3 Mätning av objektiva responser</w:t>
      </w:r>
      <w:bookmarkEnd w:id="57"/>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Brdtext"/>
      </w:pPr>
      <w:r>
        <w:t xml:space="preserve">Mätinstrument och objektivitet i mätdata</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rd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rd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rd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rd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rd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p>
      <w:pPr>
        <w:pStyle w:val="Rubrik3"/>
      </w:pPr>
      <w:bookmarkStart w:id="58" w:name="beroende-variabler"/>
      <w:r>
        <w:t xml:space="preserve">7.3.4 Beroende variabler</w:t>
      </w:r>
      <w:bookmarkEnd w:id="5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rd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rd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p>
      <w:pPr>
        <w:pStyle w:val="Rubrik3"/>
      </w:pPr>
      <w:bookmarkStart w:id="59" w:name="planering-av-mätinstrument"/>
      <w:r>
        <w:t xml:space="preserve">7.3.5 Planering av mätinstrument</w:t>
      </w:r>
      <w:bookmarkEnd w:id="5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rd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rd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p>
      <w:pPr>
        <w:pStyle w:val="Rubrik3"/>
      </w:pPr>
      <w:bookmarkStart w:id="60" w:name="rapportering-av-mätinstrument"/>
      <w:r>
        <w:t xml:space="preserve">7.3.6 Rapportering av mätinstrument</w:t>
      </w:r>
      <w:bookmarkEnd w:id="60"/>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p>
      <w:pPr>
        <w:pStyle w:val="Rubrik2"/>
      </w:pPr>
      <w:bookmarkStart w:id="61" w:name="experimentella-villkor"/>
      <w:r>
        <w:t xml:space="preserve">7.4 Experimentella villkor</w:t>
      </w:r>
      <w:bookmarkEnd w:id="61"/>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rd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p>
      <w:pPr>
        <w:pStyle w:val="Rubrik3"/>
      </w:pPr>
      <w:bookmarkStart w:id="62" w:name="kontroll--och-behandlingsvillkor"/>
      <w:r>
        <w:t xml:space="preserve">7.4.1 Kontroll- och behandlingsvillkor</w:t>
      </w:r>
      <w:bookmarkEnd w:id="62"/>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rd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rd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rd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rd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p>
      <w:pPr>
        <w:pStyle w:val="Rubrik3"/>
      </w:pPr>
      <w:bookmarkStart w:id="63" w:name="oberoende-variabler"/>
      <w:r>
        <w:t xml:space="preserve">7.4.2 Oberoende variabler</w:t>
      </w:r>
      <w:bookmarkEnd w:id="63"/>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rdtext"/>
      </w:pPr>
      <w:r>
        <w:t xml:space="preserve">Experimentella villkor och oberoende variabler</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rd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Rubrik3"/>
      </w:pPr>
      <w:bookmarkStart w:id="64" w:name="instruktionsvillkor"/>
      <w:r>
        <w:t xml:space="preserve">7.4.3 Instruktionsvillkor</w:t>
      </w:r>
      <w:bookmarkEnd w:id="64"/>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p>
      <w:pPr>
        <w:pStyle w:val="Rubrik3"/>
      </w:pPr>
      <w:bookmarkStart w:id="65" w:name="kontrollvariabler"/>
      <w:r>
        <w:t xml:space="preserve">7.4.4 Kontrollvariabler</w:t>
      </w:r>
      <w:bookmarkEnd w:id="65"/>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rd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rd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rd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p>
      <w:pPr>
        <w:pStyle w:val="Rubrik3"/>
      </w:pPr>
      <w:bookmarkStart w:id="66" w:name="utrustning-och-materiel"/>
      <w:r>
        <w:t xml:space="preserve">7.4.5 Utrustning och materiel</w:t>
      </w:r>
      <w:bookmarkEnd w:id="66"/>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rd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rd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rd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rdtext"/>
      </w:pPr>
      <w:r>
        <w:t xml:space="preserve">den tredje punkten: randomisering, kontrollerat, standardiserat, skärmdimensioner, HTML, webbläsare</w:t>
      </w:r>
    </w:p>
    <w:p>
      <w:pPr>
        <w:pStyle w:val="Brd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rdtext"/>
      </w:pPr>
      <w:r>
        <w:t xml:space="preserve">survey-experiment, själv-administrerad behandling, experimentdesign?</w:t>
      </w:r>
    </w:p>
    <w:p>
      <w:pPr>
        <w:pStyle w:val="Brd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p>
      <w:pPr>
        <w:pStyle w:val="Rubrik3"/>
      </w:pPr>
      <w:bookmarkStart w:id="67" w:name="planering-av-experimentella-villkor"/>
      <w:r>
        <w:t xml:space="preserve">7.4.6 Planering av experimentella villkor</w:t>
      </w:r>
      <w:bookmarkEnd w:id="67"/>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nk"/>
          </w:rPr>
          <w:t xml:space="preserve">7.4.5</w:t>
        </w:r>
      </w:hyperlink>
      <w:r>
        <w:t xml:space="preserve">. Denna del beskriver</w:t>
      </w:r>
    </w:p>
    <w:p>
      <w:pPr>
        <w:pStyle w:val="Rubrik3"/>
      </w:pPr>
      <w:bookmarkStart w:id="68" w:name="rapportering-av-experimentella-villkor"/>
      <w:r>
        <w:t xml:space="preserve">7.4.7 Rapportering av experimentella villkor</w:t>
      </w:r>
      <w:bookmarkEnd w:id="6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Rubrik2"/>
      </w:pPr>
      <w:bookmarkStart w:id="69" w:name="experimentell-design"/>
      <w:r>
        <w:t xml:space="preserve">7.5 Experimentell design</w:t>
      </w:r>
      <w:bookmarkEnd w:id="69"/>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rd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rd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rd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p>
      <w:pPr>
        <w:pStyle w:val="Rubrik3"/>
      </w:pPr>
      <w:bookmarkStart w:id="70" w:name="instruktioner-och-uppgifter"/>
      <w:r>
        <w:t xml:space="preserve">7.5.1 Instruktioner och uppgifter</w:t>
      </w:r>
      <w:bookmarkEnd w:id="70"/>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rd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rd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p>
      <w:pPr>
        <w:pStyle w:val="Rubrik3"/>
      </w:pPr>
      <w:bookmarkStart w:id="71" w:name="randomisering-och-balansering"/>
      <w:r>
        <w:t xml:space="preserve">7.5.2 Randomisering och balansering</w:t>
      </w:r>
      <w:bookmarkEnd w:id="71"/>
    </w:p>
    <w:p>
      <w:pPr>
        <w:pStyle w:val="FirstParagraph"/>
      </w:pPr>
      <w:r>
        <w:t xml:space="preserve">Vi har hittills diskuterat de individer som deltar i experiment (</w:t>
      </w:r>
      <w:hyperlink w:anchor="sec07.2">
        <w:r>
          <w:rPr>
            <w:rStyle w:val="Hyperlnk"/>
          </w:rPr>
          <w:t xml:space="preserve">7.2 Försöksdeltagare</w:t>
        </w:r>
      </w:hyperlink>
      <w:r>
        <w:t xml:space="preserve">), de beroende variabler experimentet uppmäter hos deltagarna (</w:t>
      </w:r>
      <w:hyperlink w:anchor="sec07.3">
        <w:r>
          <w:rPr>
            <w:rStyle w:val="Hyperlnk"/>
          </w:rPr>
          <w:t xml:space="preserve">7.3 Mätinstrument</w:t>
        </w:r>
      </w:hyperlink>
      <w:r>
        <w:t xml:space="preserve">), samt de behandlingar som dessa individer genomgår (</w:t>
      </w:r>
      <w:hyperlink w:anchor="sec07.4">
        <w:r>
          <w:rPr>
            <w:rStyle w:val="Hyperlnk"/>
          </w:rPr>
          <w:t xml:space="preserve">7.4 Experimentella villkor</w:t>
        </w:r>
      </w:hyperlink>
      <w:r>
        <w:t xml:space="preserve">). När vi nu fortsätter med att diskutera experimentdesign (7.5), är förmodligen en av de viktigaste aspekterna begreppet “randomisering” (Fisher</w:t>
      </w:r>
      <w:r>
        <w:t xml:space="preserve"> </w:t>
      </w:r>
      <w:hyperlink w:anchor="ref-fisher1936design">
        <w:r>
          <w:rPr>
            <w:rStyle w:val="Hyperlnk"/>
          </w:rPr>
          <w:t xml:space="preserve">1936</w:t>
        </w:r>
      </w:hyperlink>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rd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rd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rd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Brdtext"/>
      </w:pPr>
      <w:r>
        <w:t xml:space="preserve">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rd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rd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p>
      <w:pPr>
        <w:pStyle w:val="Rubrik3"/>
      </w:pPr>
      <w:bookmarkStart w:id="72" w:name="mellangruppsdesign"/>
      <w:r>
        <w:t xml:space="preserve">7.5.3 Mellangruppsdesign</w:t>
      </w:r>
      <w:bookmarkEnd w:id="72"/>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rd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Brdtext"/>
      </w:pPr>
      <w:r>
        <w:t xml:space="preserve">Mellangruppsdesign.</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r>
      <w:tr>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r>
      <w:tr>
        <w:tc>
          <w:p>
            <w:pPr>
              <w:pStyle w:val="Compact"/>
              <w:jc w:val="left"/>
            </w:pPr>
            <w:r>
              <w:t xml:space="preserve">Deltagare 7</w:t>
            </w:r>
          </w:p>
        </w:tc>
        <w:tc>
          <w:p>
            <w:pPr>
              <w:pStyle w:val="Compact"/>
              <w:jc w:val="left"/>
            </w:pPr>
            <w:r>
              <w:t xml:space="preserve">Deltagare 8</w:t>
            </w:r>
          </w:p>
        </w:tc>
        <w:tc>
          <w:p>
            <w:pPr>
              <w:pStyle w:val="Compact"/>
              <w:jc w:val="left"/>
            </w:pPr>
            <w:r>
              <w:t xml:space="preserve">…</w:t>
            </w:r>
          </w:p>
        </w:tc>
      </w:tr>
    </w:tbl>
    <w:p>
      <w:pPr>
        <w:pStyle w:val="Brdtext"/>
      </w:pPr>
      <w:r>
        <w:t xml:space="preserve">Låt oss nu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kontrollvillkor samt behandlingsvillkor. Vi väljer först en bild på en person som är neutral i förhållande till postens text, och använder denna bild för att konstruera experimentets kontrollvillkor. Därefter väjer vi en bild på en känd kriminolog, t.ex. Leif G.W. Persson, som kan anses vara en auktoritetsperson inom området brottslighet, och använder denna bild för att konstruera Facebook-postens behandlingsvillkor.</w:t>
      </w:r>
    </w:p>
    <w:p>
      <w:pPr>
        <w:pStyle w:val="Brdtext"/>
      </w:pPr>
      <w:r>
        <w:t xml:space="preserve">Om vi nu skulle välja att genomföra detta experiment med mellangruppsdesign, skulle det innebära att vi började rekrytera kanske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(bild på neutral person), medan den andra häften fick läsa posten i behandlingsvillkoret (bild på auktoritetsperson). Randomiseringen skulle kunna lösas så att villkoren slumpades fram med 50% sannolikhet för vardera villor, eller genom att varannan deltagare genomgick kontrollvillkoret, och varannan behandlingsvillkoret.</w:t>
      </w:r>
    </w:p>
    <w:p>
      <w:pPr>
        <w:pStyle w:val="Brdtext"/>
      </w:pPr>
      <w:r>
        <w:t xml:space="preserve">Detta experiment skulle vara fullt möjligt att genomföra, och på engelska kallas den vanligen “between-subjects design”. Men om vi försöker rikta kritik mot denna design, så kan vi framföra synpunkten att den riskerar att introducera brus eller mätfel på grund av individuella skillnader, dvs varje deltagare genererar endast en mätpunkt och deltagargrupperna kan aldrig bli helt “matchade” i alla avseenden. Därigenom skulle vi kanske också kunna invända att designen inte “skalar upp” så bra i och med att vi måste rekrytera många deltagare för att undersöka en enda variation av Facebook-posters utformning.</w:t>
      </w:r>
    </w:p>
    <w:p>
      <w:pPr>
        <w:pStyle w:val="Rubrik3"/>
      </w:pPr>
      <w:bookmarkStart w:id="73" w:name="inomgruppsdesign"/>
      <w:r>
        <w:t xml:space="preserve">7.5.4 Inomgruppsdesign</w:t>
      </w:r>
      <w:bookmarkEnd w:id="73"/>
    </w:p>
    <w:p>
      <w:pPr>
        <w:pStyle w:val="FirstParagraph"/>
      </w:pPr>
      <w:r>
        <w:t xml:space="preserve">För att åtgärda en del av svagheterna med mellangruppsdesign kan vi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sådana experimentdesigner är att man därigenom delvis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(genom att variansen inom varje villkor förhoppningsvis kan reduceras något).</w:t>
      </w:r>
    </w:p>
    <w:p>
      <w:pPr>
        <w:pStyle w:val="Brd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vilja lägga till en eller flera behandlingar. I sådana situationer behöver man inte rekrytera en grupp med nya försöksdeltagare (vilket vore fallet i en mellangruppsdesign), utan samma deltagare exponeras bara för ytterligare ett behandlingsvillkor under experimentets genomförande. En möjlig nackdel med detta är att experimentet tar längre tid att genomföra för varje deltagare, när den ska delta i fler villkor.</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r>
      <w:tr>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r>
      <w:tr>
        <w:tc>
          <w:p>
            <w:pPr>
              <w:pStyle w:val="Compact"/>
              <w:jc w:val="left"/>
            </w:pPr>
            <w:r>
              <w:t xml:space="preserve">Deltagare 3</w:t>
            </w:r>
          </w:p>
        </w:tc>
        <w:tc>
          <w:p>
            <w:pPr>
              <w:pStyle w:val="Compact"/>
              <w:jc w:val="left"/>
            </w:pPr>
            <w:r>
              <w:t xml:space="preserve">Deltagare 3</w:t>
            </w:r>
          </w:p>
        </w:tc>
        <w:tc>
          <w:p>
            <w:pPr>
              <w:pStyle w:val="Compact"/>
              <w:jc w:val="left"/>
            </w:pPr>
            <w:r>
              <w:t xml:space="preserve">Deltagare 3</w:t>
            </w:r>
          </w:p>
        </w:tc>
      </w:tr>
    </w:tbl>
    <w:p>
      <w:pPr>
        <w:pStyle w:val="Brdtext"/>
      </w:pPr>
      <w:r>
        <w:t xml:space="preserve">Om vi än en gång återvänter till vårt exempel-experiment, och nu istället tänker oss att vi skulle genomföra samma studie med hjälp av en inomgruppsdesign, skulle vi alltså behöva börja med att fundera på hur vi exponerar varje deltagare både för kontrollvillkor (Facebook-post med bild på neutral person)</w:t>
      </w:r>
      <w:r>
        <w:t xml:space="preserve"> </w:t>
      </w:r>
      <w:r>
        <w:rPr>
          <w:i/>
        </w:rPr>
        <w:t xml:space="preserve">och</w:t>
      </w:r>
      <w:r>
        <w:t xml:space="preserve"> </w:t>
      </w:r>
      <w:r>
        <w:t xml:space="preserve">behandlingsvillkor (bild på auktoritetsperson). Om vi tänker igenom detta upplägg så kommer vi nu behöva hantera en situation där varje deltagare får läsa</w:t>
      </w:r>
      <w:r>
        <w:t xml:space="preserve"> </w:t>
      </w:r>
      <w:r>
        <w:rPr>
          <w:i/>
        </w:rPr>
        <w:t xml:space="preserve">två olika</w:t>
      </w:r>
      <w:r>
        <w:t xml:space="preserve"> </w:t>
      </w:r>
      <w:r>
        <w:t xml:space="preserve">Facebook-poster, en post för vardera villkor. Med en mellangruppsdesign, som vi diskuterade tidigare, klarade vi oss med</w:t>
      </w:r>
      <w:r>
        <w:t xml:space="preserve"> </w:t>
      </w:r>
      <w:r>
        <w:rPr>
          <w:i/>
        </w:rPr>
        <w:t xml:space="preserve">en</w:t>
      </w:r>
      <w:r>
        <w:t xml:space="preserve"> </w:t>
      </w:r>
      <w:r>
        <w:t xml:space="preserve">post som manupulerades i två villkor, eftersom denna post visades för olika grupper av individer. Om vi skulle visa samma post i båda villkor för samma deltagare skulle dessa antagligen förstå att posten manipulerats, och de skulle följaktligen ha genomskådat experimentets villkor. Denna insikt skulle i sig påverka hur deltagarna interagerade med posten, och en av de viktigaste förutsättningarna för experimentet – att deltagarna läser posterna som vanligt – skulle gå förlorad. I en naturlig miljö förekommer sällan situationer där samma post visas två gånger med olika bild, eftersom detta kan antas påverka experimentets utfall. Exempelvis kan vi tänka oss att deltagarna skulle läsa posten mindre noggrant andra gången den visades för dem, oavsett i vilket villkor den tillhörande bilden presenterades.</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Villkor_stimuli</w:t>
            </w:r>
          </w:p>
        </w:tc>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Behandlingsvillkor</w:t>
            </w:r>
          </w:p>
        </w:tc>
      </w:tr>
      <w:tr>
        <w:tc>
          <w:p>
            <w:pPr>
              <w:pStyle w:val="Compact"/>
              <w:jc w:val="left"/>
            </w:pPr>
            <w:r>
              <w:t xml:space="preserve">Stimulus_1</w:t>
            </w:r>
          </w:p>
        </w:tc>
        <w:tc>
          <w:p>
            <w:pPr>
              <w:pStyle w:val="Compact"/>
              <w:jc w:val="left"/>
            </w:pPr>
            <w:r>
              <w:t xml:space="preserve">Deltagare 1</w:t>
            </w:r>
          </w:p>
        </w:tc>
        <w:tc>
          <w:p>
            <w:pPr>
              <w:pStyle w:val="Compact"/>
              <w:jc w:val="left"/>
            </w:pPr>
            <w:r>
              <w:t xml:space="preserve">Deltagare 2</w:t>
            </w:r>
          </w:p>
        </w:tc>
      </w:tr>
      <w:tr>
        <w:tc>
          <w:p>
            <w:pPr>
              <w:pStyle w:val="Compact"/>
              <w:jc w:val="left"/>
            </w:pPr>
            <w:r>
              <w:t xml:space="preserve">Stimulus_2</w:t>
            </w:r>
          </w:p>
        </w:tc>
        <w:tc>
          <w:p>
            <w:pPr>
              <w:pStyle w:val="Compact"/>
              <w:jc w:val="left"/>
            </w:pPr>
            <w:r>
              <w:t xml:space="preserve">Deltagare 2</w:t>
            </w:r>
          </w:p>
        </w:tc>
        <w:tc>
          <w:p>
            <w:pPr>
              <w:pStyle w:val="Compact"/>
              <w:jc w:val="left"/>
            </w:pPr>
            <w:r>
              <w:t xml:space="preserve">Deltagare 1</w:t>
            </w:r>
          </w:p>
        </w:tc>
      </w:tr>
    </w:tbl>
    <w:p>
      <w:pPr>
        <w:pStyle w:val="Brdtext"/>
      </w:pPr>
      <w:r>
        <w:t xml:space="preserve">För att hantera denna problematik förutsätter alltså inomgruppsdesignen att vi har lika många Facebook-poster (visuella stimuli) som kan instantiera villkoren, som vi har faktiska villkor i studien (två, i vårt exempel-experiment). Den första deltagaren får alltså läsa den första Facebook-posten i kontrollvillkoret, och sedan fortsätta till att läsa den andra posten i behandlingsvillkoret. Medan den andra deltagaren får läsa den första posten i behandlingsvillkoret, och den andra posten i kontrollvillkoret. Därefter upprepas denna sekvens för varje par nya deltagare som ingår i studien. På så vis kommer alla deltagare att exponeras för studiens båda villkor utan att risken blir alltför stor att de genomskådar manipulationen och därigenom ger upphov till icke-representativa och irrelevanta mätdata. Detta designmönster kan anses som mycket användbart inom beteendevetenskapliga experiment, eftersom bruset som orsakas av ordningseffekter och individuella skillnader hos deltagarna minskar något. Dock kan man kanske fortfarande argumentera att en kvarvarande bruskälla är att varje villkor bara presenteras en enda gång, vilket leder oss vidare till experimentdesigner med upprepade villkor.</w:t>
      </w:r>
    </w:p>
    <w:p>
      <w:pPr>
        <w:pStyle w:val="Rubrik3"/>
      </w:pPr>
      <w:bookmarkStart w:id="74" w:name="upprepade-villkor"/>
      <w:r>
        <w:t xml:space="preserve">7.5.5 Upprepade villkor</w:t>
      </w:r>
      <w:bookmarkEnd w:id="74"/>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(medicinska) behandlingar upprepas ett antal gånger med samma försöksdeltagare och med en viss tidsperiods mellanrum. Tanken med att upprepa villkoren är att flera mätpunkter för varje deltagare sammantaget bör ge en mer rättvis bild av effekten av en behandling, än om endast en mätning görs per deltagare. Denna design kan kallas för upprepade villkor eller upprepade mätningar, där den senare beteckningen hamnar hyfsat nära den engelska motsvarigheten “repeated measures”.</w:t>
      </w:r>
    </w:p>
    <w:p>
      <w:pPr>
        <w:pStyle w:val="Brdtext"/>
      </w:pPr>
      <w:r>
        <w:t xml:space="preserve">Faktum är att ett inomgruppsexperiment med två villkor redan kan anses vara ett minimalt exempel på upprepade mätningar, eftersom varje deltagare då mäts två gånger</w:t>
      </w:r>
    </w:p>
    <w:p>
      <w:pPr>
        <w:pStyle w:val="Brdtext"/>
      </w:pPr>
      <w:r>
        <w:t xml:space="preserve">- formuleringen "within-subjects repeated measures design". Kanske betona “försöksomgångar” som översättning av trials ..Ett annat sätt att mitigera risken att deltagare inser manipulationen i ett experiment kan vara att använda s.k. “fillers”, stimuli som liknar de andra som används (t.ex. FB-poster med text och bild) men som inte har något att göra med de experimentella villkoren</w:t>
      </w:r>
    </w:p>
    <w:p>
      <w:pPr>
        <w:pStyle w:val="Brdtext"/>
      </w:pPr>
      <w:r>
        <w:t xml:space="preserve">Upprepade villkor.</w:t>
      </w:r>
    </w:p>
    <w:p>
      <w:pPr>
        <w:pStyle w:val="TableCaption"/>
      </w:pPr>
      <w:r>
        <w:t xml:space="preserve">Upprepade villkor.</w:t>
      </w:r>
    </w:p>
    <w:tbl>
      <w:tblPr>
        <w:tblStyle w:val="Table"/>
        <w:tblW w:type="pct" w:w="0.0"/>
        <w:tblLook w:firstRow="1"/>
        <w:tblCaption w:val="Upprepade villko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3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bl>
    <w:p>
      <w:pPr>
        <w:pStyle w:val="Brdtext"/>
      </w:pPr>
      <w:r>
        <w:t xml:space="preserve">Diskutera expempel experiment med Facebook-poster enligt ett upplägg med mellangruppsdesign och upprepade villkor. Om vi kombinerar allt vi lärt oss hittills, inklusive randomisering och balansering.</w:t>
      </w:r>
    </w:p>
    <w:p>
      <w:pPr>
        <w:pStyle w:val="Brdtext"/>
      </w:pPr>
      <w:r>
        <w:t xml:space="preserve">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Rubrik3"/>
      </w:pPr>
      <w:bookmarkStart w:id="75" w:name="faktoriell-design"/>
      <w:r>
        <w:t xml:space="preserve">7.5.6 Faktoriell design</w:t>
      </w:r>
      <w:bookmarkEnd w:id="75"/>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rdtext"/>
      </w:pPr>
      <w:r>
        <w:t xml:space="preserve">Faktoriell design.</w:t>
      </w:r>
    </w:p>
    <w:p>
      <w:pPr>
        <w:pStyle w:val="TableCaption"/>
      </w:pPr>
      <w:r>
        <w:t xml:space="preserve">Faktoriell design.</w:t>
      </w:r>
    </w:p>
    <w:tbl>
      <w:tblPr>
        <w:tblStyle w:val="Table"/>
        <w:tblW w:type="pct" w:w="0.0"/>
        <w:tblLook w:firstRow="1"/>
        <w:tblCaption w:val="Faktoriell design."/>
      </w:tblPr>
      <w:tblGrid/>
      <w:tr>
        <w:trPr>
          <w:cnfStyle w:firstRow="1"/>
        </w:trPr>
        <w:tc>
          <w:tcPr>
            <w:tcBorders>
              <w:bottom w:val="single"/>
            </w:tcBorders>
            <w:vAlign w:val="bottom"/>
          </w:tcPr>
          <w:p>
            <w:pPr>
              <w:pStyle w:val="Compact"/>
              <w:jc w:val="left"/>
            </w:pPr>
            <w:r>
              <w:t xml:space="preserve">Faktor_AB</w:t>
            </w:r>
          </w:p>
        </w:tc>
        <w:tc>
          <w:tcPr>
            <w:tcBorders>
              <w:bottom w:val="single"/>
            </w:tcBorders>
            <w:vAlign w:val="bottom"/>
          </w:tcPr>
          <w:p>
            <w:pPr>
              <w:pStyle w:val="Compact"/>
              <w:jc w:val="left"/>
            </w:pPr>
            <w:r>
              <w:t xml:space="preserve">Faktor_A_nivå_0</w:t>
            </w:r>
          </w:p>
        </w:tc>
        <w:tc>
          <w:tcPr>
            <w:tcBorders>
              <w:bottom w:val="single"/>
            </w:tcBorders>
            <w:vAlign w:val="bottom"/>
          </w:tcPr>
          <w:p>
            <w:pPr>
              <w:pStyle w:val="Compact"/>
              <w:jc w:val="left"/>
            </w:pPr>
            <w:r>
              <w:t xml:space="preserve">Faktor_A_nivå_1</w:t>
            </w:r>
          </w:p>
        </w:tc>
        <w:tc>
          <w:tcPr>
            <w:tcBorders>
              <w:bottom w:val="single"/>
            </w:tcBorders>
            <w:vAlign w:val="bottom"/>
          </w:tcPr>
          <w:p>
            <w:pPr>
              <w:pStyle w:val="Compact"/>
              <w:jc w:val="left"/>
            </w:pPr>
            <w:r>
              <w:t xml:space="preserve">Faktor_A_nivå_2</w:t>
            </w:r>
          </w:p>
        </w:tc>
      </w:tr>
      <w:tr>
        <w:tc>
          <w:p>
            <w:pPr>
              <w:pStyle w:val="Compact"/>
              <w:jc w:val="left"/>
            </w:pPr>
            <w:r>
              <w:t xml:space="preserve">Faktor_B_nivå_0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r>
      <w:tr>
        <w:tc>
          <w:p>
            <w:pPr>
              <w:pStyle w:val="Compact"/>
              <w:jc w:val="left"/>
            </w:pPr>
            <w:r>
              <w:t xml:space="preserve">Faktor_B_nivå_1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r>
    </w:tbl>
    <w:p>
      <w:pPr>
        <w:pStyle w:val="Brdtext"/>
      </w:pPr>
      <w:r>
        <w:t xml:space="preserve">Diskutera expempel experiment med Facebook-poster enligt ett upplägg med faktoriell design. Detta designmönster med två experimentella villkor som “korsas” med två experimentella stimuli för varje par av deltagare kallas ibland på engelska för “crossed experimental design”, och kan anses som mycket användbar inom beteendevetenskapliga studier</w:t>
      </w:r>
    </w:p>
    <w:p>
      <w:pPr>
        <w:pStyle w:val="Rubrik3"/>
      </w:pPr>
      <w:bookmarkStart w:id="76" w:name="fallstudie-experiment"/>
      <w:r>
        <w:t xml:space="preserve">7.5.7 Fallstudie-experiment</w:t>
      </w:r>
      <w:bookmarkEnd w:id="76"/>
    </w:p>
    <w:p>
      <w:pPr>
        <w:pStyle w:val="FirstParagraph"/>
      </w:pPr>
      <w:r>
        <w:t xml:space="preserve">SCED vs RCT</w:t>
      </w:r>
    </w:p>
    <w:p>
      <w:pPr>
        <w:pStyle w:val="Rubrik3"/>
      </w:pPr>
      <w:bookmarkStart w:id="77" w:name="naturliga-experiment"/>
      <w:r>
        <w:t xml:space="preserve">7.5.8 Naturliga experiment</w:t>
      </w:r>
      <w:bookmarkEnd w:id="77"/>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78">
        <w:r>
          <w:rPr>
            <w:rStyle w:val="Hyperlnk"/>
          </w:rPr>
          <w:t xml:space="preserve">https://www.reuters.com/world/card-angrist-imbens-win-2021-nobel-economics-prize-2021-10-11/</w:t>
        </w:r>
      </w:hyperlink>
      <w:r>
        <w:t xml:space="preserve">).</w:t>
      </w:r>
    </w:p>
    <w:p>
      <w:pPr>
        <w:pStyle w:val="Rubrik3"/>
      </w:pPr>
      <w:bookmarkStart w:id="79" w:name="kvasi-experiment"/>
      <w:r>
        <w:t xml:space="preserve">7.5.9 Kvasi-experiment</w:t>
      </w:r>
      <w:bookmarkEnd w:id="79"/>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 Single-case design, traditionell RCT (randomized controlled trial ) vs SCED (single-case experimental designs),</w:t>
      </w:r>
      <w:r>
        <w:t xml:space="preserve"> </w:t>
      </w:r>
      <w:hyperlink r:id="rId80">
        <w:r>
          <w:rPr>
            <w:rStyle w:val="Hyperlnk"/>
          </w:rPr>
          <w:t xml:space="preserve">https://www.nof1sced.org/</w:t>
        </w:r>
      </w:hyperlink>
    </w:p>
    <w:p>
      <w:pPr>
        <w:pStyle w:val="Brdtext"/>
      </w:pPr>
      <w:r>
        <w:drawing>
          <wp:inline>
            <wp:extent cx="4673600" cy="1238785"/>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81"/>
                    <a:stretch>
                      <a:fillRect/>
                    </a:stretch>
                  </pic:blipFill>
                  <pic:spPr bwMode="auto">
                    <a:xfrm>
                      <a:off x="0" y="0"/>
                      <a:ext cx="4673600" cy="1238785"/>
                    </a:xfrm>
                    <a:prstGeom prst="rect">
                      <a:avLst/>
                    </a:prstGeom>
                    <a:noFill/>
                    <a:ln w="9525">
                      <a:noFill/>
                      <a:headEnd/>
                      <a:tailEnd/>
                    </a:ln>
                  </pic:spPr>
                </pic:pic>
              </a:graphicData>
            </a:graphic>
          </wp:inline>
        </w:drawing>
      </w:r>
    </w:p>
    <w:p>
      <w:pPr>
        <w:pStyle w:val="Brdtext"/>
      </w:pPr>
      <w:r>
        <w:t xml:space="preserve">expdesign</w:t>
      </w:r>
    </w:p>
    <w:p>
      <w:pPr>
        <w:pStyle w:val="Rubrik3"/>
      </w:pPr>
      <w:bookmarkStart w:id="82" w:name="planering-av-experimentdesign"/>
      <w:r>
        <w:t xml:space="preserve">7.5.10 Planering av experimentdesign</w:t>
      </w:r>
      <w:bookmarkEnd w:id="82"/>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nk"/>
          </w:rPr>
          <w:t xml:space="preserve">7.5.3</w:t>
        </w:r>
      </w:hyperlink>
      <w:r>
        <w:t xml:space="preserve">.</w:t>
      </w:r>
    </w:p>
    <w:p>
      <w:pPr>
        <w:numPr>
          <w:ilvl w:val="0"/>
          <w:numId w:val="1006"/>
        </w:numPr>
      </w:pPr>
      <w:r>
        <w:t xml:space="preserve">Inomgruppsdesign</w:t>
      </w:r>
      <w:r>
        <w:t xml:space="preserve"> </w:t>
      </w:r>
      <w:hyperlink w:anchor="sub07.5.4">
        <w:r>
          <w:rPr>
            <w:rStyle w:val="Hyperlnk"/>
          </w:rPr>
          <w:t xml:space="preserve">7.5.4</w:t>
        </w:r>
      </w:hyperlink>
    </w:p>
    <w:p>
      <w:pPr>
        <w:numPr>
          <w:ilvl w:val="0"/>
          <w:numId w:val="1006"/>
        </w:numPr>
      </w:pPr>
      <w:r>
        <w:t xml:space="preserve">Upprepade villkor</w:t>
      </w:r>
      <w:r>
        <w:t xml:space="preserve"> </w:t>
      </w:r>
      <w:hyperlink w:anchor="sub07.5.5">
        <w:r>
          <w:rPr>
            <w:rStyle w:val="Hyperlnk"/>
          </w:rPr>
          <w:t xml:space="preserve">7.5.5</w:t>
        </w:r>
      </w:hyperlink>
    </w:p>
    <w:p>
      <w:pPr>
        <w:numPr>
          <w:ilvl w:val="0"/>
          <w:numId w:val="1006"/>
        </w:numPr>
      </w:pPr>
      <w:r>
        <w:t xml:space="preserve">Faktoriell design</w:t>
      </w:r>
      <w:r>
        <w:t xml:space="preserve"> </w:t>
      </w:r>
      <w:hyperlink w:anchor="sub07.5.6">
        <w:r>
          <w:rPr>
            <w:rStyle w:val="Hyperlnk"/>
          </w:rPr>
          <w:t xml:space="preserve">7.5.6</w:t>
        </w:r>
      </w:hyperlink>
    </w:p>
    <w:p>
      <w:pPr>
        <w:numPr>
          <w:ilvl w:val="0"/>
          <w:numId w:val="1006"/>
        </w:numPr>
      </w:pPr>
      <w:r>
        <w:t xml:space="preserve">Naturliga experiment</w:t>
      </w:r>
      <w:r>
        <w:t xml:space="preserve"> </w:t>
      </w:r>
      <w:hyperlink w:anchor="sub07.5.7">
        <w:r>
          <w:rPr>
            <w:rStyle w:val="Hyperlnk"/>
          </w:rPr>
          <w:t xml:space="preserve">7.5.7</w:t>
        </w:r>
      </w:hyperlink>
    </w:p>
    <w:p>
      <w:pPr>
        <w:numPr>
          <w:ilvl w:val="0"/>
          <w:numId w:val="1006"/>
        </w:numPr>
      </w:pPr>
      <w:r>
        <w:t xml:space="preserve">Kvasi-experiment</w:t>
      </w:r>
      <w:r>
        <w:t xml:space="preserve"> </w:t>
      </w:r>
      <w:hyperlink w:anchor="sub07.5.8">
        <w:r>
          <w:rPr>
            <w:rStyle w:val="Hyperlnk"/>
          </w:rPr>
          <w:t xml:space="preserve">7.5.8</w:t>
        </w:r>
      </w:hyperlink>
    </w:p>
    <w:p>
      <w:pPr>
        <w:pStyle w:val="Rubrik3"/>
      </w:pPr>
      <w:bookmarkStart w:id="83" w:name="rapportering-av-experimentdesign"/>
      <w:r>
        <w:t xml:space="preserve">7.5.11 Rapportering av experimentdesign</w:t>
      </w:r>
      <w:bookmarkEnd w:id="83"/>
    </w:p>
    <w:p>
      <w:pPr>
        <w:pStyle w:val="FirstParagraph"/>
      </w:pPr>
      <w:r>
        <w:t xml:space="preserve">Håll designen så enkel som möjligt för att underlätta tolkningen av resultat. Helst inte mer än 2x2 design.</w:t>
      </w:r>
    </w:p>
    <w:p>
      <w:pPr>
        <w:pStyle w:val="Rubrik2"/>
      </w:pPr>
      <w:bookmarkStart w:id="84" w:name="procedur"/>
      <w:r>
        <w:t xml:space="preserve">7.6 Procedur</w:t>
      </w:r>
      <w:bookmarkEnd w:id="84"/>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rdtext"/>
      </w:pPr>
      <w:r>
        <w:t xml:space="preserve">Kronologisk genomgång av experimentets samtliga delar så som de möter försöksdeltagaren. Dvs hälsning, informerat samtycke, förtest, instruktioner, applicering av mätutrustning, kalibrering,</w:t>
      </w:r>
    </w:p>
    <w:p>
      <w:pPr>
        <w:pStyle w:val="Rubrik3"/>
      </w:pPr>
      <w:bookmarkStart w:id="85" w:name="välkomsthälsning"/>
      <w:r>
        <w:t xml:space="preserve">7.6.1 Välkomsthälsning</w:t>
      </w:r>
      <w:bookmarkEnd w:id="85"/>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rd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rd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p>
      <w:pPr>
        <w:pStyle w:val="Rubrik3"/>
      </w:pPr>
      <w:bookmarkStart w:id="86" w:name="informerat-samtycke"/>
      <w:r>
        <w:t xml:space="preserve">7.6.2 Informerat samtycke</w:t>
      </w:r>
      <w:bookmarkEnd w:id="86"/>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rd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7"/>
        </w:numPr>
      </w:pPr>
      <w:r>
        <w:t xml:space="preserve">andra regler gäller för studenter? Studentarbeten berörs inte av etikprövningslagen, men GDPR gäller alla oavsett.</w:t>
      </w:r>
    </w:p>
    <w:p>
      <w:pPr>
        <w:numPr>
          <w:ilvl w:val="0"/>
          <w:numId w:val="1007"/>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rdtext"/>
      </w:pPr>
      <w:r>
        <w:rPr>
          <w:i/>
        </w:rPr>
        <w:t xml:space="preserve">Stödmall för forskningspersonsinformation från Etikprövningsmyndigheten, senast uppdaterad 1 juni 2021.</w:t>
      </w:r>
    </w:p>
    <w:p>
      <w:pPr>
        <w:pStyle w:val="Brdtext"/>
      </w:pPr>
      <w:r>
        <w:rPr>
          <w:i/>
        </w:rPr>
        <w:t xml:space="preserve">Använd ett enkelt språk. Undvik svåra ord och ovanliga förkortningar. Undvik vädjande formuleringar.</w:t>
      </w:r>
    </w:p>
    <w:p>
      <w:pPr>
        <w:pStyle w:val="Brd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rd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rd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rd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rd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rd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rd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rd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rd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rd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rd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rdtext"/>
      </w:pPr>
      <w:r>
        <w:rPr>
          <w:b/>
        </w:rPr>
        <w:t xml:space="preserve">Ansvariga för projektet.</w:t>
      </w:r>
      <w:r>
        <w:t xml:space="preserve"> </w:t>
      </w:r>
      <w:r>
        <w:t xml:space="preserve">Ansvarig för projektet är Infoga namn och kontaktuppgifter till huvudansvarig forskare. Förslagsvis adress, telefonnummer och e-postadress.</w:t>
      </w:r>
    </w:p>
    <w:p>
      <w:pPr>
        <w:pStyle w:val="Rubrik3"/>
      </w:pPr>
      <w:bookmarkStart w:id="87" w:name="förtest"/>
      <w:r>
        <w:t xml:space="preserve">7.6.3 Förtest</w:t>
      </w:r>
      <w:bookmarkEnd w:id="87"/>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8" w:name="applicera-mätutrustning"/>
      <w:r>
        <w:t xml:space="preserve">7.6.4 Applicera mätutrustning</w:t>
      </w:r>
      <w:bookmarkEnd w:id="88"/>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9" w:name="instruktioner-och-uppgifter-1"/>
      <w:r>
        <w:t xml:space="preserve">7.6.5 Instruktioner och uppgifter</w:t>
      </w:r>
      <w:bookmarkEnd w:id="89"/>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p>
      <w:pPr>
        <w:pStyle w:val="Rubrik3"/>
      </w:pPr>
      <w:bookmarkStart w:id="90" w:name="eftertest"/>
      <w:r>
        <w:t xml:space="preserve">7.6.6 Eftertest</w:t>
      </w:r>
      <w:bookmarkEnd w:id="90"/>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91" w:name="debriefing-och-ersättning"/>
      <w:r>
        <w:t xml:space="preserve">7.6.7 Debriefing och ersättning</w:t>
      </w:r>
      <w:bookmarkEnd w:id="91"/>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92" w:name="planering-av-procedur"/>
      <w:r>
        <w:t xml:space="preserve">7.6.8 Planering av procedur</w:t>
      </w:r>
      <w:bookmarkEnd w:id="92"/>
    </w:p>
    <w:p>
      <w:pPr>
        <w:pStyle w:val="FirstParagraph"/>
      </w:pPr>
      <w:r>
        <w:t xml:space="preserve">Hur lång tid kan man låta ett experiment ta.</w:t>
      </w:r>
    </w:p>
    <w:p>
      <w:pPr>
        <w:pStyle w:val="Rubrik3"/>
      </w:pPr>
      <w:bookmarkStart w:id="93" w:name="rapportering-av-procedur"/>
      <w:r>
        <w:t xml:space="preserve">7.6.9 Rapportering av procedur</w:t>
      </w:r>
      <w:bookmarkEnd w:id="93"/>
    </w:p>
    <w:p>
      <w:pPr>
        <w:pStyle w:val="FirstParagraph"/>
      </w:pPr>
      <w:r>
        <w:t xml:space="preserve">Rapportering - exempel på hur detta skulle kunna formuleras i ett manuskript.</w:t>
      </w:r>
    </w:p>
    <w:p>
      <w:pPr>
        <w:pStyle w:val="Rubrik2"/>
      </w:pPr>
      <w:bookmarkStart w:id="94" w:name="dataanalys"/>
      <w:r>
        <w:t xml:space="preserve">7.7 Dataanalys</w:t>
      </w:r>
      <w:bookmarkEnd w:id="94"/>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rd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rd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p>
      <w:pPr>
        <w:pStyle w:val="Rubrik3"/>
      </w:pPr>
      <w:bookmarkStart w:id="95" w:name="fysiologiska-mätdata"/>
      <w:r>
        <w:t xml:space="preserve">7.7.1 Fysiologiska mätdata</w:t>
      </w:r>
      <w:bookmarkEnd w:id="95"/>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rdtext"/>
      </w:pPr>
      <w:r>
        <w:t xml:space="preserve">reshape, wide to long etc, sök-ersätt värden, koppling mellan dataanalys och experimentdesign</w:t>
      </w:r>
    </w:p>
    <w:p>
      <w:pPr>
        <w:pStyle w:val="Brdtext"/>
      </w:pPr>
      <w:r>
        <w:t xml:space="preserve">Beräkning av beroende och oberoende variabler - aggregering, summativt index</w:t>
      </w:r>
    </w:p>
    <w:p>
      <w:pPr>
        <w:pStyle w:val="Rubrik3"/>
      </w:pPr>
      <w:bookmarkStart w:id="96" w:name="självrapporterade-mätdata"/>
      <w:r>
        <w:t xml:space="preserve">7.7.2 Självrapporterade mätdata</w:t>
      </w:r>
      <w:bookmarkEnd w:id="96"/>
    </w:p>
    <w:p>
      <w:pPr>
        <w:pStyle w:val="FirstParagraph"/>
      </w:pPr>
      <w:r>
        <w:t xml:space="preserve">Den andra viktiga beroende variabeln i experimentet var förtroende, tillit..</w:t>
      </w:r>
    </w:p>
    <w:p>
      <w:pPr>
        <w:pStyle w:val="Rubrik3"/>
      </w:pPr>
      <w:bookmarkStart w:id="97" w:name="planering-av-dataanalys"/>
      <w:r>
        <w:t xml:space="preserve">7.7.3 Planering av dataanalys</w:t>
      </w:r>
      <w:bookmarkEnd w:id="97"/>
    </w:p>
    <w:p>
      <w:pPr>
        <w:pStyle w:val="FirstParagraph"/>
      </w:pPr>
      <w:r>
        <w:t xml:space="preserve">Hur lång tid kan man låta ett experiment ta.</w:t>
      </w:r>
    </w:p>
    <w:p>
      <w:pPr>
        <w:pStyle w:val="Rubrik3"/>
      </w:pPr>
      <w:bookmarkStart w:id="98" w:name="rapportering-av-dataanalys"/>
      <w:r>
        <w:t xml:space="preserve">7.7.4 Rapportering av dataanalys</w:t>
      </w:r>
      <w:bookmarkEnd w:id="98"/>
    </w:p>
    <w:p>
      <w:pPr>
        <w:pStyle w:val="FirstParagraph"/>
      </w:pPr>
      <w:r>
        <w:t xml:space="preserve">Rapportering - exempel på hur detta skulle kunna formuleras i ett manuskript</w:t>
      </w:r>
    </w:p>
    <w:p>
      <w:pPr>
        <w:pStyle w:val="Brdtext"/>
      </w:pPr>
      <w:r>
        <w:t xml:space="preserve">Gränsen mellan dataanalys (genomförande) och resultat (efterarbete) är otydlig.</w:t>
      </w:r>
    </w:p>
    <w:p>
      <w:pPr>
        <w:pStyle w:val="Rubrik1"/>
      </w:pPr>
      <w:bookmarkStart w:id="99" w:name="efterarbete"/>
      <w:r>
        <w:t xml:space="preserve">8 Efterarbete</w:t>
      </w:r>
      <w:bookmarkEnd w:id="99"/>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rd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rd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rdtext"/>
      </w:pPr>
      <w:r>
        <w:t xml:space="preserve">Denna text kommer är tänkt att ersätta sektion 08 resultat och 09 diskussion. Därmed frångår boken den tidigare indelningen enligt IMRD. Domstolsmetafor, slutplädering. Titta i backspegeln metafor.</w:t>
      </w:r>
    </w:p>
    <w:p>
      <w:pPr>
        <w:pStyle w:val="Rubrik2"/>
      </w:pPr>
      <w:bookmarkStart w:id="100" w:name="resultat"/>
      <w:r>
        <w:t xml:space="preserve">8.1 Resultat</w:t>
      </w:r>
      <w:bookmarkEnd w:id="100"/>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rd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rd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rd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p>
      <w:pPr>
        <w:pStyle w:val="Rubrik3"/>
      </w:pPr>
      <w:bookmarkStart w:id="101" w:name="beskrivande-resultat"/>
      <w:r>
        <w:t xml:space="preserve">8.1.1 Beskrivande resultat</w:t>
      </w:r>
      <w:bookmarkEnd w:id="101"/>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rd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rdtext"/>
      </w:pPr>
      <w:r>
        <w:t xml:space="preserve">Beskrivande resultat eller deskriptiv statistik.</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left"/>
            </w:pPr>
            <w:r>
              <w:t xml:space="preserve">observationer</w:t>
            </w:r>
          </w:p>
        </w:tc>
        <w:tc>
          <w:tcPr>
            <w:tcBorders>
              <w:bottom w:val="single"/>
            </w:tcBorders>
            <w:vAlign w:val="bottom"/>
          </w:tcPr>
          <w:p>
            <w:pPr>
              <w:pStyle w:val="Compact"/>
              <w:jc w:val="left"/>
            </w:pPr>
            <w:r>
              <w:t xml:space="preserve">medelvärde</w:t>
            </w:r>
          </w:p>
        </w:tc>
        <w:tc>
          <w:tcPr>
            <w:tcBorders>
              <w:bottom w:val="single"/>
            </w:tcBorders>
            <w:vAlign w:val="bottom"/>
          </w:tcPr>
          <w:p>
            <w:pPr>
              <w:pStyle w:val="Compact"/>
              <w:jc w:val="left"/>
            </w:pPr>
            <w:r>
              <w:t xml:space="preserve">standardavvikelse</w:t>
            </w:r>
          </w:p>
        </w:tc>
      </w:tr>
      <w:tr>
        <w:tc>
          <w:p>
            <w:pPr>
              <w:pStyle w:val="Compact"/>
              <w:jc w:val="left"/>
            </w:pPr>
            <w:r>
              <w:t xml:space="preserve">visuell uppmärksamhet</w:t>
            </w:r>
          </w:p>
        </w:tc>
        <w:tc>
          <w:p>
            <w:pPr>
              <w:pStyle w:val="Compact"/>
              <w:jc w:val="left"/>
            </w:pPr>
            <w:r>
              <w:t xml:space="preserve">100</w:t>
            </w:r>
          </w:p>
        </w:tc>
        <w:tc>
          <w:p>
            <w:pPr>
              <w:pStyle w:val="Compact"/>
              <w:jc w:val="left"/>
            </w:pPr>
            <w:r>
              <w:t xml:space="preserve">10.5</w:t>
            </w:r>
          </w:p>
        </w:tc>
        <w:tc>
          <w:p>
            <w:pPr>
              <w:pStyle w:val="Compact"/>
              <w:jc w:val="left"/>
            </w:pPr>
            <w:r>
              <w:t xml:space="preserve">2.3</w:t>
            </w:r>
          </w:p>
        </w:tc>
      </w:tr>
      <w:tr>
        <w:tc>
          <w:p>
            <w:pPr>
              <w:pStyle w:val="Compact"/>
              <w:jc w:val="left"/>
            </w:pPr>
            <w:r>
              <w:t xml:space="preserve">upplevd trovärdighet</w:t>
            </w:r>
          </w:p>
        </w:tc>
        <w:tc>
          <w:p>
            <w:pPr>
              <w:pStyle w:val="Compact"/>
              <w:jc w:val="left"/>
            </w:pPr>
            <w:r>
              <w:t xml:space="preserve">100</w:t>
            </w:r>
          </w:p>
        </w:tc>
        <w:tc>
          <w:p>
            <w:pPr>
              <w:pStyle w:val="Compact"/>
              <w:jc w:val="left"/>
            </w:pPr>
            <w:r>
              <w:t xml:space="preserve">2.1</w:t>
            </w:r>
          </w:p>
        </w:tc>
        <w:tc>
          <w:p>
            <w:pPr>
              <w:pStyle w:val="Compact"/>
              <w:jc w:val="left"/>
            </w:pPr>
            <w:r>
              <w:t xml:space="preserve">4.1</w:t>
            </w:r>
          </w:p>
        </w:tc>
      </w:tr>
    </w:tbl>
    <w:p>
      <w:pPr>
        <w:pStyle w:val="Brd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rdtext"/>
      </w:pPr>
      <w:r>
        <w:drawing>
          <wp:inline>
            <wp:extent cx="4673600" cy="35051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102"/>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Beskrivande resultat eller deskriptiv statistik.</w:t>
      </w:r>
    </w:p>
    <w:p>
      <w:pPr>
        <w:pStyle w:val="Brd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p>
      <w:pPr>
        <w:pStyle w:val="Rubrik3"/>
      </w:pPr>
      <w:bookmarkStart w:id="103" w:name="inferentiella-resultat"/>
      <w:r>
        <w:t xml:space="preserve">8.1.2 Inferentiella resultat</w:t>
      </w:r>
      <w:bookmarkEnd w:id="103"/>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rdtext"/>
      </w:pPr>
      <w:r>
        <w:drawing>
          <wp:inline>
            <wp:extent cx="4673600" cy="35051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104"/>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Inferentiella resultat.</w:t>
      </w:r>
    </w:p>
    <w:p>
      <w:pPr>
        <w:pStyle w:val="Brd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8"/>
        </w:numPr>
      </w:pPr>
      <w:r>
        <w:t xml:space="preserve">H1: Facebook-poster med bild på en auktoritetsperson kommer att orsaka mer visuell uppmärksamhet på posten jämfört med bilder som innehåller en neutral person.</w:t>
      </w:r>
    </w:p>
    <w:p>
      <w:pPr>
        <w:numPr>
          <w:ilvl w:val="0"/>
          <w:numId w:val="1008"/>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Brdtext"/>
      </w:pPr>
      <w:r>
        <w:t xml:space="preserve">Inferentiella resultat.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left"/>
            </w:pPr>
            <w:r>
              <w:t xml:space="preserve">kontroll</w:t>
            </w:r>
          </w:p>
        </w:tc>
        <w:tc>
          <w:tcPr>
            <w:tcBorders>
              <w:bottom w:val="single"/>
            </w:tcBorders>
            <w:vAlign w:val="bottom"/>
          </w:tcPr>
          <w:p>
            <w:pPr>
              <w:pStyle w:val="Compact"/>
              <w:jc w:val="left"/>
            </w:pPr>
            <w:r>
              <w:t xml:space="preserve">behandling</w:t>
            </w:r>
          </w:p>
        </w:tc>
        <w:tc>
          <w:tcPr>
            <w:tcBorders>
              <w:bottom w:val="single"/>
            </w:tcBorders>
            <w:vAlign w:val="bottom"/>
          </w:tcPr>
          <w:p>
            <w:pPr>
              <w:pStyle w:val="Compact"/>
              <w:jc w:val="left"/>
            </w:pPr>
            <w:r>
              <w:t xml:space="preserve">t.värde</w:t>
            </w:r>
          </w:p>
        </w:tc>
        <w:tc>
          <w:tcPr>
            <w:tcBorders>
              <w:bottom w:val="single"/>
            </w:tcBorders>
            <w:vAlign w:val="bottom"/>
          </w:tcPr>
          <w:p>
            <w:pPr>
              <w:pStyle w:val="Compact"/>
              <w:jc w:val="left"/>
            </w:pPr>
            <w:r>
              <w:t xml:space="preserve">p.värde</w:t>
            </w:r>
          </w:p>
        </w:tc>
        <w:tc>
          <w:tcPr>
            <w:tcBorders>
              <w:bottom w:val="single"/>
            </w:tcBorders>
            <w:vAlign w:val="bottom"/>
          </w:tcPr>
          <w:p>
            <w:pPr>
              <w:pStyle w:val="Compact"/>
              <w:jc w:val="left"/>
            </w:pPr>
            <w:r>
              <w:t xml:space="preserve">frihetsgrader</w:t>
            </w:r>
          </w:p>
        </w:tc>
        <w:tc>
          <w:tcPr>
            <w:tcBorders>
              <w:bottom w:val="single"/>
            </w:tcBorders>
            <w:vAlign w:val="bottom"/>
          </w:tcPr>
          <w:p>
            <w:pPr>
              <w:pStyle w:val="Compact"/>
              <w:jc w:val="left"/>
            </w:pPr>
            <w:r>
              <w:t xml:space="preserve">effektstorlek</w:t>
            </w:r>
          </w:p>
        </w:tc>
      </w:tr>
      <w:tr>
        <w:tc>
          <w:p>
            <w:pPr>
              <w:pStyle w:val="Compact"/>
              <w:jc w:val="left"/>
            </w:pPr>
            <w:r>
              <w:t xml:space="preserve">10</w:t>
            </w:r>
          </w:p>
        </w:tc>
        <w:tc>
          <w:p>
            <w:pPr>
              <w:pStyle w:val="Compact"/>
              <w:jc w:val="left"/>
            </w:pPr>
            <w:r>
              <w:t xml:space="preserve">11</w:t>
            </w:r>
          </w:p>
        </w:tc>
        <w:tc>
          <w:p>
            <w:pPr>
              <w:pStyle w:val="Compact"/>
              <w:jc w:val="left"/>
            </w:pPr>
            <w:r>
              <w:t xml:space="preserve">2.702</w:t>
            </w:r>
          </w:p>
        </w:tc>
        <w:tc>
          <w:p>
            <w:pPr>
              <w:pStyle w:val="Compact"/>
              <w:jc w:val="left"/>
            </w:pPr>
            <w:r>
              <w:t xml:space="preserve">0.007</w:t>
            </w:r>
          </w:p>
        </w:tc>
        <w:tc>
          <w:p>
            <w:pPr>
              <w:pStyle w:val="Compact"/>
              <w:jc w:val="left"/>
            </w:pPr>
            <w:r>
              <w:t xml:space="preserve">198</w:t>
            </w:r>
          </w:p>
        </w:tc>
        <w:tc>
          <w:p>
            <w:pPr>
              <w:pStyle w:val="Compact"/>
              <w:jc w:val="left"/>
            </w:pPr>
            <w:r>
              <w:t xml:space="preserve">0.382</w:t>
            </w:r>
          </w:p>
        </w:tc>
      </w:tr>
    </w:tbl>
    <w:p>
      <w:pPr>
        <w:pStyle w:val="Brd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 (Trafimow and Marks</w:t>
      </w:r>
      <w:r>
        <w:t xml:space="preserve"> </w:t>
      </w:r>
      <w:hyperlink w:anchor="ref-trafimow2015editorial">
        <w:r>
          <w:rPr>
            <w:rStyle w:val="Hyperlnk"/>
          </w:rPr>
          <w:t xml:space="preserve">2015</w:t>
        </w:r>
      </w:hyperlink>
      <w:r>
        <w:t xml:space="preserve">).</w:t>
      </w:r>
    </w:p>
    <w:p>
      <w:pPr>
        <w:pStyle w:val="Brd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p>
      <w:pPr>
        <w:pStyle w:val="Rubrik3"/>
      </w:pPr>
      <w:bookmarkStart w:id="105" w:name="rapportering-av-resultat"/>
      <w:r>
        <w:t xml:space="preserve">8.1.3 Rapportering av resultat</w:t>
      </w:r>
      <w:bookmarkEnd w:id="105"/>
    </w:p>
    <w:p>
      <w:pPr>
        <w:pStyle w:val="FirstParagraph"/>
      </w:pPr>
      <w:r>
        <w:t xml:space="preserve">Använd gärna detta mönster “Effects of sentiment measures on user engagement” vid presentation av resultat från regressionsanalys, dvs. “effekten av prediktor XYZ på utfallsvariabel ABC” (</w:t>
      </w:r>
      <w:hyperlink r:id="rId106">
        <w:r>
          <w:rPr>
            <w:rStyle w:val="Hyperl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p>
      <w:pPr>
        <w:pStyle w:val="Rubrik2"/>
      </w:pPr>
      <w:bookmarkStart w:id="107" w:name="diskussion"/>
      <w:r>
        <w:t xml:space="preserve">8.2 Diskussion</w:t>
      </w:r>
      <w:bookmarkEnd w:id="107"/>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rd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p>
      <w:pPr>
        <w:pStyle w:val="Rubrik3"/>
      </w:pPr>
      <w:bookmarkStart w:id="108" w:name="förväntade-och-faktiska-resultat"/>
      <w:r>
        <w:t xml:space="preserve">8.2.1 Förväntade och faktiska resultat</w:t>
      </w:r>
      <w:bookmarkEnd w:id="108"/>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rdtext"/>
      </w:pPr>
      <w:r>
        <w:t xml:space="preserve">Även om experimentet uppvisar ett starkt signifikant resultat, kan effektstorleken vara ganska liten (avsnitt</w:t>
      </w:r>
      <w:r>
        <w:t xml:space="preserve"> </w:t>
      </w:r>
      <w:hyperlink w:anchor="sub07.1.1">
        <w:r>
          <w:rPr>
            <w:rStyle w:val="Hyperl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rdtext"/>
      </w:pPr>
      <w:r>
        <w:drawing>
          <wp:inline>
            <wp:extent cx="4673600" cy="2410079"/>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09"/>
                    <a:stretch>
                      <a:fillRect/>
                    </a:stretch>
                  </pic:blipFill>
                  <pic:spPr bwMode="auto">
                    <a:xfrm>
                      <a:off x="0" y="0"/>
                      <a:ext cx="4673600" cy="2410079"/>
                    </a:xfrm>
                    <a:prstGeom prst="rect">
                      <a:avLst/>
                    </a:prstGeom>
                    <a:noFill/>
                    <a:ln w="9525">
                      <a:noFill/>
                      <a:headEnd/>
                      <a:tailEnd/>
                    </a:ln>
                  </pic:spPr>
                </pic:pic>
              </a:graphicData>
            </a:graphic>
          </wp:inline>
        </w:drawing>
      </w:r>
    </w:p>
    <w:p>
      <w:pPr>
        <w:pStyle w:val="Brdtext"/>
      </w:pPr>
      <w:r>
        <w:t xml:space="preserve">Typ I- och II-fel.</w:t>
      </w:r>
    </w:p>
    <w:p>
      <w:pPr>
        <w:pStyle w:val="Brd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rd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p>
      <w:pPr>
        <w:pStyle w:val="Rubrik3"/>
      </w:pPr>
      <w:bookmarkStart w:id="110" w:name="alternativa-förklaringar-till-resultat"/>
      <w:r>
        <w:t xml:space="preserve">8.2.2 Alternativa förklaringar till resultat</w:t>
      </w:r>
      <w:bookmarkEnd w:id="110"/>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rd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p>
      <w:pPr>
        <w:pStyle w:val="Rubrik3"/>
      </w:pPr>
      <w:bookmarkStart w:id="111" w:name="kontextualisering-och-framtida-forskning"/>
      <w:r>
        <w:t xml:space="preserve">8.2.3 Kontextualisering och framtida forskning</w:t>
      </w:r>
      <w:bookmarkEnd w:id="111"/>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rd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9"/>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p>
      <w:pPr>
        <w:pStyle w:val="Rubrik2"/>
      </w:pPr>
      <w:bookmarkStart w:id="112" w:name="publicering"/>
      <w:r>
        <w:t xml:space="preserve">8.3 Publicering</w:t>
      </w:r>
      <w:bookmarkEnd w:id="112"/>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rd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p>
      <w:pPr>
        <w:pStyle w:val="Rubrik3"/>
      </w:pPr>
      <w:bookmarkStart w:id="113" w:name="öppen-vetenskap"/>
      <w:r>
        <w:t xml:space="preserve">8.3.1 Öppen vetenskap</w:t>
      </w:r>
      <w:bookmarkEnd w:id="113"/>
    </w:p>
    <w:p>
      <w:pPr>
        <w:pStyle w:val="FirstParagraph"/>
      </w:pPr>
      <w:r>
        <w:t xml:space="preserve">Publicering av dataset och metoder. Självpublicering. Open Science Framework. Prata om osf.io osv. Jämföra med open source, öppen källkod, information vill vara fri.</w:t>
      </w:r>
    </w:p>
    <w:p>
      <w:pPr>
        <w:pStyle w:val="Rubrik3"/>
      </w:pPr>
      <w:bookmarkStart w:id="114" w:name="vetenskapliga-tidskrifter"/>
      <w:r>
        <w:t xml:space="preserve">8.3.2 Vetenskapliga tidskrifter</w:t>
      </w:r>
      <w:bookmarkEnd w:id="114"/>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rd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rdtext"/>
      </w:pPr>
      <w:r>
        <w:t xml:space="preserve">Resultatrapportering av en experimentell studie.</w:t>
      </w:r>
    </w:p>
    <w:p>
      <w:pPr>
        <w:pStyle w:val="TableCaption"/>
      </w:pPr>
      <w:r>
        <w:t xml:space="preserve">Resultatrapportering av en experimentell studie.</w:t>
      </w:r>
    </w:p>
    <w:tbl>
      <w:tblPr>
        <w:tblStyle w:val="Table"/>
        <w:tblW w:type="pct" w:w="0.0"/>
        <w:tblLook w:firstRow="1"/>
        <w:tblCaption w:val="Resultatrapportering av en experimentell studie."/>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nk"/>
                </w:rPr>
                <w:t xml:space="preserve">Kapitel 8</w:t>
              </w:r>
            </w:hyperlink>
          </w:p>
        </w:tc>
      </w:tr>
    </w:tbl>
    <w:p>
      <w:pPr>
        <w:pStyle w:val="Brdtext"/>
      </w:pPr>
      <w:r>
        <w:t xml:space="preserve">Nämna nåt om rättigheter, licenser, open access osv? Se upp för “rovdjurstidskrifter” (</w:t>
      </w:r>
      <w:hyperlink r:id="rId115">
        <w:r>
          <w:rPr>
            <w:rStyle w:val="Hyperl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p>
      <w:pPr>
        <w:pStyle w:val="Rubrik3"/>
      </w:pPr>
      <w:bookmarkStart w:id="116" w:name="sakkunniggranskning"/>
      <w:r>
        <w:t xml:space="preserve">8.3.3 Sakkunniggranskning</w:t>
      </w:r>
      <w:bookmarkEnd w:id="116"/>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3"/>
      </w:pPr>
      <w:bookmarkStart w:id="117" w:name="planering-av-publicering"/>
      <w:r>
        <w:t xml:space="preserve">8.3.4 Planering av publicering</w:t>
      </w:r>
      <w:bookmarkEnd w:id="117"/>
    </w:p>
    <w:p>
      <w:pPr>
        <w:pStyle w:val="FirstParagraph"/>
      </w:pPr>
      <w:r>
        <w:t xml:space="preserve">Eventuellt peka framåt mot något av innehållet i Del 3. Framtiden för experiment. Online survey experiments, big data, naturliga experiment. Salaganic. Netographic observation, web scraping.</w:t>
      </w:r>
    </w:p>
    <w:p>
      <w:pPr>
        <w:pStyle w:val="Rubrik1"/>
      </w:pPr>
      <w:bookmarkStart w:id="118" w:name="del-3"/>
      <w:r>
        <w:t xml:space="preserve">Del 3</w:t>
      </w:r>
      <w:bookmarkEnd w:id="118"/>
    </w:p>
    <w:p>
      <w:pPr>
        <w:pStyle w:val="FirstParagraph"/>
      </w:pPr>
      <w:r>
        <w:t xml:space="preserve">I denna del av boken följer vi utvecklingen och genomförandet av ett samhällsvetenskapligt experiment.</w:t>
      </w:r>
    </w:p>
    <w:p>
      <w:pPr>
        <w:pStyle w:val="Rubrik1"/>
      </w:pPr>
      <w:bookmarkStart w:id="119" w:name="kapitel"/>
      <w:r>
        <w:t xml:space="preserve">9 Kapitel</w:t>
      </w:r>
      <w:bookmarkEnd w:id="119"/>
    </w:p>
    <w:p>
      <w:pPr>
        <w:pStyle w:val="FirstParagraph"/>
      </w:pPr>
      <w:r>
        <w:t xml:space="preserve">some line</w:t>
      </w:r>
    </w:p>
    <w:p>
      <w:pPr>
        <w:pStyle w:val="Rubrik1"/>
      </w:pPr>
      <w:bookmarkStart w:id="120" w:name="references"/>
      <w:r>
        <w:t xml:space="preserve">References</w:t>
      </w:r>
      <w:bookmarkEnd w:id="120"/>
    </w:p>
    <w:p>
      <w:pPr>
        <w:pStyle w:val="FirstParagraph"/>
      </w:pPr>
      <w:r>
        <w:t xml:space="preserve">Cohen, Jacob. 1992. “A Power Primer.”</w:t>
      </w:r>
      <w:r>
        <w:t xml:space="preserve"> </w:t>
      </w:r>
      <w:r>
        <w:rPr>
          <w:i/>
        </w:rPr>
        <w:t xml:space="preserve">Psychological Bulletin</w:t>
      </w:r>
      <w:r>
        <w:t xml:space="preserve"> </w:t>
      </w:r>
      <w:r>
        <w:t xml:space="preserve">112 (1): 155.</w:t>
      </w:r>
    </w:p>
    <w:p>
      <w:pPr>
        <w:pStyle w:val="Brdtext"/>
      </w:pPr>
      <w:r>
        <w:t xml:space="preserve">Cumming, Geoff. 2013.</w:t>
      </w:r>
      <w:r>
        <w:t xml:space="preserve"> </w:t>
      </w:r>
      <w:r>
        <w:rPr>
          <w:i/>
        </w:rPr>
        <w:t xml:space="preserve">Understanding the New Statistics: Effect Sizes, Confidence Intervals, and Meta-Analysis</w:t>
      </w:r>
      <w:r>
        <w:t xml:space="preserve">. Routledge.</w:t>
      </w:r>
    </w:p>
    <w:p>
      <w:pPr>
        <w:pStyle w:val="Brdtext"/>
      </w:pPr>
      <w:r>
        <w:t xml:space="preserve">Einstein, Albert. 2002. “Induction and Deduction in Physics. The Collected Papers of Albert Einstein, Vol. 7.” Princeton University Press.</w:t>
      </w:r>
    </w:p>
    <w:p>
      <w:pPr>
        <w:pStyle w:val="Brdtext"/>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p>
      <w:pPr>
        <w:pStyle w:val="Brdtext"/>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p>
      <w:pPr>
        <w:pStyle w:val="Brdtext"/>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p>
      <w:pPr>
        <w:pStyle w:val="Brdtext"/>
      </w:pPr>
      <w:r>
        <w:t xml:space="preserve">Fisher, Ronald Aylmer. 1936. “Design of Experiments.”</w:t>
      </w:r>
      <w:r>
        <w:t xml:space="preserve"> </w:t>
      </w:r>
      <w:r>
        <w:rPr>
          <w:i/>
        </w:rPr>
        <w:t xml:space="preserve">Br Med J</w:t>
      </w:r>
      <w:r>
        <w:t xml:space="preserve"> </w:t>
      </w:r>
      <w:r>
        <w:t xml:space="preserve">1 (3923): 554–54.</w:t>
      </w:r>
    </w:p>
    <w:p>
      <w:pPr>
        <w:pStyle w:val="Brdtext"/>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p>
      <w:pPr>
        <w:pStyle w:val="Brdtext"/>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p>
      <w:pPr>
        <w:pStyle w:val="Brdtext"/>
      </w:pPr>
      <w:r>
        <w:t xml:space="preserve">Pernet, Cyril. 2015. “Null Hypothesis Significance Testing: A Short Tutorial.”</w:t>
      </w:r>
      <w:r>
        <w:t xml:space="preserve"> </w:t>
      </w:r>
      <w:r>
        <w:rPr>
          <w:i/>
        </w:rPr>
        <w:t xml:space="preserve">F1000Research</w:t>
      </w:r>
      <w:r>
        <w:t xml:space="preserve"> </w:t>
      </w:r>
      <w:r>
        <w:t xml:space="preserve">4.</w:t>
      </w:r>
    </w:p>
    <w:p>
      <w:pPr>
        <w:pStyle w:val="Brdtext"/>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p>
      <w:pPr>
        <w:pStyle w:val="Brdtext"/>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p>
      <w:pPr>
        <w:pStyle w:val="Brdtext"/>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sectPr w:rsidR="000A44B6" w:rsidRPr="0019168A" w:rsidSect="00E67805">
      <w:headerReference w:type="default" r:id="rId9"/>
      <w:pgSz w:w="11906" w:h="16838"/>
      <w:pgMar w:top="1701" w:right="2268" w:bottom="1701" w:left="2268"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Sans">
    <w:altName w:val="Helvetica Ne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5" w:rsidRDefault="006722A5" w:rsidP="00414BF1">
    <w:fldSimple w:instr=" FILENAME ">
      <w:r>
        <w:rPr>
          <w:noProof/>
        </w:rPr>
        <w:t>Skrivmall 10-01.doc</w:t>
      </w:r>
    </w:fldSimple>
    <w:r>
      <w:t>, sida</w:t>
    </w:r>
    <w:r w:rsidRPr="009D017B">
      <w:t xml:space="preserve"> </w:t>
    </w:r>
    <w:r w:rsidRPr="009D017B">
      <w:fldChar w:fldCharType="begin"/>
    </w:r>
    <w:r w:rsidRPr="009D017B">
      <w:instrText xml:space="preserve"> PAGE </w:instrText>
    </w:r>
    <w:r w:rsidRPr="009D017B">
      <w:fldChar w:fldCharType="separate"/>
    </w:r>
    <w:r w:rsidR="00145E93">
      <w:rPr>
        <w:noProof/>
      </w:rPr>
      <w:t>1</w:t>
    </w:r>
    <w:r w:rsidRPr="009D017B">
      <w:fldChar w:fldCharType="end"/>
    </w:r>
    <w:r w:rsidRPr="009D017B">
      <w:t xml:space="preserve"> </w:t>
    </w:r>
    <w:r>
      <w:rPr>
        <w:rStyle w:val="Sidnummer"/>
      </w:rPr>
      <w:t xml:space="preserve">av </w:t>
    </w:r>
    <w:r>
      <w:rPr>
        <w:rStyle w:val="Sidnummer"/>
      </w:rPr>
      <w:fldChar w:fldCharType="begin"/>
    </w:r>
    <w:r>
      <w:rPr>
        <w:rStyle w:val="Sidnummer"/>
      </w:rPr>
      <w:instrText xml:space="preserve"> NUMPAGES </w:instrText>
    </w:r>
    <w:r>
      <w:rPr>
        <w:rStyle w:val="Sidnummer"/>
      </w:rPr>
      <w:fldChar w:fldCharType="separate"/>
    </w:r>
    <w:r w:rsidR="00145E93">
      <w:rPr>
        <w:rStyle w:val="Sidnummer"/>
        <w:noProof/>
      </w:rPr>
      <w:t>6</w:t>
    </w:r>
    <w:r>
      <w:rPr>
        <w:rStyle w:val="Sidnummer"/>
      </w:rPr>
      <w:fldChar w:fldCharType="end"/>
    </w:r>
    <w:r>
      <w:rPr>
        <w:rStyle w:val="Sidnummer"/>
      </w:rPr>
      <w:t xml:space="preserve">, </w:t>
    </w:r>
    <w:r>
      <w:rPr>
        <w:rStyle w:val="Sidnummer"/>
      </w:rPr>
      <w:fldChar w:fldCharType="begin"/>
    </w:r>
    <w:r>
      <w:rPr>
        <w:rStyle w:val="Sidnummer"/>
      </w:rPr>
      <w:instrText xml:space="preserve"> SAVEDATE   \* MERGEFORMAT </w:instrText>
    </w:r>
    <w:r>
      <w:rPr>
        <w:rStyle w:val="Sidnummer"/>
      </w:rPr>
      <w:fldChar w:fldCharType="separate"/>
    </w:r>
    <w:r w:rsidR="00E06686">
      <w:rPr>
        <w:rStyle w:val="Sidnummer"/>
        <w:noProof/>
      </w:rPr>
      <w:t>2018-01-08 10:56:00</w:t>
    </w:r>
    <w:r>
      <w:rPr>
        <w:rStyle w:val="Sid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32C00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29EC8D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5390203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0574937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983262C6"/>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EFBF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7C2DE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41D9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EA331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98766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74D0B3D"/>
    <w:multiLevelType w:val="hybridMultilevel"/>
    <w:tmpl w:val="84EE30D4"/>
    <w:lvl w:ilvl="0" w:tplc="BE64BA64">
      <w:start w:val="1"/>
      <w:numFmt w:val="decimal"/>
      <w:pStyle w:val="sNumreradlista"/>
      <w:lvlText w:val="%1"/>
      <w:lvlJc w:val="left"/>
      <w:pPr>
        <w:tabs>
          <w:tab w:val="num" w:pos="357"/>
        </w:tabs>
        <w:ind w:left="357" w:hanging="357"/>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519C0EC6"/>
    <w:multiLevelType w:val="hybridMultilevel"/>
    <w:tmpl w:val="E662F596"/>
    <w:lvl w:ilvl="0" w:tplc="8A30E812">
      <w:start w:val="1"/>
      <w:numFmt w:val="bullet"/>
      <w:pStyle w:val="sPunktlista"/>
      <w:lvlText w:val=""/>
      <w:lvlJc w:val="left"/>
      <w:pPr>
        <w:tabs>
          <w:tab w:val="num" w:pos="360"/>
        </w:tabs>
        <w:ind w:left="357" w:hanging="35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52CDD"/>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D35FF8"/>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95109F3"/>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4"/>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0"/>
    <w:lvlOverride w:ilvl="0">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45573"/>
  </w:style>
  <w:style w:type="paragraph" w:styleId="Rubrik1">
    <w:name w:val="heading 1"/>
    <w:basedOn w:val="Normal"/>
    <w:next w:val="Normal"/>
    <w:qFormat/>
    <w:rsid w:val="00B862D9"/>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B862D9"/>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B862D9"/>
    <w:pPr>
      <w:keepNext/>
      <w:spacing w:before="240" w:after="60"/>
      <w:outlineLvl w:val="2"/>
    </w:pPr>
    <w:rPr>
      <w:rFonts w:ascii="Arial" w:hAnsi="Arial" w:cs="Arial"/>
      <w:b/>
      <w:bCs/>
      <w:sz w:val="26"/>
      <w:szCs w:val="26"/>
    </w:rPr>
  </w:style>
  <w:style w:type="paragraph" w:styleId="Rubrik4">
    <w:name w:val="heading 4"/>
    <w:basedOn w:val="Normal"/>
    <w:next w:val="Normal"/>
    <w:qFormat/>
    <w:rsid w:val="00B862D9"/>
    <w:pPr>
      <w:keepNext/>
      <w:spacing w:before="240" w:after="60"/>
      <w:outlineLvl w:val="3"/>
    </w:pPr>
    <w:rPr>
      <w:b/>
      <w:bCs/>
      <w:sz w:val="28"/>
      <w:szCs w:val="28"/>
    </w:rPr>
  </w:style>
  <w:style w:type="paragraph" w:styleId="Rubrik5">
    <w:name w:val="heading 5"/>
    <w:basedOn w:val="Normal"/>
    <w:next w:val="Normal"/>
    <w:qFormat/>
    <w:rsid w:val="00B862D9"/>
    <w:pPr>
      <w:spacing w:before="240" w:after="60"/>
      <w:outlineLvl w:val="4"/>
    </w:pPr>
    <w:rPr>
      <w:b/>
      <w:bCs/>
      <w:i/>
      <w:iCs/>
      <w:sz w:val="26"/>
      <w:szCs w:val="26"/>
    </w:rPr>
  </w:style>
  <w:style w:type="paragraph" w:styleId="Rubrik6">
    <w:name w:val="heading 6"/>
    <w:basedOn w:val="Normal"/>
    <w:next w:val="Normal"/>
    <w:qFormat/>
    <w:rsid w:val="00B862D9"/>
    <w:pPr>
      <w:spacing w:before="240" w:after="60"/>
      <w:outlineLvl w:val="5"/>
    </w:pPr>
    <w:rPr>
      <w:b/>
      <w:bCs/>
      <w:sz w:val="22"/>
      <w:szCs w:val="22"/>
    </w:rPr>
  </w:style>
  <w:style w:type="paragraph" w:styleId="Rubrik7">
    <w:name w:val="heading 7"/>
    <w:basedOn w:val="Normal"/>
    <w:next w:val="Normal"/>
    <w:qFormat/>
    <w:rsid w:val="00B862D9"/>
    <w:pPr>
      <w:spacing w:before="240" w:after="60"/>
      <w:outlineLvl w:val="6"/>
    </w:pPr>
  </w:style>
  <w:style w:type="paragraph" w:styleId="Rubrik8">
    <w:name w:val="heading 8"/>
    <w:basedOn w:val="Normal"/>
    <w:next w:val="Normal"/>
    <w:qFormat/>
    <w:rsid w:val="00B862D9"/>
    <w:pPr>
      <w:spacing w:before="240" w:after="60"/>
      <w:outlineLvl w:val="7"/>
    </w:pPr>
    <w:rPr>
      <w:i/>
      <w:iCs/>
    </w:rPr>
  </w:style>
  <w:style w:type="paragraph" w:styleId="Rubrik9">
    <w:name w:val="heading 9"/>
    <w:basedOn w:val="Normal"/>
    <w:next w:val="Normal"/>
    <w:qFormat/>
    <w:rsid w:val="00B862D9"/>
    <w:p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Brdtext">
    <w:name w:val="sBrödtext"/>
    <w:link w:val="sBrdtextChar"/>
    <w:rsid w:val="00045150"/>
    <w:pPr>
      <w:spacing w:before="240" w:line="360" w:lineRule="auto"/>
    </w:pPr>
    <w:rPr>
      <w:sz w:val="24"/>
    </w:rPr>
  </w:style>
  <w:style w:type="paragraph" w:customStyle="1" w:styleId="sBrdtextindrag">
    <w:name w:val="sBrödtext indrag"/>
    <w:basedOn w:val="sBrdtext"/>
    <w:rsid w:val="00045150"/>
    <w:pPr>
      <w:spacing w:before="0"/>
      <w:ind w:firstLine="227"/>
    </w:pPr>
  </w:style>
  <w:style w:type="paragraph" w:customStyle="1" w:styleId="sCitat">
    <w:name w:val="sCitat"/>
    <w:basedOn w:val="sBrdtext"/>
    <w:rsid w:val="00FE067E"/>
    <w:pPr>
      <w:spacing w:before="120" w:line="220" w:lineRule="atLeast"/>
      <w:ind w:left="454"/>
    </w:pPr>
  </w:style>
  <w:style w:type="numbering" w:styleId="111111">
    <w:name w:val="Outline List 2"/>
    <w:basedOn w:val="Ingenlista"/>
    <w:semiHidden/>
    <w:rsid w:val="00B862D9"/>
    <w:pPr>
      <w:numPr>
        <w:numId w:val="2"/>
      </w:numPr>
    </w:pPr>
  </w:style>
  <w:style w:type="paragraph" w:customStyle="1" w:styleId="sFigurtext">
    <w:name w:val="sFigurtext"/>
    <w:rsid w:val="00B23579"/>
    <w:pPr>
      <w:spacing w:before="120" w:after="480"/>
    </w:pPr>
    <w:rPr>
      <w:rFonts w:ascii="Arial" w:hAnsi="Arial"/>
      <w:sz w:val="16"/>
    </w:rPr>
  </w:style>
  <w:style w:type="paragraph" w:customStyle="1" w:styleId="sFotnot">
    <w:name w:val="sFotnot"/>
    <w:basedOn w:val="sBrdtext"/>
    <w:semiHidden/>
    <w:rsid w:val="00B862D9"/>
    <w:pPr>
      <w:tabs>
        <w:tab w:val="left" w:pos="340"/>
      </w:tabs>
      <w:ind w:left="340" w:hanging="340"/>
    </w:pPr>
    <w:rPr>
      <w:sz w:val="17"/>
    </w:rPr>
  </w:style>
  <w:style w:type="paragraph" w:customStyle="1" w:styleId="sIngress">
    <w:name w:val="sIngress"/>
    <w:basedOn w:val="sBrdtext"/>
    <w:rsid w:val="00A509B3"/>
    <w:pPr>
      <w:spacing w:after="260"/>
    </w:pPr>
    <w:rPr>
      <w:rFonts w:ascii="Arial" w:hAnsi="Arial"/>
      <w:sz w:val="22"/>
    </w:rPr>
  </w:style>
  <w:style w:type="paragraph" w:customStyle="1" w:styleId="sPunktlista">
    <w:name w:val="sPunktlista"/>
    <w:basedOn w:val="sBrdtext"/>
    <w:rsid w:val="00045150"/>
    <w:pPr>
      <w:numPr>
        <w:numId w:val="1"/>
      </w:numPr>
      <w:spacing w:before="0"/>
    </w:pPr>
  </w:style>
  <w:style w:type="paragraph" w:customStyle="1" w:styleId="sLitteraturf">
    <w:name w:val="sLitteraturf."/>
    <w:basedOn w:val="sBrdtext"/>
    <w:rsid w:val="00045150"/>
    <w:pPr>
      <w:spacing w:before="0"/>
      <w:ind w:left="284" w:hanging="284"/>
    </w:pPr>
  </w:style>
  <w:style w:type="paragraph" w:customStyle="1" w:styleId="sRubrik1">
    <w:name w:val="sRubrik 1"/>
    <w:next w:val="sBrdtext"/>
    <w:rsid w:val="00492079"/>
    <w:pPr>
      <w:keepNext/>
      <w:pageBreakBefore/>
      <w:suppressAutoHyphens/>
      <w:spacing w:after="1820" w:line="520" w:lineRule="atLeast"/>
      <w:outlineLvl w:val="0"/>
    </w:pPr>
    <w:rPr>
      <w:rFonts w:ascii="Arial" w:hAnsi="Arial"/>
      <w:sz w:val="52"/>
    </w:rPr>
  </w:style>
  <w:style w:type="paragraph" w:customStyle="1" w:styleId="sRubrik2">
    <w:name w:val="sRubrik 2"/>
    <w:basedOn w:val="sRubrik1"/>
    <w:next w:val="sBrdtext"/>
    <w:rsid w:val="003D1313"/>
    <w:pPr>
      <w:pageBreakBefore w:val="0"/>
      <w:spacing w:before="780" w:after="0" w:line="390" w:lineRule="exact"/>
      <w:outlineLvl w:val="1"/>
    </w:pPr>
    <w:rPr>
      <w:sz w:val="40"/>
    </w:rPr>
  </w:style>
  <w:style w:type="paragraph" w:customStyle="1" w:styleId="sRubrik3">
    <w:name w:val="sRubrik 3"/>
    <w:basedOn w:val="sRubrik1"/>
    <w:next w:val="sBrdtext"/>
    <w:rsid w:val="003D1313"/>
    <w:pPr>
      <w:pageBreakBefore w:val="0"/>
      <w:spacing w:before="570" w:after="0" w:line="340" w:lineRule="exact"/>
      <w:outlineLvl w:val="2"/>
    </w:pPr>
    <w:rPr>
      <w:sz w:val="28"/>
    </w:rPr>
  </w:style>
  <w:style w:type="paragraph" w:customStyle="1" w:styleId="sRubrik4">
    <w:name w:val="sRubrik 4"/>
    <w:basedOn w:val="sRubrik1"/>
    <w:next w:val="sBrdtext"/>
    <w:rsid w:val="003D1313"/>
    <w:pPr>
      <w:pageBreakBefore w:val="0"/>
      <w:spacing w:before="260" w:after="0" w:line="260" w:lineRule="exact"/>
      <w:outlineLvl w:val="3"/>
    </w:pPr>
    <w:rPr>
      <w:sz w:val="24"/>
    </w:rPr>
  </w:style>
  <w:style w:type="paragraph" w:customStyle="1" w:styleId="sRubrik5">
    <w:name w:val="sRubrik 5"/>
    <w:basedOn w:val="sRubrik1"/>
    <w:next w:val="sBrdtext"/>
    <w:rsid w:val="003D1313"/>
    <w:pPr>
      <w:pageBreakBefore w:val="0"/>
      <w:spacing w:before="260" w:after="0" w:line="260" w:lineRule="exact"/>
      <w:outlineLvl w:val="4"/>
    </w:pPr>
    <w:rPr>
      <w:sz w:val="20"/>
    </w:rPr>
  </w:style>
  <w:style w:type="paragraph" w:customStyle="1" w:styleId="sRubrik6">
    <w:name w:val="sRubrik 6"/>
    <w:basedOn w:val="sRubrik1"/>
    <w:rsid w:val="003D1313"/>
    <w:pPr>
      <w:pageBreakBefore w:val="0"/>
      <w:spacing w:before="120" w:after="0" w:line="220" w:lineRule="atLeast"/>
      <w:outlineLvl w:val="5"/>
    </w:pPr>
    <w:rPr>
      <w:sz w:val="16"/>
      <w:szCs w:val="16"/>
    </w:rPr>
  </w:style>
  <w:style w:type="paragraph" w:customStyle="1" w:styleId="sSttanvisning">
    <w:name w:val="sSättanvisning"/>
    <w:basedOn w:val="sBrdtext"/>
    <w:next w:val="sBrdtext"/>
    <w:link w:val="sSttanvisningChar"/>
    <w:rsid w:val="00045150"/>
    <w:pPr>
      <w:pBdr>
        <w:top w:val="single" w:sz="8" w:space="1" w:color="0000FF"/>
        <w:left w:val="single" w:sz="8" w:space="4" w:color="0000FF"/>
        <w:bottom w:val="single" w:sz="8" w:space="1" w:color="0000FF"/>
        <w:right w:val="single" w:sz="8" w:space="4" w:color="0000FF"/>
      </w:pBdr>
      <w:spacing w:before="0"/>
      <w:ind w:left="113" w:right="113"/>
    </w:pPr>
    <w:rPr>
      <w:rFonts w:ascii="Arial" w:hAnsi="Arial"/>
      <w:b/>
      <w:color w:val="0000FF"/>
    </w:rPr>
  </w:style>
  <w:style w:type="paragraph" w:customStyle="1" w:styleId="sTabellrubrik">
    <w:name w:val="sTabellrubrik"/>
    <w:basedOn w:val="sBrdtext"/>
    <w:rsid w:val="00EC3AFF"/>
    <w:pPr>
      <w:spacing w:after="60" w:line="240" w:lineRule="auto"/>
    </w:pPr>
    <w:rPr>
      <w:rFonts w:ascii="Arial" w:hAnsi="Arial"/>
      <w:sz w:val="17"/>
      <w:szCs w:val="17"/>
    </w:rPr>
  </w:style>
  <w:style w:type="paragraph" w:customStyle="1" w:styleId="sTabelltext">
    <w:name w:val="sTabelltext"/>
    <w:basedOn w:val="sFigurtext"/>
    <w:rsid w:val="00151390"/>
    <w:pPr>
      <w:spacing w:after="120"/>
    </w:pPr>
    <w:rPr>
      <w:i/>
    </w:rPr>
  </w:style>
  <w:style w:type="numbering" w:styleId="1ai">
    <w:name w:val="Outline List 1"/>
    <w:basedOn w:val="Ingenlista"/>
    <w:semiHidden/>
    <w:rsid w:val="00B862D9"/>
    <w:pPr>
      <w:numPr>
        <w:numId w:val="3"/>
      </w:numPr>
    </w:pPr>
  </w:style>
  <w:style w:type="paragraph" w:styleId="Adress-brev">
    <w:name w:val="envelope address"/>
    <w:basedOn w:val="Normal"/>
    <w:semiHidden/>
    <w:rsid w:val="00B862D9"/>
    <w:pPr>
      <w:framePr w:w="7938" w:h="1984" w:hRule="exact" w:hSpace="141" w:wrap="auto" w:hAnchor="page" w:xAlign="center" w:yAlign="bottom"/>
      <w:ind w:left="2880"/>
    </w:pPr>
    <w:rPr>
      <w:rFonts w:ascii="Arial" w:hAnsi="Arial" w:cs="Arial"/>
    </w:rPr>
  </w:style>
  <w:style w:type="paragraph" w:styleId="Anteckningsrubrik">
    <w:name w:val="Note Heading"/>
    <w:basedOn w:val="Normal"/>
    <w:next w:val="Normal"/>
    <w:semiHidden/>
    <w:rsid w:val="00B862D9"/>
  </w:style>
  <w:style w:type="character" w:styleId="AnvndHyperlnk">
    <w:name w:val="FollowedHyperlink"/>
    <w:semiHidden/>
    <w:rsid w:val="00B862D9"/>
    <w:rPr>
      <w:color w:val="800080"/>
      <w:u w:val="single"/>
    </w:rPr>
  </w:style>
  <w:style w:type="numbering" w:styleId="Artikelsektion">
    <w:name w:val="Outline List 3"/>
    <w:basedOn w:val="Ingenlista"/>
    <w:semiHidden/>
    <w:rsid w:val="00B862D9"/>
    <w:pPr>
      <w:numPr>
        <w:numId w:val="4"/>
      </w:numPr>
    </w:pPr>
  </w:style>
  <w:style w:type="paragraph" w:styleId="Avslutandetext">
    <w:name w:val="Closing"/>
    <w:basedOn w:val="Normal"/>
    <w:semiHidden/>
    <w:rsid w:val="00B862D9"/>
    <w:pPr>
      <w:ind w:left="4252"/>
    </w:pPr>
  </w:style>
  <w:style w:type="paragraph" w:styleId="Avsndaradress-brev">
    <w:name w:val="envelope return"/>
    <w:basedOn w:val="Normal"/>
    <w:semiHidden/>
    <w:rsid w:val="00B862D9"/>
    <w:rPr>
      <w:rFonts w:ascii="Arial" w:hAnsi="Arial" w:cs="Arial"/>
    </w:rPr>
  </w:style>
  <w:style w:type="character" w:styleId="Betoning">
    <w:name w:val="Emphasis"/>
    <w:qFormat/>
    <w:rsid w:val="00B862D9"/>
    <w:rPr>
      <w:i/>
      <w:iCs/>
    </w:rPr>
  </w:style>
  <w:style w:type="paragraph" w:styleId="Brdtext">
    <w:name w:val="Body Text"/>
    <w:basedOn w:val="Normal"/>
    <w:semiHidden/>
    <w:rsid w:val="00B862D9"/>
    <w:pPr>
      <w:spacing w:after="120"/>
    </w:pPr>
  </w:style>
  <w:style w:type="paragraph" w:styleId="Brdtext2">
    <w:name w:val="Body Text 2"/>
    <w:basedOn w:val="Normal"/>
    <w:semiHidden/>
    <w:rsid w:val="00B862D9"/>
    <w:pPr>
      <w:spacing w:after="120" w:line="480" w:lineRule="auto"/>
    </w:pPr>
  </w:style>
  <w:style w:type="paragraph" w:styleId="Brdtext3">
    <w:name w:val="Body Text 3"/>
    <w:basedOn w:val="Normal"/>
    <w:semiHidden/>
    <w:rsid w:val="00B862D9"/>
    <w:pPr>
      <w:spacing w:after="120"/>
    </w:pPr>
    <w:rPr>
      <w:sz w:val="16"/>
      <w:szCs w:val="16"/>
    </w:rPr>
  </w:style>
  <w:style w:type="paragraph" w:styleId="Brdtextmedfrstaindrag">
    <w:name w:val="Body Text First Indent"/>
    <w:basedOn w:val="Brdtext"/>
    <w:semiHidden/>
    <w:rsid w:val="00B862D9"/>
    <w:pPr>
      <w:ind w:firstLine="210"/>
    </w:pPr>
  </w:style>
  <w:style w:type="paragraph" w:styleId="Brdtextmedindrag">
    <w:name w:val="Body Text Indent"/>
    <w:basedOn w:val="Normal"/>
    <w:semiHidden/>
    <w:rsid w:val="00B862D9"/>
    <w:pPr>
      <w:spacing w:after="120"/>
      <w:ind w:left="283"/>
    </w:pPr>
  </w:style>
  <w:style w:type="paragraph" w:styleId="Brdtextmedfrstaindrag2">
    <w:name w:val="Body Text First Indent 2"/>
    <w:basedOn w:val="Brdtextmedindrag"/>
    <w:semiHidden/>
    <w:rsid w:val="00B862D9"/>
    <w:pPr>
      <w:ind w:firstLine="210"/>
    </w:pPr>
  </w:style>
  <w:style w:type="paragraph" w:styleId="Brdtextmedindrag2">
    <w:name w:val="Body Text Indent 2"/>
    <w:basedOn w:val="Normal"/>
    <w:semiHidden/>
    <w:rsid w:val="00B862D9"/>
    <w:pPr>
      <w:spacing w:after="120" w:line="480" w:lineRule="auto"/>
      <w:ind w:left="283"/>
    </w:pPr>
  </w:style>
  <w:style w:type="paragraph" w:styleId="Brdtextmedindrag3">
    <w:name w:val="Body Text Indent 3"/>
    <w:basedOn w:val="Normal"/>
    <w:semiHidden/>
    <w:rsid w:val="00B862D9"/>
    <w:pPr>
      <w:spacing w:after="120"/>
      <w:ind w:left="283"/>
    </w:pPr>
    <w:rPr>
      <w:sz w:val="16"/>
      <w:szCs w:val="16"/>
    </w:rPr>
  </w:style>
  <w:style w:type="paragraph" w:styleId="Datum">
    <w:name w:val="Date"/>
    <w:basedOn w:val="Normal"/>
    <w:next w:val="Normal"/>
    <w:semiHidden/>
    <w:rsid w:val="00B862D9"/>
  </w:style>
  <w:style w:type="table" w:styleId="Diskrettabell1">
    <w:name w:val="Table Subtle 1"/>
    <w:basedOn w:val="Normaltabell"/>
    <w:semiHidden/>
    <w:rsid w:val="00B862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B862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anttabell">
    <w:name w:val="Table Elegant"/>
    <w:basedOn w:val="Normaltabell"/>
    <w:semiHidden/>
    <w:rsid w:val="00B862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B862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B862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B862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B862D9"/>
  </w:style>
  <w:style w:type="table" w:styleId="Frgadtabell1">
    <w:name w:val="Table Colorful 1"/>
    <w:basedOn w:val="Normaltabell"/>
    <w:semiHidden/>
    <w:rsid w:val="00B862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B862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B862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ress">
    <w:name w:val="HTML Address"/>
    <w:basedOn w:val="Normal"/>
    <w:semiHidden/>
    <w:rsid w:val="00B862D9"/>
    <w:rPr>
      <w:i/>
      <w:iCs/>
    </w:rPr>
  </w:style>
  <w:style w:type="character" w:styleId="HTML-akronym">
    <w:name w:val="HTML Acronym"/>
    <w:basedOn w:val="Standardstycketeckensnitt"/>
    <w:semiHidden/>
    <w:rsid w:val="00B862D9"/>
  </w:style>
  <w:style w:type="character" w:styleId="HTML-citat">
    <w:name w:val="HTML Cite"/>
    <w:semiHidden/>
    <w:rsid w:val="00B862D9"/>
    <w:rPr>
      <w:i/>
      <w:iCs/>
    </w:rPr>
  </w:style>
  <w:style w:type="character" w:styleId="HTML-definition">
    <w:name w:val="HTML Definition"/>
    <w:semiHidden/>
    <w:rsid w:val="00B862D9"/>
    <w:rPr>
      <w:i/>
      <w:iCs/>
    </w:rPr>
  </w:style>
  <w:style w:type="character" w:styleId="HTML-exempel">
    <w:name w:val="HTML Sample"/>
    <w:semiHidden/>
    <w:rsid w:val="00B862D9"/>
    <w:rPr>
      <w:rFonts w:ascii="Courier New" w:hAnsi="Courier New" w:cs="Courier New"/>
    </w:rPr>
  </w:style>
  <w:style w:type="paragraph" w:styleId="HTML-frformaterad">
    <w:name w:val="HTML Preformatted"/>
    <w:basedOn w:val="Normal"/>
    <w:semiHidden/>
    <w:rsid w:val="00B862D9"/>
    <w:rPr>
      <w:rFonts w:ascii="Courier New" w:hAnsi="Courier New" w:cs="Courier New"/>
    </w:rPr>
  </w:style>
  <w:style w:type="character" w:styleId="HTML-kod">
    <w:name w:val="HTML Code"/>
    <w:semiHidden/>
    <w:rsid w:val="00B862D9"/>
    <w:rPr>
      <w:rFonts w:ascii="Courier New" w:hAnsi="Courier New" w:cs="Courier New"/>
      <w:sz w:val="20"/>
      <w:szCs w:val="20"/>
    </w:rPr>
  </w:style>
  <w:style w:type="character" w:styleId="HTML-skrivmaskin">
    <w:name w:val="HTML Typewriter"/>
    <w:semiHidden/>
    <w:rsid w:val="00B862D9"/>
    <w:rPr>
      <w:rFonts w:ascii="Courier New" w:hAnsi="Courier New" w:cs="Courier New"/>
      <w:sz w:val="20"/>
      <w:szCs w:val="20"/>
    </w:rPr>
  </w:style>
  <w:style w:type="character" w:styleId="HTML-tangentbord">
    <w:name w:val="HTML Keyboard"/>
    <w:semiHidden/>
    <w:rsid w:val="00B862D9"/>
    <w:rPr>
      <w:rFonts w:ascii="Courier New" w:hAnsi="Courier New" w:cs="Courier New"/>
      <w:sz w:val="20"/>
      <w:szCs w:val="20"/>
    </w:rPr>
  </w:style>
  <w:style w:type="character" w:styleId="HTML-variabel">
    <w:name w:val="HTML Variable"/>
    <w:semiHidden/>
    <w:rsid w:val="00B862D9"/>
    <w:rPr>
      <w:i/>
      <w:iCs/>
    </w:rPr>
  </w:style>
  <w:style w:type="character" w:styleId="Hyperlnk">
    <w:name w:val="Hyperlink"/>
    <w:semiHidden/>
    <w:rsid w:val="00B862D9"/>
    <w:rPr>
      <w:color w:val="0000FF"/>
      <w:u w:val="single"/>
    </w:rPr>
  </w:style>
  <w:style w:type="paragraph" w:styleId="Indragetstycke">
    <w:name w:val="Block Text"/>
    <w:basedOn w:val="Normal"/>
    <w:semiHidden/>
    <w:rsid w:val="00B862D9"/>
    <w:pPr>
      <w:spacing w:after="120"/>
      <w:ind w:left="1440" w:right="1440"/>
    </w:pPr>
  </w:style>
  <w:style w:type="paragraph" w:styleId="Inledning">
    <w:name w:val="Salutation"/>
    <w:basedOn w:val="Normal"/>
    <w:next w:val="Normal"/>
    <w:semiHidden/>
    <w:rsid w:val="00B862D9"/>
  </w:style>
  <w:style w:type="paragraph" w:styleId="Lista">
    <w:name w:val="List"/>
    <w:basedOn w:val="Normal"/>
    <w:semiHidden/>
    <w:rsid w:val="00B862D9"/>
    <w:pPr>
      <w:ind w:left="283" w:hanging="283"/>
    </w:pPr>
  </w:style>
  <w:style w:type="paragraph" w:styleId="Lista2">
    <w:name w:val="List 2"/>
    <w:basedOn w:val="Normal"/>
    <w:semiHidden/>
    <w:rsid w:val="00B862D9"/>
    <w:pPr>
      <w:ind w:left="566" w:hanging="283"/>
    </w:pPr>
  </w:style>
  <w:style w:type="paragraph" w:styleId="Lista3">
    <w:name w:val="List 3"/>
    <w:basedOn w:val="Normal"/>
    <w:semiHidden/>
    <w:rsid w:val="00B862D9"/>
    <w:pPr>
      <w:ind w:left="849" w:hanging="283"/>
    </w:pPr>
  </w:style>
  <w:style w:type="paragraph" w:styleId="Lista4">
    <w:name w:val="List 4"/>
    <w:basedOn w:val="Normal"/>
    <w:semiHidden/>
    <w:rsid w:val="00B862D9"/>
    <w:pPr>
      <w:ind w:left="1132" w:hanging="283"/>
    </w:pPr>
  </w:style>
  <w:style w:type="paragraph" w:styleId="Lista5">
    <w:name w:val="List 5"/>
    <w:basedOn w:val="Normal"/>
    <w:semiHidden/>
    <w:rsid w:val="00B862D9"/>
    <w:pPr>
      <w:ind w:left="1415" w:hanging="283"/>
    </w:pPr>
  </w:style>
  <w:style w:type="paragraph" w:styleId="Listafortstt">
    <w:name w:val="List Continue"/>
    <w:basedOn w:val="Normal"/>
    <w:semiHidden/>
    <w:rsid w:val="00B862D9"/>
    <w:pPr>
      <w:spacing w:after="120"/>
      <w:ind w:left="283"/>
    </w:pPr>
  </w:style>
  <w:style w:type="paragraph" w:styleId="Listafortstt2">
    <w:name w:val="List Continue 2"/>
    <w:basedOn w:val="Normal"/>
    <w:semiHidden/>
    <w:rsid w:val="00B862D9"/>
    <w:pPr>
      <w:spacing w:after="120"/>
      <w:ind w:left="566"/>
    </w:pPr>
  </w:style>
  <w:style w:type="paragraph" w:styleId="Listafortstt3">
    <w:name w:val="List Continue 3"/>
    <w:basedOn w:val="Normal"/>
    <w:semiHidden/>
    <w:rsid w:val="00B862D9"/>
    <w:pPr>
      <w:spacing w:after="120"/>
      <w:ind w:left="849"/>
    </w:pPr>
  </w:style>
  <w:style w:type="paragraph" w:styleId="Listafortstt4">
    <w:name w:val="List Continue 4"/>
    <w:basedOn w:val="Normal"/>
    <w:semiHidden/>
    <w:rsid w:val="00B862D9"/>
    <w:pPr>
      <w:spacing w:after="120"/>
      <w:ind w:left="1132"/>
    </w:pPr>
  </w:style>
  <w:style w:type="paragraph" w:styleId="Listafortstt5">
    <w:name w:val="List Continue 5"/>
    <w:basedOn w:val="Normal"/>
    <w:semiHidden/>
    <w:rsid w:val="00B862D9"/>
    <w:pPr>
      <w:spacing w:after="120"/>
      <w:ind w:left="1415"/>
    </w:pPr>
  </w:style>
  <w:style w:type="paragraph" w:styleId="Meddelanderubrik">
    <w:name w:val="Message Header"/>
    <w:basedOn w:val="Normal"/>
    <w:semiHidden/>
    <w:rsid w:val="00B86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Moderntabell">
    <w:name w:val="Table Contemporary"/>
    <w:basedOn w:val="Normaltabell"/>
    <w:semiHidden/>
    <w:rsid w:val="00B862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B862D9"/>
  </w:style>
  <w:style w:type="paragraph" w:styleId="Normaltindrag">
    <w:name w:val="Normal Indent"/>
    <w:basedOn w:val="Normal"/>
    <w:semiHidden/>
    <w:rsid w:val="00B862D9"/>
    <w:pPr>
      <w:ind w:left="1304"/>
    </w:pPr>
  </w:style>
  <w:style w:type="paragraph" w:styleId="Numreradlista">
    <w:name w:val="List Number"/>
    <w:basedOn w:val="Normal"/>
    <w:semiHidden/>
    <w:rsid w:val="00B862D9"/>
    <w:pPr>
      <w:numPr>
        <w:numId w:val="5"/>
      </w:numPr>
    </w:pPr>
  </w:style>
  <w:style w:type="paragraph" w:styleId="Numreradlista2">
    <w:name w:val="List Number 2"/>
    <w:basedOn w:val="Normal"/>
    <w:semiHidden/>
    <w:rsid w:val="00B862D9"/>
    <w:pPr>
      <w:numPr>
        <w:numId w:val="6"/>
      </w:numPr>
    </w:pPr>
  </w:style>
  <w:style w:type="paragraph" w:styleId="Numreradlista3">
    <w:name w:val="List Number 3"/>
    <w:basedOn w:val="Normal"/>
    <w:semiHidden/>
    <w:rsid w:val="00B862D9"/>
    <w:pPr>
      <w:numPr>
        <w:numId w:val="7"/>
      </w:numPr>
    </w:pPr>
  </w:style>
  <w:style w:type="paragraph" w:styleId="Numreradlista4">
    <w:name w:val="List Number 4"/>
    <w:basedOn w:val="Normal"/>
    <w:semiHidden/>
    <w:rsid w:val="00B862D9"/>
    <w:pPr>
      <w:numPr>
        <w:numId w:val="8"/>
      </w:numPr>
    </w:pPr>
  </w:style>
  <w:style w:type="paragraph" w:styleId="Numreradlista5">
    <w:name w:val="List Number 5"/>
    <w:basedOn w:val="Normal"/>
    <w:semiHidden/>
    <w:rsid w:val="00B862D9"/>
    <w:pPr>
      <w:numPr>
        <w:numId w:val="9"/>
      </w:numPr>
    </w:pPr>
  </w:style>
  <w:style w:type="paragraph" w:styleId="Oformateradtext">
    <w:name w:val="Plain Text"/>
    <w:basedOn w:val="Normal"/>
    <w:semiHidden/>
    <w:rsid w:val="00B862D9"/>
    <w:rPr>
      <w:rFonts w:ascii="Courier New" w:hAnsi="Courier New" w:cs="Courier New"/>
    </w:rPr>
  </w:style>
  <w:style w:type="table" w:styleId="Professionelltabell">
    <w:name w:val="Table Professional"/>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semiHidden/>
    <w:rsid w:val="00B862D9"/>
    <w:pPr>
      <w:numPr>
        <w:numId w:val="10"/>
      </w:numPr>
    </w:pPr>
  </w:style>
  <w:style w:type="paragraph" w:styleId="Punktlista2">
    <w:name w:val="List Bullet 2"/>
    <w:basedOn w:val="Normal"/>
    <w:semiHidden/>
    <w:rsid w:val="00B862D9"/>
    <w:pPr>
      <w:numPr>
        <w:numId w:val="11"/>
      </w:numPr>
    </w:pPr>
  </w:style>
  <w:style w:type="paragraph" w:styleId="Punktlista3">
    <w:name w:val="List Bullet 3"/>
    <w:basedOn w:val="Normal"/>
    <w:semiHidden/>
    <w:rsid w:val="00B862D9"/>
    <w:pPr>
      <w:numPr>
        <w:numId w:val="12"/>
      </w:numPr>
    </w:pPr>
  </w:style>
  <w:style w:type="paragraph" w:styleId="Punktlista4">
    <w:name w:val="List Bullet 4"/>
    <w:basedOn w:val="Normal"/>
    <w:semiHidden/>
    <w:rsid w:val="00B862D9"/>
    <w:pPr>
      <w:numPr>
        <w:numId w:val="13"/>
      </w:numPr>
    </w:pPr>
  </w:style>
  <w:style w:type="paragraph" w:styleId="Punktlista5">
    <w:name w:val="List Bullet 5"/>
    <w:basedOn w:val="Normal"/>
    <w:semiHidden/>
    <w:rsid w:val="00B862D9"/>
    <w:pPr>
      <w:numPr>
        <w:numId w:val="14"/>
      </w:numPr>
    </w:pPr>
  </w:style>
  <w:style w:type="character" w:styleId="Radnummer">
    <w:name w:val="line number"/>
    <w:basedOn w:val="Standardstycketeckensnitt"/>
    <w:semiHidden/>
    <w:rsid w:val="00B862D9"/>
  </w:style>
  <w:style w:type="paragraph" w:styleId="Rubrik">
    <w:name w:val="Title"/>
    <w:basedOn w:val="Normal"/>
    <w:qFormat/>
    <w:rsid w:val="00B862D9"/>
    <w:pPr>
      <w:spacing w:before="240" w:after="60"/>
      <w:jc w:val="center"/>
      <w:outlineLvl w:val="0"/>
    </w:pPr>
    <w:rPr>
      <w:rFonts w:ascii="Arial" w:hAnsi="Arial" w:cs="Arial"/>
      <w:b/>
      <w:bCs/>
      <w:kern w:val="28"/>
      <w:sz w:val="32"/>
      <w:szCs w:val="32"/>
    </w:rPr>
  </w:style>
  <w:style w:type="paragraph" w:styleId="Sidfot">
    <w:name w:val="footer"/>
    <w:basedOn w:val="Normal"/>
    <w:semiHidden/>
    <w:rsid w:val="00B862D9"/>
    <w:pPr>
      <w:tabs>
        <w:tab w:val="center" w:pos="4536"/>
        <w:tab w:val="right" w:pos="9072"/>
      </w:tabs>
    </w:pPr>
  </w:style>
  <w:style w:type="paragraph" w:styleId="Sidhuvud">
    <w:name w:val="header"/>
    <w:basedOn w:val="Normal"/>
    <w:semiHidden/>
    <w:rsid w:val="00B862D9"/>
    <w:pPr>
      <w:tabs>
        <w:tab w:val="center" w:pos="4536"/>
        <w:tab w:val="right" w:pos="9072"/>
      </w:tabs>
    </w:pPr>
  </w:style>
  <w:style w:type="character" w:styleId="Sidnummer">
    <w:name w:val="page number"/>
    <w:basedOn w:val="Standardstycketeckensnitt"/>
    <w:semiHidden/>
    <w:rsid w:val="00B862D9"/>
  </w:style>
  <w:style w:type="paragraph" w:styleId="Signatur">
    <w:name w:val="Signature"/>
    <w:basedOn w:val="Normal"/>
    <w:semiHidden/>
    <w:rsid w:val="00B862D9"/>
    <w:pPr>
      <w:ind w:left="4252"/>
    </w:pPr>
  </w:style>
  <w:style w:type="table" w:styleId="Standardtabell1">
    <w:name w:val="Table Classic 1"/>
    <w:basedOn w:val="Normaltabell"/>
    <w:semiHidden/>
    <w:rsid w:val="00B862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B862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B862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B862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qFormat/>
    <w:rsid w:val="00B862D9"/>
    <w:rPr>
      <w:b/>
      <w:bCs/>
    </w:rPr>
  </w:style>
  <w:style w:type="table" w:styleId="Tabellmed3D-effekter1">
    <w:name w:val="Table 3D effects 1"/>
    <w:basedOn w:val="Normaltabell"/>
    <w:semiHidden/>
    <w:rsid w:val="00B862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B862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B862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B862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B862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B862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B862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B862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B862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B862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B862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B862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B862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B862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B862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B862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B862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B862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B862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B862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qFormat/>
    <w:rsid w:val="00B862D9"/>
    <w:pPr>
      <w:spacing w:after="60"/>
      <w:jc w:val="center"/>
      <w:outlineLvl w:val="1"/>
    </w:pPr>
    <w:rPr>
      <w:rFonts w:ascii="Arial" w:hAnsi="Arial" w:cs="Arial"/>
    </w:rPr>
  </w:style>
  <w:style w:type="table" w:styleId="Webbtabell1">
    <w:name w:val="Table Web 1"/>
    <w:basedOn w:val="Normaltabell"/>
    <w:semiHidden/>
    <w:rsid w:val="00B862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B862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B862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tnotstext">
    <w:name w:val="footnote text"/>
    <w:basedOn w:val="Normal"/>
    <w:semiHidden/>
    <w:rsid w:val="00B862D9"/>
  </w:style>
  <w:style w:type="character" w:styleId="Fotnotsreferens">
    <w:name w:val="footnote reference"/>
    <w:semiHidden/>
    <w:rsid w:val="00B862D9"/>
    <w:rPr>
      <w:vertAlign w:val="superscript"/>
    </w:rPr>
  </w:style>
  <w:style w:type="character" w:customStyle="1" w:styleId="sBrdtextChar">
    <w:name w:val="sBrödtext Char"/>
    <w:link w:val="sBrdtext"/>
    <w:rsid w:val="00045150"/>
    <w:rPr>
      <w:sz w:val="24"/>
      <w:lang w:val="sv-SE" w:eastAsia="sv-SE" w:bidi="ar-SA"/>
    </w:rPr>
  </w:style>
  <w:style w:type="character" w:customStyle="1" w:styleId="sSttanvisningChar">
    <w:name w:val="sSättanvisning Char"/>
    <w:link w:val="sSttanvisning"/>
    <w:rsid w:val="00045150"/>
    <w:rPr>
      <w:rFonts w:ascii="Arial" w:hAnsi="Arial"/>
      <w:b/>
      <w:color w:val="0000FF"/>
      <w:sz w:val="24"/>
      <w:lang w:val="sv-SE" w:eastAsia="sv-SE" w:bidi="ar-SA"/>
    </w:rPr>
  </w:style>
  <w:style w:type="character" w:customStyle="1" w:styleId="sKursiv">
    <w:name w:val="sKursiv"/>
    <w:rsid w:val="00C672D6"/>
    <w:rPr>
      <w:i/>
    </w:rPr>
  </w:style>
  <w:style w:type="character" w:customStyle="1" w:styleId="sUpphjd">
    <w:name w:val="sUpphöjd"/>
    <w:rsid w:val="00C672D6"/>
    <w:rPr>
      <w:vertAlign w:val="superscript"/>
    </w:rPr>
  </w:style>
  <w:style w:type="character" w:customStyle="1" w:styleId="sNedsnkt">
    <w:name w:val="sNedsänkt"/>
    <w:rsid w:val="00C672D6"/>
    <w:rPr>
      <w:vertAlign w:val="subscript"/>
    </w:rPr>
  </w:style>
  <w:style w:type="paragraph" w:customStyle="1" w:styleId="sNumreradlista">
    <w:name w:val="sNumrerad lista"/>
    <w:basedOn w:val="sBrdtext"/>
    <w:rsid w:val="00045150"/>
    <w:pPr>
      <w:numPr>
        <w:numId w:val="15"/>
      </w:numPr>
      <w:spacing w:before="0"/>
    </w:pPr>
  </w:style>
  <w:style w:type="character" w:customStyle="1" w:styleId="sFet">
    <w:name w:val="sFet"/>
    <w:rsid w:val="00C672D6"/>
    <w:rPr>
      <w:b/>
    </w:rPr>
  </w:style>
  <w:style w:type="paragraph" w:customStyle="1" w:styleId="sFrfattarnamn">
    <w:name w:val="sFörfattarnamn"/>
    <w:basedOn w:val="sBrdtext"/>
    <w:next w:val="sBrdtext"/>
    <w:rsid w:val="00742159"/>
    <w:rPr>
      <w:i/>
      <w:sz w:val="28"/>
      <w:szCs w:val="28"/>
    </w:rPr>
  </w:style>
  <w:style w:type="paragraph" w:customStyle="1" w:styleId="sKlla">
    <w:name w:val="sKälla"/>
    <w:basedOn w:val="sCitat"/>
    <w:rsid w:val="00726E40"/>
    <w:rPr>
      <w:i/>
    </w:rPr>
  </w:style>
  <w:style w:type="paragraph" w:customStyle="1" w:styleId="BrdtextutanindragMHS">
    <w:name w:val="Brödtext utan indrag MHS"/>
    <w:basedOn w:val="sBrdtext"/>
    <w:semiHidden/>
    <w:rsid w:val="002F7F01"/>
    <w:pPr>
      <w:spacing w:before="120" w:line="280" w:lineRule="atLeast"/>
    </w:pPr>
    <w:rPr>
      <w:rFonts w:ascii="Stone Sans" w:hAnsi="Stone Sans"/>
      <w:sz w:val="20"/>
    </w:rPr>
  </w:style>
  <w:style w:type="paragraph" w:customStyle="1" w:styleId="sTabellhuvud">
    <w:name w:val="sTabellhuvud"/>
    <w:next w:val="Normal"/>
    <w:rsid w:val="00EC3AFF"/>
    <w:pPr>
      <w:spacing w:before="120" w:after="120"/>
    </w:pPr>
    <w:rPr>
      <w:rFonts w:ascii="Arial" w:hAnsi="Arial"/>
      <w:b/>
      <w:bCs/>
      <w:sz w:val="17"/>
      <w:szCs w:val="17"/>
    </w:rPr>
  </w:style>
  <w:style w:type="paragraph" w:customStyle="1" w:styleId="sCitatindrag">
    <w:name w:val="sCitat indrag"/>
    <w:basedOn w:val="sCitat"/>
    <w:rsid w:val="002820FD"/>
    <w:pPr>
      <w:spacing w:before="0"/>
      <w:ind w:firstLine="284"/>
    </w:pPr>
  </w:style>
  <w:style w:type="paragraph" w:customStyle="1" w:styleId="sRubrik0">
    <w:name w:val="sRubrik 0"/>
    <w:next w:val="sBrdtext"/>
    <w:rsid w:val="00297756"/>
    <w:pPr>
      <w:pageBreakBefore/>
      <w:widowControl w:val="0"/>
      <w:spacing w:before="1000"/>
    </w:pPr>
    <w:rPr>
      <w:rFonts w:ascii="Arial" w:hAnsi="Arial"/>
      <w:smallCaps/>
      <w:sz w:val="5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3" Target="media/rId33.png" /><Relationship Type="http://schemas.openxmlformats.org/officeDocument/2006/relationships/image" Id="rId109" Target="media/rId109.png" /><Relationship Type="http://schemas.openxmlformats.org/officeDocument/2006/relationships/image" Id="rId81" Target="media/rId81.png" /><Relationship Type="http://schemas.openxmlformats.org/officeDocument/2006/relationships/image" Id="rId104" Target="media/rId104.png" /><Relationship Type="http://schemas.openxmlformats.org/officeDocument/2006/relationships/image" Id="rId102" Target="media/rId102.png" /><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6" Target="https://github.com/nils-holmberg/scom-org/blob/main/src/emo-readme.md" TargetMode="External" /><Relationship Type="http://schemas.openxmlformats.org/officeDocument/2006/relationships/hyperlink" Id="rId115" Target="https://www.lu.se/artikel/se-upp-rovdjuren" TargetMode="External" /><Relationship Type="http://schemas.openxmlformats.org/officeDocument/2006/relationships/hyperlink" Id="rId80" Target="https://www.nof1sced.org/" TargetMode="External" /><Relationship Type="http://schemas.openxmlformats.org/officeDocument/2006/relationships/hyperlink" Id="rId78"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6" Target="https://github.com/nils-holmberg/scom-org/blob/main/src/emo-readme.md" TargetMode="External" /><Relationship Type="http://schemas.openxmlformats.org/officeDocument/2006/relationships/hyperlink" Id="rId115" Target="https://www.lu.se/artikel/se-upp-rovdjuren" TargetMode="External" /><Relationship Type="http://schemas.openxmlformats.org/officeDocument/2006/relationships/hyperlink" Id="rId80" Target="https://www.nof1sced.org/" TargetMode="External" /><Relationship Type="http://schemas.openxmlformats.org/officeDocument/2006/relationships/hyperlink" Id="rId78" Target="https://www.reuters.com/world/card-angrist-imbens-win-2021-nobel-economics-prize-2021-10-11/"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4566</Characters>
  <Application>Microsoft Office Word</Application>
  <DocSecurity>0</DocSecurity>
  <Lines>69</Lines>
  <Paragraphs>16</Paragraphs>
  <ScaleCrop>false</ScaleCrop>
  <HeadingPairs>
    <vt:vector size="2" baseType="variant">
      <vt:variant>
        <vt:lpstr>Titel</vt:lpstr>
      </vt:variant>
      <vt:variant>
        <vt:i4>1</vt:i4>
      </vt:variant>
    </vt:vector>
  </HeadingPairs>
  <TitlesOfParts>
    <vt:vector size="1" baseType="lpstr">
      <vt:lpstr>Skrivmall 11-03</vt:lpstr>
    </vt:vector>
  </TitlesOfParts>
  <Company>Studentlitteratur AB</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Nils Gustafsson &amp; Nils Holmberg</dc:creator>
  <dc:language/>
  <cp:keywords/>
  <dcterms:created xsi:type="dcterms:W3CDTF">2021-12-08T16:06:19Z</dcterms:created>
  <dcterms:modified xsi:type="dcterms:W3CDTF">2021-12-08T16:06:19Z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2021-12-08</vt:lpwstr>
  </property>
  <property fmtid="{D5CDD505-2E9C-101B-9397-08002B2CF9AE}" pid="3" name="generator">
    <vt:lpwstr>pandoc</vt:lpwstr>
  </property>
  <property fmtid="{D5CDD505-2E9C-101B-9397-08002B2CF9AE}" pid="4" name="viewport">
    <vt:lpwstr>width=device-width, initial-scale=1.0, user-scalable=yes</vt:lpwstr>
  </property>
</Properties>
</file>