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2021-12-14</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2021-12-14</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De båda faktorerna benämns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SCED vs RCT. Single-case design, traditionell RCT (randomized controlled trial ) vs SCED (single-case experimental designs),</w:t>
      </w:r>
      <w:r>
        <w:t xml:space="preserve"> </w:t>
      </w:r>
      <w:hyperlink r:id="rId77">
        <w:r>
          <w:rPr>
            <w:rStyle w:val="Hyperlnk"/>
          </w:rPr>
          <w:t xml:space="preserve">https://www.nof1sced.org/</w:t>
        </w:r>
      </w:hyperlink>
    </w:p>
    <w:p>
      <w:pPr>
        <w:pStyle w:val="Rubrik3"/>
      </w:pPr>
      <w:bookmarkStart w:id="78" w:name="naturliga-experiment"/>
      <w:r>
        <w:t xml:space="preserve">7.5.8 Naturliga 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2021-12-14T09:24:06Z</dcterms:created>
  <dcterms:modified xsi:type="dcterms:W3CDTF">2021-12-14T09:24:06Z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2021-12-14</vt:lpwstr>
  </property>
  <property fmtid="{D5CDD505-2E9C-101B-9397-08002B2CF9AE}" pid="3" name="generator">
    <vt:lpwstr>pandoc</vt:lpwstr>
  </property>
  <property fmtid="{D5CDD505-2E9C-101B-9397-08002B2CF9AE}" pid="4" name="viewport">
    <vt:lpwstr>width=device-width, initial-scale=1.0, user-scalable=yes</vt:lpwstr>
  </property>
</Properties>
</file>