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2021-12-16</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2021-12-16</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och-kvalitetsarbete"/>
      <w:r>
        <w:t xml:space="preserve">7.1 Förstudier och kvalitetsarbete</w:t>
      </w:r>
      <w:bookmarkEnd w:id="41"/>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validitet-och-reliabilitet"/>
      <w:r>
        <w:t xml:space="preserve">7.1.1 Validitet och reliabilitet</w:t>
      </w:r>
      <w:bookmarkEnd w:id="42"/>
    </w:p>
    <w:p>
      <w:pPr>
        <w:pStyle w:val="FirstParagraph"/>
      </w:pPr>
      <w:r>
        <w:t xml:space="preserve">Igen.</w:t>
      </w:r>
    </w:p>
    <w:p>
      <w:pPr>
        <w:pStyle w:val="Rubrik3"/>
      </w:pPr>
      <w:bookmarkStart w:id="43" w:name="power-analys-1"/>
      <w:r>
        <w:t xml:space="preserve">7.1.2 Power-analys</w:t>
      </w:r>
      <w:bookmarkEnd w:id="43"/>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4">
        <w:r>
          <w:rPr>
            <w:rStyle w:val="Hyperlnk"/>
          </w:rPr>
          <w:t xml:space="preserve">http://shinyapps.org/apps/PPV/</w:t>
        </w:r>
      </w:hyperlink>
    </w:p>
    <w:p>
      <w:pPr>
        <w:numPr>
          <w:ilvl w:val="0"/>
          <w:numId w:val="1004"/>
        </w:numPr>
        <w:pStyle w:val="Compact"/>
      </w:pPr>
      <w:hyperlink r:id="rId45">
        <w:r>
          <w:rPr>
            <w:rStyle w:val="Hyperlnk"/>
          </w:rPr>
          <w:t xml:space="preserve">https://gallery.shinyapps.io/CLT_mean/</w:t>
        </w:r>
      </w:hyperlink>
    </w:p>
    <w:p>
      <w:pPr>
        <w:numPr>
          <w:ilvl w:val="0"/>
          <w:numId w:val="1004"/>
        </w:numPr>
        <w:pStyle w:val="Compact"/>
      </w:pPr>
      <w:hyperlink r:id="rId46">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7" w:name="pilottest"/>
      <w:r>
        <w:t xml:space="preserve">7.1.3 Pilottest</w:t>
      </w:r>
      <w:bookmarkEnd w:id="47"/>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8" w:name="försöksdeltagare"/>
      <w:r>
        <w:t xml:space="preserve">7.2 Försöksdeltagare</w:t>
      </w:r>
      <w:bookmarkEnd w:id="4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9" w:name="representativt-urval"/>
      <w:r>
        <w:t xml:space="preserve">7.2.1 Representativt urval</w:t>
      </w:r>
      <w:bookmarkEnd w:id="4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50" w:name="demografiska-egenskaper"/>
      <w:r>
        <w:t xml:space="preserve">7.2.2 Demografiska egenskaper</w:t>
      </w:r>
      <w:bookmarkEnd w:id="5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1" w:name="individuella-egenskaper"/>
      <w:r>
        <w:t xml:space="preserve">7.2.3 Individuella egenskaper</w:t>
      </w:r>
      <w:bookmarkEnd w:id="51"/>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2" w:name="etiska-hänsynstaganden"/>
      <w:r>
        <w:t xml:space="preserve">7.2.4 Etiska hänsynstaganden</w:t>
      </w:r>
      <w:bookmarkEnd w:id="52"/>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3" w:name="planering-av-deltagare"/>
      <w:r>
        <w:t xml:space="preserve">7.2.5 Planering av deltagare</w:t>
      </w:r>
      <w:bookmarkEnd w:id="5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4" w:name="rapportering-av-deltagare"/>
      <w:r>
        <w:t xml:space="preserve">7.2.6 Rapportering av deltagare</w:t>
      </w:r>
      <w:bookmarkEnd w:id="54"/>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5" w:name="mätinstrument"/>
      <w:r>
        <w:t xml:space="preserve">7.3 Mätinstrument</w:t>
      </w:r>
      <w:bookmarkEnd w:id="55"/>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6" w:name="olika-mätskalor"/>
      <w:r>
        <w:t xml:space="preserve">7.3.1 Olika mätskalor</w:t>
      </w:r>
      <w:bookmarkEnd w:id="56"/>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7">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Brdtext"/>
      </w:pPr>
      <w:r>
        <w:t xml:space="preserve">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58" w:name="mätning-av-subjektiva-responser"/>
      <w:r>
        <w:t xml:space="preserve">7.3.2 Mätning av subjektiva responser</w:t>
      </w:r>
      <w:bookmarkEnd w:id="58"/>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9" w:name="mätning-av-objektiva-responser"/>
      <w:r>
        <w:t xml:space="preserve">7.3.3 Mätning av objektiva responser</w:t>
      </w:r>
      <w:bookmarkEnd w:id="59"/>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60" w:name="beroende-variabler"/>
      <w:r>
        <w:t xml:space="preserve">7.3.4 Beroende variabler</w:t>
      </w:r>
      <w:bookmarkEnd w:id="60"/>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61" w:name="planering-av-mätinstrument"/>
      <w:r>
        <w:t xml:space="preserve">7.3.5 Planering av mätinstrument</w:t>
      </w:r>
      <w:bookmarkEnd w:id="61"/>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2" w:name="rapportering-av-mätinstrument"/>
      <w:r>
        <w:t xml:space="preserve">7.3.6 Rapportering av mätinstrument</w:t>
      </w:r>
      <w:bookmarkEnd w:id="6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3" w:name="experimentella-villkor"/>
      <w:r>
        <w:t xml:space="preserve">7.4 Experimentella villkor</w:t>
      </w:r>
      <w:bookmarkEnd w:id="63"/>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4" w:name="kontroll--och-behandlingsvillkor"/>
      <w:r>
        <w:t xml:space="preserve">7.4.1 Kontroll- och behandlingsvillkor</w:t>
      </w:r>
      <w:bookmarkEnd w:id="64"/>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5" w:name="oberoende-variabler"/>
      <w:r>
        <w:t xml:space="preserve">7.4.2 Oberoende variabler</w:t>
      </w:r>
      <w:bookmarkEnd w:id="65"/>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6" w:name="instruktionsvillkor"/>
      <w:r>
        <w:t xml:space="preserve">7.4.3 Instruktionsvillkor</w:t>
      </w:r>
      <w:bookmarkEnd w:id="66"/>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7" w:name="kontrollvariabler"/>
      <w:r>
        <w:t xml:space="preserve">7.4.4 Kontrollvariabler</w:t>
      </w:r>
      <w:bookmarkEnd w:id="67"/>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8" w:name="utrustning-och-materiel"/>
      <w:r>
        <w:t xml:space="preserve">7.4.5 Utrustning och materiel</w:t>
      </w:r>
      <w:bookmarkEnd w:id="68"/>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9" w:name="planering-av-experimentella-villkor"/>
      <w:r>
        <w:t xml:space="preserve">7.4.6 Planering av experimentella villkor</w:t>
      </w:r>
      <w:bookmarkEnd w:id="6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70" w:name="rapportering-av-experimentella-villkor"/>
      <w:r>
        <w:t xml:space="preserve">7.4.7 Rapportering av experimentella villkor</w:t>
      </w:r>
      <w:bookmarkEnd w:id="70"/>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71" w:name="experimentell-design"/>
      <w:r>
        <w:t xml:space="preserve">7.5 Experimentell design</w:t>
      </w:r>
      <w:bookmarkEnd w:id="71"/>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2" w:name="instruktioner-och-uppgifter"/>
      <w:r>
        <w:t xml:space="preserve">7.5.1 Instruktioner och uppgifter</w:t>
      </w:r>
      <w:bookmarkEnd w:id="7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3" w:name="randomisering-och-balansering"/>
      <w:r>
        <w:t xml:space="preserve">7.5.2 Randomisering och balansering</w:t>
      </w:r>
      <w:bookmarkEnd w:id="73"/>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4" w:name="mellangruppsdesign"/>
      <w:r>
        <w:t xml:space="preserve">7.5.3 Mellangruppsdesign</w:t>
      </w:r>
      <w:bookmarkEnd w:id="74"/>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5" w:name="inomgruppsdesign"/>
      <w:r>
        <w:t xml:space="preserve">7.5.4 Inomgruppsdesign</w:t>
      </w:r>
      <w:bookmarkEnd w:id="75"/>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6" w:name="upprepade-försök"/>
      <w:r>
        <w:t xml:space="preserve">7.5.5 Upprepade försök</w:t>
      </w:r>
      <w:bookmarkEnd w:id="76"/>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7" w:name="faktoriell-design"/>
      <w:r>
        <w:t xml:space="preserve">7.5.6 Faktoriell design</w:t>
      </w:r>
      <w:bookmarkEnd w:id="77"/>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8" w:name="individuella-deltagare"/>
      <w:r>
        <w:t xml:space="preserve">7.5.7 Individuella deltagare</w:t>
      </w:r>
      <w:bookmarkEnd w:id="78"/>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9">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80" w:name="naturliga-experiment"/>
      <w:r>
        <w:t xml:space="preserve">7.5.8 Naturliga experiment</w:t>
      </w:r>
      <w:bookmarkEnd w:id="80"/>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81" w:name="kvasi-experiment"/>
      <w:r>
        <w:t xml:space="preserve">7.5.9 Kvasi-experiment</w:t>
      </w:r>
      <w:bookmarkEnd w:id="81"/>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2" w:name="planering-av-experimentdesign"/>
      <w:r>
        <w:t xml:space="preserve">7.5.10 Planering av experimentdesign</w:t>
      </w:r>
      <w:bookmarkEnd w:id="82"/>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3" w:name="rapportering-av-experimentdesign"/>
      <w:r>
        <w:t xml:space="preserve">7.5.11 Rapportering av experimentdesign</w:t>
      </w:r>
      <w:bookmarkEnd w:id="83"/>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4" w:name="procedur"/>
      <w:r>
        <w:t xml:space="preserve">7.6 Procedur</w:t>
      </w:r>
      <w:bookmarkEnd w:id="84"/>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8" w:name="applicera-mätutrustning"/>
      <w:r>
        <w:t xml:space="preserve">7.6.4 Applicera mätutrustning</w:t>
      </w:r>
      <w:bookmarkEnd w:id="88"/>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9" w:name="instruktioner-och-uppgifter-1"/>
      <w:r>
        <w:t xml:space="preserve">7.6.5 Instruktioner och uppgifter</w:t>
      </w:r>
      <w:bookmarkEnd w:id="89"/>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90" w:name="under-experimentets-gång"/>
      <w:r>
        <w:t xml:space="preserve">7.6.6 Under experimentets gång</w:t>
      </w:r>
      <w:bookmarkEnd w:id="90"/>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91" w:name="debriefing-och-ersättning"/>
      <w:r>
        <w:t xml:space="preserve">7.6.7 Debriefing och ersättning</w:t>
      </w:r>
      <w:bookmarkEnd w:id="91"/>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2" w:name="planering-av-procedur"/>
      <w:r>
        <w:t xml:space="preserve">7.6.8 Planering av procedur</w:t>
      </w:r>
      <w:bookmarkEnd w:id="92"/>
    </w:p>
    <w:p>
      <w:pPr>
        <w:pStyle w:val="FirstParagraph"/>
      </w:pPr>
      <w:r>
        <w:t xml:space="preserve">Om det är första gången du genomför ett experiment så gör du antagligen klokt i att .. anonyma deltagarnummer är viktigt. förstör eller förvara kodnyckel i säkerhetsskåp.</w:t>
      </w:r>
    </w:p>
    <w:p>
      <w:pPr>
        <w:pStyle w:val="Brdtext"/>
      </w:pPr>
      <w:r>
        <w:t xml:space="preserve">I samband med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 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1">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1"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5" Target="https://www.lu.se/artikel/se-upp-rovdjuren" TargetMode="External" /><Relationship Type="http://schemas.openxmlformats.org/officeDocument/2006/relationships/hyperlink" Id="rId79"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1"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5" Target="https://www.lu.se/artikel/se-upp-rovdjuren" TargetMode="External" /><Relationship Type="http://schemas.openxmlformats.org/officeDocument/2006/relationships/hyperlink" Id="rId79"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2021-12-16T22:00:51Z</dcterms:created>
  <dcterms:modified xsi:type="dcterms:W3CDTF">2021-12-16T22:00:51Z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2021-12-16</vt:lpwstr>
  </property>
  <property fmtid="{D5CDD505-2E9C-101B-9397-08002B2CF9AE}" pid="3" name="generator">
    <vt:lpwstr>pandoc</vt:lpwstr>
  </property>
  <property fmtid="{D5CDD505-2E9C-101B-9397-08002B2CF9AE}" pid="4" name="viewport">
    <vt:lpwstr>width=device-width, initial-scale=1.0, user-scalable=yes</vt:lpwstr>
  </property>
</Properties>
</file>