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8.png" ContentType="image/png;base64"/>
  <Override PartName="/word/media/rId103.png" ContentType="image/png;base64"/>
  <Override PartName="/word/media/rId101.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2021-12-16</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2021-12-16</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 på engelska “randomized block design”</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skalor"/>
      <w:r>
        <w:t xml:space="preserve">7.3.1 Olika mätskalor</w:t>
      </w:r>
      <w:bookmarkEnd w:id="55"/>
    </w:p>
    <w:p>
      <w:pPr>
        <w:pStyle w:val="FirstParagraph"/>
      </w:pPr>
      <w:r>
        <w:t xml:space="preserve">Mätskala, eller ibland datanivå, är ett begrepp som används inom beskrivande statistik för att klassificera den variabel som mäts. Variabler som endast kan mätas enligt en nominalskala eller ordinalskala kallas med ett gemensamt namn kvalitativa variabler eller kategorivariabler och de som kan mätas enligt en intervallskala eller kvotskala kallas kvantitativa variabler. För kvantitativa variabler är det, förutom lägesmått som medelvärde och median, också möjligt att beräkna spridningsmått som standardavvikelse och varians (</w:t>
      </w:r>
      <w:hyperlink r:id="rId56">
        <w:r>
          <w:rPr>
            <w:rStyle w:val="Hyperlnk"/>
          </w:rPr>
          <w:t xml:space="preserve">https://sv.wikipedia.org/wiki/M%C3%A4tskala</w:t>
        </w:r>
      </w:hyperlink>
      <w:r>
        <w:t xml:space="preserve">). En viktig princip är att dessa skalor antas innehålla stegvis mer information, och man kan alltid ta bort information men den går inte att lägga till (dvs vi kan omvandla en kvantitativ variabel till en kvalitativ, men inte omvänt). Det är alltså alltid bättre att försöka använda en mätskala med så mycket information som möjligt.</w:t>
      </w:r>
    </w:p>
    <w:p>
      <w:pPr>
        <w:pStyle w:val="Brdtext"/>
      </w:pPr>
      <w:r>
        <w:t xml:space="preserve">Mätskalor och information.</w:t>
      </w:r>
    </w:p>
    <w:p>
      <w:pPr>
        <w:pStyle w:val="TableCaption"/>
      </w:pPr>
      <w:r>
        <w:t xml:space="preserve">Mätskalor och information.</w:t>
      </w:r>
    </w:p>
    <w:tbl>
      <w:tblPr>
        <w:tblStyle w:val="Table"/>
        <w:tblW w:type="pct" w:w="0.0"/>
        <w:tblLook w:firstRow="1"/>
        <w:tblCaption w:val="Mätskalor och information."/>
      </w:tblPr>
      <w:tblGrid/>
      <w:tr>
        <w:trPr>
          <w:cnfStyle w:firstRow="1"/>
        </w:trPr>
        <w:tc>
          <w:tcPr>
            <w:tcBorders>
              <w:bottom w:val="single"/>
            </w:tcBorders>
            <w:vAlign w:val="bottom"/>
          </w:tcPr>
          <w:p>
            <w:pPr>
              <w:pStyle w:val="Compact"/>
              <w:jc w:val="left"/>
            </w:pPr>
            <w:r>
              <w:t xml:space="preserve">Mätskala_Information</w:t>
            </w:r>
          </w:p>
        </w:tc>
        <w:tc>
          <w:tcPr>
            <w:tcBorders>
              <w:bottom w:val="single"/>
            </w:tcBorders>
            <w:vAlign w:val="bottom"/>
          </w:tcPr>
          <w:p>
            <w:pPr>
              <w:pStyle w:val="Compact"/>
              <w:jc w:val="left"/>
            </w:pPr>
            <w:r>
              <w:t xml:space="preserve">Nominal.</w:t>
            </w:r>
          </w:p>
        </w:tc>
        <w:tc>
          <w:tcPr>
            <w:tcBorders>
              <w:bottom w:val="single"/>
            </w:tcBorders>
            <w:vAlign w:val="bottom"/>
          </w:tcPr>
          <w:p>
            <w:pPr>
              <w:pStyle w:val="Compact"/>
              <w:jc w:val="left"/>
            </w:pPr>
            <w:r>
              <w:t xml:space="preserve">Ordinal.</w:t>
            </w:r>
          </w:p>
        </w:tc>
        <w:tc>
          <w:tcPr>
            <w:tcBorders>
              <w:bottom w:val="single"/>
            </w:tcBorders>
            <w:vAlign w:val="bottom"/>
          </w:tcPr>
          <w:p>
            <w:pPr>
              <w:pStyle w:val="Compact"/>
              <w:jc w:val="left"/>
            </w:pPr>
            <w:r>
              <w:t xml:space="preserve">Intervall</w:t>
            </w:r>
          </w:p>
        </w:tc>
        <w:tc>
          <w:tcPr>
            <w:tcBorders>
              <w:bottom w:val="single"/>
            </w:tcBorders>
            <w:vAlign w:val="bottom"/>
          </w:tcPr>
          <w:p>
            <w:pPr>
              <w:pStyle w:val="Compact"/>
              <w:jc w:val="left"/>
            </w:pPr>
            <w:r>
              <w:t xml:space="preserve">Kvot</w:t>
            </w:r>
          </w:p>
        </w:tc>
      </w:tr>
      <w:tr>
        <w:tc>
          <w:p>
            <w:pPr>
              <w:pStyle w:val="Compact"/>
              <w:jc w:val="left"/>
            </w:pPr>
            <w:r>
              <w:t xml:space="preserve">Namn eller kategorier (binära, multiklass)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Ordningsföljd eller rangordning</w:t>
            </w:r>
          </w:p>
        </w:tc>
        <w:tc>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Mätningar med godtycklig nollpunkt</w:t>
            </w:r>
          </w:p>
        </w:tc>
        <w:tc>
          <w:p/>
        </w:tc>
        <w:tc>
          <w:p/>
        </w:tc>
        <w:tc>
          <w:p>
            <w:pPr>
              <w:pStyle w:val="Compact"/>
              <w:jc w:val="left"/>
            </w:pPr>
            <w:r>
              <w:t xml:space="preserve">X</w:t>
            </w:r>
          </w:p>
        </w:tc>
        <w:tc>
          <w:p>
            <w:pPr>
              <w:pStyle w:val="Compact"/>
              <w:jc w:val="left"/>
            </w:pPr>
            <w:r>
              <w:t xml:space="preserve">X</w:t>
            </w:r>
          </w:p>
        </w:tc>
      </w:tr>
      <w:tr>
        <w:tc>
          <w:p>
            <w:pPr>
              <w:pStyle w:val="Compact"/>
              <w:jc w:val="left"/>
            </w:pPr>
            <w:r>
              <w:t xml:space="preserve">Kontinuerliga mätningar med absolut nollpunkt</w:t>
            </w:r>
          </w:p>
        </w:tc>
        <w:tc>
          <w:p/>
        </w:tc>
        <w:tc>
          <w:p/>
        </w:tc>
        <w:tc>
          <w:p/>
        </w:tc>
        <w:tc>
          <w:p>
            <w:pPr>
              <w:pStyle w:val="Compact"/>
              <w:jc w:val="left"/>
            </w:pPr>
            <w:r>
              <w:t xml:space="preserve">X</w:t>
            </w:r>
          </w:p>
        </w:tc>
      </w:tr>
    </w:tbl>
    <w:p>
      <w:pPr>
        <w:pStyle w:val="Brdtext"/>
      </w:pPr>
      <w:r>
        <w:rPr>
          <w:b/>
        </w:rPr>
        <w:t xml:space="preserve">Nominalskala.</w:t>
      </w:r>
      <w:r>
        <w:t xml:space="preserve"> </w:t>
      </w:r>
      <w:r>
        <w:t xml:space="preserve">Det man mäter kan endast delas in i grupper utan inbördesordning. Exempel är kön, yrke och sjukdomstyp. Variabelns olika värden kan endast beskrivas med ord, exempelvis man/kvinna, läkare/sjuksköterska/städare/säljare. För variabler som mäts enligt en nominalskala är det möjligt att beräkna typvärde, men inte median eller aritmetiskt medelvärde.</w:t>
      </w:r>
    </w:p>
    <w:p>
      <w:pPr>
        <w:pStyle w:val="Brdtext"/>
      </w:pPr>
      <w:r>
        <w:rPr>
          <w:b/>
        </w:rPr>
        <w:t xml:space="preserve">Ordinalskala.</w:t>
      </w:r>
      <w:r>
        <w:t xml:space="preserve"> </w:t>
      </w:r>
      <w:r>
        <w:t xml:space="preserve">Variabelns olika värden kan rangordnas, men det går inte att på något meningsfullt sätt ange skillnader eller avstånd mellan värdena. Exempel är utbildning som kan anta värdena grundskola/gymnasium/högskola/forskarutbildning. Det går att ordna värdena efter stigande utbildningsnivå, men man kan inte tilldela en viss utbildning något numeriskt värde. För en variabel mätt enligt denna skala är det möjligt att beräkna typvärde, median och percentiler, men inte aritmetiskt medelvärde. När vi i exempel-experimentet mäter deltagares attityd till Facebook-posters trovärdighet kallar vi detta ordinalskala, men vi behandlar den som en intervallskala av praktiska skäl.</w:t>
      </w:r>
    </w:p>
    <w:p>
      <w:pPr>
        <w:pStyle w:val="Brdtext"/>
      </w:pPr>
      <w:r>
        <w:rPr>
          <w:b/>
        </w:rPr>
        <w:t xml:space="preserve">Intervallskala.</w:t>
      </w:r>
      <w:r>
        <w:t xml:space="preserve"> </w:t>
      </w:r>
      <w:r>
        <w:t xml:space="preserve">I detta fall kan det man mäter tilldelas ett numeriskt värde med ett konstant avstånd mellan de olika värdena. Ett exempel är temperatur mätt i grader Celsius. Det är här meningsfullt att ange skillnaden mellan två mätvärden. 20 grader Celsius är 10 grader varmare än 10 grader Celsius och 30 grader är ytterligare 10 grader varmare. Däremot är det inte riktigt att påstå att det en dag är dubbelt så varmt som föregående dag eftersom nollpunkten är godtycklig och det finns negativa temperaturvärden. För variabler mätta enligt denna skala är det möjligt att beräkna både typvärde, median och aritmetiskt medelvärde.</w:t>
      </w:r>
    </w:p>
    <w:p>
      <w:pPr>
        <w:pStyle w:val="Brdtext"/>
      </w:pPr>
      <w:r>
        <w:rPr>
          <w:b/>
        </w:rPr>
        <w:t xml:space="preserve">Kvotskala.</w:t>
      </w:r>
      <w:r>
        <w:t xml:space="preserve"> </w:t>
      </w:r>
      <w:r>
        <w:t xml:space="preserve">Det som mäts kan beskrivas med ett kontinuerligt varierande numeriskt värde, och det finns ett entydigt sätt att definiera ett nollvärde. Därmed kan man jämföra storleken mellan de olika värdena. Exempel är kroppslängd mätt i centimeter. En person kan vara dubbelt så lång som en annan. Märk väl att det inte är i princip omöjligt att uppmäta negativa värden på en kvotskala. Exempelvis kan en persons samlade ekonomiska tillgångar anta ett negativt värde på en kvotskala om personens skulder överstiger dennes tillgångar. Endast för variabler som mäts enligt en kvotskala är det meningsfullt att multiplicera och dividera mätvärdena. När vi i exempel-experimentet mäter deltagares läsning av texten i Facebook-poster med hjälp av en ögonrörelsemätare, kan vi anse att detta utgör mätvärden på en kvotskala.</w:t>
      </w:r>
    </w:p>
    <w:p>
      <w:pPr>
        <w:pStyle w:val="Brdtext"/>
      </w:pPr>
      <w:r>
        <w:t xml:space="preserve">TODO: Samlad diskussion om alla olika typer av validitet och reliabilitet hör hemma lite överallt, kanske bäst under</w:t>
      </w:r>
      <w:r>
        <w:t xml:space="preserve"> </w:t>
      </w:r>
      <w:r>
        <w:rPr>
          <w:i/>
        </w:rPr>
        <w:t xml:space="preserve">förstudier</w:t>
      </w:r>
      <w:r>
        <w:t xml:space="preserve">, eller under mätinstrument, kanske även någonstans under diskussion.</w:t>
      </w:r>
    </w:p>
    <w:p>
      <w:pPr>
        <w:pStyle w:val="Rubrik3"/>
      </w:pPr>
      <w:bookmarkStart w:id="57" w:name="mätning-av-subjektiva-responser"/>
      <w:r>
        <w:t xml:space="preserve">7.3.2 Mätning av subjektiva responser</w:t>
      </w:r>
      <w:bookmarkEnd w:id="57"/>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8" w:name="mätning-av-objektiva-responser"/>
      <w:r>
        <w:t xml:space="preserve">7.3.3 Mätning av objektiva responser</w:t>
      </w:r>
      <w:bookmarkEnd w:id="58"/>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9" w:name="beroende-variabler"/>
      <w:r>
        <w:t xml:space="preserve">7.3.4 Beroende variabler</w:t>
      </w:r>
      <w:bookmarkEnd w:id="59"/>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60" w:name="planering-av-mätinstrument"/>
      <w:r>
        <w:t xml:space="preserve">7.3.5 Planering av mätinstrument</w:t>
      </w:r>
      <w:bookmarkEnd w:id="6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1" w:name="rapportering-av-mätinstrument"/>
      <w:r>
        <w:t xml:space="preserve">7.3.6 Rapportering av mätinstrument</w:t>
      </w:r>
      <w:bookmarkEnd w:id="6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2" w:name="experimentella-villkor"/>
      <w:r>
        <w:t xml:space="preserve">7.4 Experimentella villkor</w:t>
      </w:r>
      <w:bookmarkEnd w:id="62"/>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3" w:name="kontroll--och-behandlingsvillkor"/>
      <w:r>
        <w:t xml:space="preserve">7.4.1 Kontroll- och behandlingsvillkor</w:t>
      </w:r>
      <w:bookmarkEnd w:id="63"/>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4" w:name="oberoende-variabler"/>
      <w:r>
        <w:t xml:space="preserve">7.4.2 Oberoende variabler</w:t>
      </w:r>
      <w:bookmarkEnd w:id="64"/>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5" w:name="instruktionsvillkor"/>
      <w:r>
        <w:t xml:space="preserve">7.4.3 Instruktionsvillkor</w:t>
      </w:r>
      <w:bookmarkEnd w:id="65"/>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6" w:name="kontrollvariabler"/>
      <w:r>
        <w:t xml:space="preserve">7.4.4 Kontrollvariabler</w:t>
      </w:r>
      <w:bookmarkEnd w:id="66"/>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7" w:name="utrustning-och-materiel"/>
      <w:r>
        <w:t xml:space="preserve">7.4.5 Utrustning och materiel</w:t>
      </w:r>
      <w:bookmarkEnd w:id="67"/>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8" w:name="planering-av-experimentella-villkor"/>
      <w:r>
        <w:t xml:space="preserve">7.4.6 Planering av experimentella villkor</w:t>
      </w:r>
      <w:bookmarkEnd w:id="68"/>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9" w:name="rapportering-av-experimentella-villkor"/>
      <w:r>
        <w:t xml:space="preserve">7.4.7 Rapportering av experimentella villkor</w:t>
      </w:r>
      <w:bookmarkEnd w:id="69"/>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70" w:name="experimentell-design"/>
      <w:r>
        <w:t xml:space="preserve">7.5 Experimentell design</w:t>
      </w:r>
      <w:bookmarkEnd w:id="70"/>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1" w:name="instruktioner-och-uppgifter"/>
      <w:r>
        <w:t xml:space="preserve">7.5.1 Instruktioner och uppgifter</w:t>
      </w:r>
      <w:bookmarkEnd w:id="7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2" w:name="randomisering-och-balansering"/>
      <w:r>
        <w:t xml:space="preserve">7.5.2 Randomisering och balansering</w:t>
      </w:r>
      <w:bookmarkEnd w:id="72"/>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3" w:name="mellangruppsdesign"/>
      <w:r>
        <w:t xml:space="preserve">7.5.3 Mellangruppsdesign</w:t>
      </w:r>
      <w:bookmarkEnd w:id="73"/>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74" w:name="inomgruppsdesign"/>
      <w:r>
        <w:t xml:space="preserve">7.5.4 Inomgruppsdesign</w:t>
      </w:r>
      <w:bookmarkEnd w:id="74"/>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5" w:name="upprepade-försök"/>
      <w:r>
        <w:t xml:space="preserve">7.5.5 Upprepade försök</w:t>
      </w:r>
      <w:bookmarkEnd w:id="75"/>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6" w:name="faktoriell-design"/>
      <w:r>
        <w:t xml:space="preserve">7.5.6 Faktoriell design</w:t>
      </w:r>
      <w:bookmarkEnd w:id="76"/>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7" w:name="individuella-deltagare"/>
      <w:r>
        <w:t xml:space="preserve">7.5.7 Individuella deltagare</w:t>
      </w:r>
      <w:bookmarkEnd w:id="77"/>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 Inom den kvalitativa forskningen kan detta upplägg kanske jämföras med fallstudier eller case studies.</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8">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79" w:name="naturliga-experiment"/>
      <w:r>
        <w:t xml:space="preserve">7.5.8 Naturliga experiment</w:t>
      </w:r>
      <w:bookmarkEnd w:id="79"/>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80" w:name="kvasi-experiment"/>
      <w:r>
        <w:t xml:space="preserve">7.5.9 Kvasi-experiment</w:t>
      </w:r>
      <w:bookmarkEnd w:id="80"/>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kön eller personlighetsdrag, och effekten av en sådan “behandling” på någon utfallsvariabel. Ett konkret exempel på detta: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81" w:name="planering-av-experimentdesign"/>
      <w:r>
        <w:t xml:space="preserve">7.5.10 Planering av experimentdesign</w:t>
      </w:r>
      <w:bookmarkEnd w:id="81"/>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Brdtext"/>
      </w:pPr>
      <w:r>
        <w:t xml:space="preserve">Som en intressant avslutning på planeringen kan vi passa på att nämna att det ibland kan fungera att göra flera experiment vid samma tillfälle, och med samma deltagare, men med olika stimuli och villkor. Experimenten kan då varvas eller köras i turordning. Detta kan medföra stora effektiviseringar eftersom vi då inte behöver rektrytera deltagare två gånger. Nackdelen med denna design kan dock vara att experimenten tar lång tid för deltagaren att genomföra. Det är sällan uppskattat att ett experiment tar mer än 40-60 minuter att bli klar med.</w:t>
      </w:r>
    </w:p>
    <w:p>
      <w:pPr>
        <w:pStyle w:val="Rubrik3"/>
      </w:pPr>
      <w:bookmarkStart w:id="82" w:name="rapportering-av-experimentdesign"/>
      <w:r>
        <w:t xml:space="preserve">7.5.11 Rapportering av experimentdesign</w:t>
      </w:r>
      <w:bookmarkEnd w:id="82"/>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83" w:name="procedur"/>
      <w:r>
        <w:t xml:space="preserve">7.6 Procedur</w:t>
      </w:r>
      <w:bookmarkEnd w:id="83"/>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(hemmet, jobbet, morgon, kväll osv). Vid ett sådant genomförande kan vi dock förvänta oss att brusnivån i våra data oundvikligen blir högre och att effektstorlekar och möjligheter att hitta meningsfulla mönster blir mindre. (Dessutom utgörs ju observationerna i ett survey-experiment av självrapporterad data, vilket också kan bidra till brus, men det behandlar vi på andra ställen i denna bok.) I det följande kommer vi att försöka behandla de viktigaste och mest återkommande momenten i en experimentell procedur i kronologisk ordning. Vi kan tänka på detta som samtliga delar i experimentet såsom de möter försöksdeltagaren. Dessa delar innefattar välkomsthälsning, informerat samtycke, förtest (baslinje), applicera mätutrustning, instruktioner och uppgifter, eftertest, samt debriefing och ersättning.</w:t>
      </w:r>
    </w:p>
    <w:p>
      <w:pPr>
        <w:pStyle w:val="Rubrik3"/>
      </w:pPr>
      <w:bookmarkStart w:id="84" w:name="välkomsthälsning"/>
      <w:r>
        <w:t xml:space="preserve">7.6.1 Välkomsthälsning</w:t>
      </w:r>
      <w:bookmarkEnd w:id="84"/>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85" w:name="informerat-samtycke"/>
      <w:r>
        <w:t xml:space="preserve">7.6.2 Informerat samtycke</w:t>
      </w:r>
      <w:bookmarkEnd w:id="85"/>
    </w:p>
    <w:p>
      <w:pPr>
        <w:pStyle w:val="FirstParagraph"/>
      </w:pPr>
      <w:r>
        <w:t xml:space="preserve">Den forskningsetiska utvecklingen under de senaste decennierna har syftat till att stärka försöksdeltagarnas rättigheter gentemot de privata och offentliga organisationer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Denna aspekt av humanforskning finns kvar idag, och man kan säga att de forskningsetiska reglerna kring informerat samtycke sedermera har inkorporerats och blivit en del av GDPR, som är ett betydligt större och mer omfattande regelverk. Men vad innebär då allt detta för genomförandet av ett experiment? Enkelt uttryckt innebär det att forskaren på förhand måste ha klart för sig vilken typ av data experimentet kommer samla in, samt om denna data är att betrakta som känsliga personuppgifter. Känsliga personuppgifter är data som kan användas för att identifiera en individ, t.ex. kontaktuppgifter, eller data om politiska åsikter och religionstillhörighet, samt biologiska eller biometriska data. Insamling av denna typ av uppgifter kräver etisk prövning, vilket vi inte kommer ta upp i denna bok.</w:t>
      </w:r>
    </w:p>
    <w:p>
      <w:pPr>
        <w:pStyle w:val="Brdtext"/>
      </w:pPr>
      <w:r>
        <w:t xml:space="preserve">I denna bok utgår vi istället från ett exempel-experiment där deltagarna får interagera med manipulerade Facebook-poster i en laboratoriemiljö medan vi (studenter, forskare) mäter deras ögonrörelser och attityder till posternas trovärdighet. En sådan datainsamling berörs inte av etikprövningslagen, men omfattas fortfarande av GDPR. Tänk på att om deltagaren är yngre än femton år så måste medgivande från alla vårdnadshavare inhämtas i förväg. Informerat samtycke lämnas oftast genom att experimentledare ger deltagaren ett papper med utskriven information, vilket deltagaren ges tid att läsa igenom och sedan underteckna om den godkänner villkoren. Informerat samtycke kallas ibland även forskningspersonsinformation, och nedan återges en stödmall till forskningspersonsinformation från Etikprövningsmyndigheten (uppdaterad 1 juni 2021). Generellt bör man tänka på att använda ett enkelt språk, undvika svåra ord och ovanliga förkortningar, samt undvika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Vid behov anges att ansökan är godkänd av Etikprövningsmyndigheten, samt diarienummer för prövningen.</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6" w:name="förtest"/>
      <w:r>
        <w:t xml:space="preserve">7.6.3 Förtest</w:t>
      </w:r>
      <w:bookmarkEnd w:id="86"/>
    </w:p>
    <w:p>
      <w:pPr>
        <w:pStyle w:val="FirstParagraph"/>
      </w:pPr>
      <w:r>
        <w:t xml:space="preserve">Ett förtest kan se ut på lite olika sätt. Den vanligaste varianten är att experimentledaren vill låta deltagaren prova på experimentet först för att försäkra sig om att deltagaren förstår eventuella uppgifter, samt hur den ska interagera med det experimentmaterial som oftast visas på en datorskärm (t.ex. musklick och/eller tangentbord). Detta görs ofta för att undvika att den första försöksomgången skiljer sig för mycket från de efterföljande (brusskapande ordningseffekt), vilket blir särskilt aktuellt i samband med inomgruppsdesigner med upprepade försök. En annan variant är att forskaren med hjälp av ett förtest vill samla in ytterligare data som kan användas som kontrollvariabler eller bakgrundsvariabler till det egentliga experimentet.</w:t>
      </w:r>
    </w:p>
    <w:p>
      <w:pPr>
        <w:pStyle w:val="Rubrik3"/>
      </w:pPr>
      <w:bookmarkStart w:id="87" w:name="applicera-mätutrustning"/>
      <w:r>
        <w:t xml:space="preserve">7.6.4 Applicera mätutrustning</w:t>
      </w:r>
      <w:bookmarkEnd w:id="87"/>
    </w:p>
    <w:p>
      <w:pPr>
        <w:pStyle w:val="FirstParagraph"/>
      </w:pPr>
      <w:r>
        <w:t xml:space="preserve">Här blir det särskilt tydligt att denna bok tar avstamp i experiment som innefattar objektiva mätningar i laboratoriemiljö, eftersom det naturligvis inte alltid är fallet att vi använder beteendevetenskaplig eller fysiologisk mätutrustning som behöver fästas mot deltagarens kropp. I exempel-experimentet använder vi dock ögonrörelsemätning, vilket sannolikt skulle skapa en situation där vi som experimentledare först måste säkerställa att mätutrustningen är individuellt anpassad till deltagaren så att instrumentet genererar korrekt mätdata. Denna procedur brukar kallas kalibrering, och kräver att experimentledaren är väl förtrogen med hur alla delar i mätutrustningen fungerar (sensorer, dator, programvara, etc). Mäter vi blickbeteende med en video-baserad ögonrörelsemätare som filmar deltagarens ögon på avstånd, kan det exempelvis hända att en deltagare använder glasögon som gör det svårt att samla in data utan att först kanske höja eller sänka stolen, eller luta skärmen på ett visst sätt. I ett renodlat survey-experiment slipper man kanske helt detta moment eftersom enkätfrågorna utgör mätinstrumentet.</w:t>
      </w:r>
    </w:p>
    <w:p>
      <w:pPr>
        <w:pStyle w:val="Rubrik3"/>
      </w:pPr>
      <w:bookmarkStart w:id="88" w:name="instruktioner-och-uppgifter-1"/>
      <w:r>
        <w:t xml:space="preserve">7.6.5 Instruktioner och uppgifter</w:t>
      </w:r>
      <w:bookmarkEnd w:id="88"/>
    </w:p>
    <w:p>
      <w:pPr>
        <w:pStyle w:val="FirstParagraph"/>
      </w:pPr>
      <w:r>
        <w:t xml:space="preserve">Detta avsnitt syftar tillbaka på en tidigare diskussion av instruktionernas betydelse för experimentet som helhet</w:t>
      </w:r>
      <w:r>
        <w:t xml:space="preserve"> </w:t>
      </w:r>
      <w:hyperlink w:anchor="sub07.5.1">
        <w:r>
          <w:rPr>
            <w:rStyle w:val="Hyperlnk"/>
          </w:rPr>
          <w:t xml:space="preserve">7.5.1</w:t>
        </w:r>
      </w:hyperlink>
      <w:r>
        <w:t xml:space="preserve">. Här fokuserar vi dock på den mer konkreta situationen när våra försöksdeltagare möter instruktionerna som en del av den experimentella proceduren. Det är ganska vanligt att instruktioner ges både verbalt och på skärm, samt i flera olika steg, innan deltagaren sätter igång med det egentliga experimentet. Instruktioner avser i grund och botten att göra experimentet standardiserat och likvärdigt för alla deltagare, vilket kan antas minska brus på grund av missförstånd. För att uppnå detta krävs dock att instruktionerna är</w:t>
      </w:r>
      <w:r>
        <w:t xml:space="preserve"> </w:t>
      </w:r>
      <w:r>
        <w:rPr>
          <w:i/>
        </w:rPr>
        <w:t xml:space="preserve">mycket korta och lättbegripliga</w:t>
      </w:r>
      <w:r>
        <w:t xml:space="preserve">!</w:t>
      </w:r>
    </w:p>
    <w:p>
      <w:pPr>
        <w:pStyle w:val="Brdtext"/>
      </w:pPr>
      <w:r>
        <w:t xml:space="preserve">Uppgifter kan erbjuda möjligheter mäta deltagarnas prestationsförmåga under olika experimentella villkor. I fallet med vårt exempel-experiment skulle instruktionerna kunna vara något i stil med “läs först Facebook-posterna som kommer visas på skärmen och bedöm sedan trovärdigheten genom att markera på en skala”. I lite mer avancerade experiment kan den skarpa uppgiften döljas, och istället ges en skenuppgift till deltagarna för att hålla dem helt omedvetna om experimentets syfte och därigenom undvika bias. Detta upplägg kan naturligtvis vara problematiskt att lösa inom webbaserade survey-experiment.</w:t>
      </w:r>
    </w:p>
    <w:p>
      <w:pPr>
        <w:pStyle w:val="Rubrik3"/>
      </w:pPr>
      <w:bookmarkStart w:id="89" w:name="under-experimentets-gång"/>
      <w:r>
        <w:t xml:space="preserve">7.6.6 Under experimentets gång</w:t>
      </w:r>
      <w:bookmarkEnd w:id="89"/>
    </w:p>
    <w:p>
      <w:pPr>
        <w:pStyle w:val="FirstParagraph"/>
      </w:pPr>
      <w:r>
        <w:t xml:space="preserve">När deltagaren lämnat informerat samtycke, genomgått eventuella förtest, eventuellt fått fysisk mätutrustning applicerad, samt tagit del av instruktioner, är det dags att sätta igång experimentet. Här är det viktigt att etablera en länk mellan deltagaren och dess data. Ett smidigt sätt att lösa detta på är att deltagaren ges ett unikt och anonymiserat deltagarnummer som experimentledaren matar in i samband med att experimentet startar. I övrigt är det viktigt att experimentledaren nu i så liten utsträckning som möjligt påverkar deltagaren. Ibland uppnår man detta genom att experimentledaren lämnar rummet som deltagaren sitter i, alternativt kan experimentledaren sätta sig bakom en skärm i samma rum. Ofta är det dock önskvärt att experimentledaren kontinuerligt kan övervaka att experimentet fortlöper på rätt sätt och kan hjälpa till om något oförutsett inträffar. Generellt är det viktigt med så lite störande moment som möjligt under experimentets gång, samt att vi försäkrar oss om att insamlad data sparas och helst backas upp direkt.</w:t>
      </w:r>
    </w:p>
    <w:p>
      <w:pPr>
        <w:pStyle w:val="Rubrik3"/>
      </w:pPr>
      <w:bookmarkStart w:id="90" w:name="debriefing-och-ersättning"/>
      <w:r>
        <w:t xml:space="preserve">7.6.7 Debriefing och ersättning</w:t>
      </w:r>
      <w:bookmarkEnd w:id="90"/>
    </w:p>
    <w:p>
      <w:pPr>
        <w:pStyle w:val="FirstParagraph"/>
      </w:pPr>
      <w:r>
        <w:t xml:space="preserve">Efter att experimentet är avklarat är det vanligt att experimentledaren ställer några frågor för att kontrollera hur deltagaren upplevde procedur, stimuli och interaktion. Om den tyckte att något moment var svårt, eller att någon instruktion var otydlig. Denna feedback är naturligtvis särskilt viktig medan vi pilottestar experimentet, eftersom det ger oss möjlighet att successivt förbättra alla delar inför skarpa deltagare. Under experimentets gång är det lika viktigt att vi</w:t>
      </w:r>
      <w:r>
        <w:t xml:space="preserve"> </w:t>
      </w:r>
      <w:r>
        <w:rPr>
          <w:i/>
        </w:rPr>
        <w:t xml:space="preserve">inte</w:t>
      </w:r>
      <w:r>
        <w:t xml:space="preserve"> </w:t>
      </w:r>
      <w:r>
        <w:t xml:space="preserve">förändrar själva experimentet, däremot kan vi göra minde justeringar av proceduren och eventuellt även instruktionerna. I samband med detta brukar vi också göra en manipulationskontroll för att ta reda på om någon deltagare förstod vad experimentet gick ut på, dvs. hur kontrollvillkor och behandling manipulerats i försöket (på engelska “manipulation check”). Helst ska detta inte inträffa alls, men om ett fåtal deltagare förstått manipulationen, kan dessa markeras och senare exkluderas från dataanalysen. Därefter är det vanligt att deltagaren får någon form av ersättning som tack för sin insats, t.ex. biobiljett, presentkort eller dylikt (dock inte pengar eftersom detta kan räknas som lön), samt undertecknar att den mottagit ersättningen.</w:t>
      </w:r>
    </w:p>
    <w:p>
      <w:pPr>
        <w:pStyle w:val="Rubrik3"/>
      </w:pPr>
      <w:bookmarkStart w:id="91" w:name="planering-av-procedur"/>
      <w:r>
        <w:t xml:space="preserve">7.6.8 Planering av procedur</w:t>
      </w:r>
      <w:bookmarkEnd w:id="91"/>
    </w:p>
    <w:p>
      <w:pPr>
        <w:pStyle w:val="FirstParagraph"/>
      </w:pPr>
      <w:r>
        <w:t xml:space="preserve">Om det är första gången du genomför ett experiment så gör du antagligen klokt i att .. anonyma deltagarnummer är viktigt. förstör eller förvara kodnyckel i säkerhetsskåp.</w:t>
      </w:r>
    </w:p>
    <w:p>
      <w:pPr>
        <w:pStyle w:val="Brdtext"/>
      </w:pPr>
      <w:r>
        <w:t xml:space="preserve">I samband med informerat samtycke är det viktigt att tänka på att informera om vilka data som samlas in (beroende variabler), men</w:t>
      </w:r>
      <w:r>
        <w:t xml:space="preserve"> </w:t>
      </w:r>
      <w:r>
        <w:rPr>
          <w:i/>
        </w:rPr>
        <w:t xml:space="preserve">inte</w:t>
      </w:r>
      <w:r>
        <w:t xml:space="preserve"> </w:t>
      </w:r>
      <w:r>
        <w:t xml:space="preserve">vilka manipulationer som gjorts (oberoende variabler). Vi vill ju att deltagaren är så naiv eller omedveten som möjligt om experimentets villkor, eftersom vi annars riskerar att fånga ett onaturligt eller icke-representativt beteende. Hur lång tid kan man låta ett experiment ta.</w:t>
      </w:r>
    </w:p>
    <w:p>
      <w:pPr>
        <w:pStyle w:val="Rubrik3"/>
      </w:pPr>
      <w:bookmarkStart w:id="92" w:name="rapportering-av-procedur"/>
      <w:r>
        <w:t xml:space="preserve">7.6.9 Rapportering av procedur</w:t>
      </w:r>
      <w:bookmarkEnd w:id="92"/>
    </w:p>
    <w:p>
      <w:pPr>
        <w:pStyle w:val="FirstParagraph"/>
      </w:pPr>
      <w:r>
        <w:t xml:space="preserve">Rapportering - exempel på hur detta skulle kunna formuleras i ett manuskript.</w:t>
      </w:r>
    </w:p>
    <w:p>
      <w:pPr>
        <w:pStyle w:val="Rubrik2"/>
      </w:pPr>
      <w:bookmarkStart w:id="93" w:name="dataanalys"/>
      <w:r>
        <w:t xml:space="preserve">7.7 Dataanalys</w:t>
      </w:r>
      <w:bookmarkEnd w:id="93"/>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4" w:name="fysiologiska-mätdata"/>
      <w:r>
        <w:t xml:space="preserve">7.7.1 Fysiologiska mätdata</w:t>
      </w:r>
      <w:bookmarkEnd w:id="94"/>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5" w:name="självrapporterade-mätdata"/>
      <w:r>
        <w:t xml:space="preserve">7.7.2 Självrapporterade mätdata</w:t>
      </w:r>
      <w:bookmarkEnd w:id="95"/>
    </w:p>
    <w:p>
      <w:pPr>
        <w:pStyle w:val="FirstParagraph"/>
      </w:pPr>
      <w:r>
        <w:t xml:space="preserve">Den andra viktiga beroende variabeln i experimentet var förtroende, tillit..</w:t>
      </w:r>
    </w:p>
    <w:p>
      <w:pPr>
        <w:pStyle w:val="Rubrik3"/>
      </w:pPr>
      <w:bookmarkStart w:id="96" w:name="planering-av-dataanalys"/>
      <w:r>
        <w:t xml:space="preserve">7.7.3 Planering av dataanalys</w:t>
      </w:r>
      <w:bookmarkEnd w:id="96"/>
    </w:p>
    <w:p>
      <w:pPr>
        <w:pStyle w:val="FirstParagraph"/>
      </w:pPr>
      <w:r>
        <w:t xml:space="preserve">Hur lång tid kan man låta ett experiment ta.</w:t>
      </w:r>
    </w:p>
    <w:p>
      <w:pPr>
        <w:pStyle w:val="Rubrik3"/>
      </w:pPr>
      <w:bookmarkStart w:id="97" w:name="rapportering-av-dataanalys"/>
      <w:r>
        <w:t xml:space="preserve">7.7.4 Rapportering av dataanalys</w:t>
      </w:r>
      <w:bookmarkEnd w:id="97"/>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8" w:name="efterarbete"/>
      <w:r>
        <w:t xml:space="preserve">8 Efterarbete</w:t>
      </w:r>
      <w:bookmarkEnd w:id="98"/>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9" w:name="resultat"/>
      <w:r>
        <w:t xml:space="preserve">8.1 Resultat</w:t>
      </w:r>
      <w:bookmarkEnd w:id="99"/>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100" w:name="beskrivande-resultat"/>
      <w:r>
        <w:t xml:space="preserve">8.1.1 Beskrivande resultat</w:t>
      </w:r>
      <w:bookmarkEnd w:id="100"/>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1"/>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2" w:name="inferentiella-resultat"/>
      <w:r>
        <w:t xml:space="preserve">8.1.2 Inferentiella resultat</w:t>
      </w:r>
      <w:bookmarkEnd w:id="102"/>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3"/>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6"/>
        </w:numPr>
      </w:pPr>
      <w:r>
        <w:t xml:space="preserve">H1: Facebook-poster med bild på en auktoritetsperson kommer att orsaka mer visuell uppmärksamhet på posten jämfört med bilder som innehåller en neutral person.</w:t>
      </w:r>
    </w:p>
    <w:p>
      <w:pPr>
        <w:numPr>
          <w:ilvl w:val="0"/>
          <w:numId w:val="1006"/>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4" w:name="rapportering-av-resultat"/>
      <w:r>
        <w:t xml:space="preserve">8.1.3 Rapportering av resultat</w:t>
      </w:r>
      <w:bookmarkEnd w:id="104"/>
    </w:p>
    <w:p>
      <w:pPr>
        <w:pStyle w:val="FirstParagraph"/>
      </w:pPr>
      <w:r>
        <w:t xml:space="preserve">Använd gärna detta mönster “Effects of sentiment measures on user engagement” vid presentation av resultat från regressionsanalys, dvs. “effekten av prediktor XYZ på utfallsvariabel ABC” (</w:t>
      </w:r>
      <w:hyperlink r:id="rId105">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6" w:name="diskussion"/>
      <w:r>
        <w:t xml:space="preserve">8.2 Diskussion</w:t>
      </w:r>
      <w:bookmarkEnd w:id="106"/>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7" w:name="förväntade-och-faktiska-resultat"/>
      <w:r>
        <w:t xml:space="preserve">8.2.1 Förväntade och faktiska resultat</w:t>
      </w:r>
      <w:bookmarkEnd w:id="107"/>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8"/>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09" w:name="alternativa-förklaringar-till-resultat"/>
      <w:r>
        <w:t xml:space="preserve">8.2.2 Alternativa förklaringar till resultat</w:t>
      </w:r>
      <w:bookmarkEnd w:id="109"/>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10" w:name="kontextualisering-och-framtida-forskning"/>
      <w:r>
        <w:t xml:space="preserve">8.2.3 Kontextualisering och framtida forskning</w:t>
      </w:r>
      <w:bookmarkEnd w:id="110"/>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7"/>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1" w:name="publicering"/>
      <w:r>
        <w:t xml:space="preserve">8.3 Publicering</w:t>
      </w:r>
      <w:bookmarkEnd w:id="111"/>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2" w:name="öppen-vetenskap"/>
      <w:r>
        <w:t xml:space="preserve">8.3.1 Öppen vetenskap</w:t>
      </w:r>
      <w:bookmarkEnd w:id="112"/>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3" w:name="vetenskapliga-tidskrifter"/>
      <w:r>
        <w:t xml:space="preserve">8.3.2 Vetenskapliga tidskrifter</w:t>
      </w:r>
      <w:bookmarkEnd w:id="113"/>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4">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5" w:name="sakkunniggranskning"/>
      <w:r>
        <w:t xml:space="preserve">8.3.3 Sakkunniggranskning</w:t>
      </w:r>
      <w:bookmarkEnd w:id="115"/>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6" w:name="planering-av-publicering"/>
      <w:r>
        <w:t xml:space="preserve">8.3.4 Planering av publicering</w:t>
      </w:r>
      <w:bookmarkEnd w:id="116"/>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7" w:name="del-3"/>
      <w:r>
        <w:t xml:space="preserve">Del 3</w:t>
      </w:r>
      <w:bookmarkEnd w:id="117"/>
    </w:p>
    <w:p>
      <w:pPr>
        <w:pStyle w:val="FirstParagraph"/>
      </w:pPr>
      <w:r>
        <w:t xml:space="preserve">I denna del av boken följer vi utvecklingen och genomförandet av ett samhällsvetenskapligt experiment.</w:t>
      </w:r>
    </w:p>
    <w:p>
      <w:pPr>
        <w:pStyle w:val="Rubrik1"/>
      </w:pPr>
      <w:bookmarkStart w:id="118" w:name="kapitel"/>
      <w:r>
        <w:t xml:space="preserve">9 Kapitel</w:t>
      </w:r>
      <w:bookmarkEnd w:id="118"/>
    </w:p>
    <w:p>
      <w:pPr>
        <w:pStyle w:val="FirstParagraph"/>
      </w:pPr>
      <w:r>
        <w:t xml:space="preserve">some line</w:t>
      </w:r>
    </w:p>
    <w:p>
      <w:pPr>
        <w:pStyle w:val="Rubrik1"/>
      </w:pPr>
      <w:bookmarkStart w:id="119" w:name="references"/>
      <w:r>
        <w:t xml:space="preserve">References</w:t>
      </w:r>
      <w:bookmarkEnd w:id="119"/>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20">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8" Target="media/rId108.png" /><Relationship Type="http://schemas.openxmlformats.org/officeDocument/2006/relationships/image" Id="rId103" Target="media/rId103.png" /><Relationship Type="http://schemas.openxmlformats.org/officeDocument/2006/relationships/image" Id="rId101" Target="media/rId101.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5" Target="https://github.com/nils-holmberg/scom-org/blob/main/src/emo-readme.md" TargetMode="External" /><Relationship Type="http://schemas.openxmlformats.org/officeDocument/2006/relationships/hyperlink" Id="rId120" Target="https://opentextbc.ca/researchmethods/" TargetMode="External" /><Relationship Type="http://schemas.openxmlformats.org/officeDocument/2006/relationships/hyperlink" Id="rId56" Target="https://sv.wikipedia.org/wiki/M%C3%A4tskala" TargetMode="External" /><Relationship Type="http://schemas.openxmlformats.org/officeDocument/2006/relationships/hyperlink" Id="rId114" Target="https://www.lu.se/artikel/se-upp-rovdjuren" TargetMode="External" /><Relationship Type="http://schemas.openxmlformats.org/officeDocument/2006/relationships/hyperlink" Id="rId78"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5" Target="https://github.com/nils-holmberg/scom-org/blob/main/src/emo-readme.md" TargetMode="External" /><Relationship Type="http://schemas.openxmlformats.org/officeDocument/2006/relationships/hyperlink" Id="rId120" Target="https://opentextbc.ca/researchmethods/" TargetMode="External" /><Relationship Type="http://schemas.openxmlformats.org/officeDocument/2006/relationships/hyperlink" Id="rId56" Target="https://sv.wikipedia.org/wiki/M%C3%A4tskala" TargetMode="External" /><Relationship Type="http://schemas.openxmlformats.org/officeDocument/2006/relationships/hyperlink" Id="rId114" Target="https://www.lu.se/artikel/se-upp-rovdjuren" TargetMode="External" /><Relationship Type="http://schemas.openxmlformats.org/officeDocument/2006/relationships/hyperlink" Id="rId78"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2021-12-16T20:01:31Z</dcterms:created>
  <dcterms:modified xsi:type="dcterms:W3CDTF">2021-12-16T20:01:31Z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2021-12-16</vt:lpwstr>
  </property>
  <property fmtid="{D5CDD505-2E9C-101B-9397-08002B2CF9AE}" pid="3" name="generator">
    <vt:lpwstr>pandoc</vt:lpwstr>
  </property>
  <property fmtid="{D5CDD505-2E9C-101B-9397-08002B2CF9AE}" pid="4" name="viewport">
    <vt:lpwstr>width=device-width, initial-scale=1.0, user-scalable=yes</vt:lpwstr>
  </property>
</Properties>
</file>