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80.png" ContentType="image/png;base64"/>
  <Override PartName="/word/media/rId128.png" ContentType="image/png;base64"/>
  <Override PartName="/word/media/rId172.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2021-12-02</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2021-12-02</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6"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3" w:name="sub07.1.1"/>
    <w:p>
      <w:pPr>
        <w:pStyle w:val="Heading3"/>
      </w:pPr>
      <w:bookmarkStart w:id="59" w:name="power-analys-1"/>
      <w:r>
        <w:t xml:space="preserve">7.1.1 Power-analys</w:t>
      </w:r>
      <w:bookmarkEnd w:id="59"/>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numPr>
          <w:ilvl w:val="0"/>
          <w:numId w:val="1004"/>
        </w:numPr>
        <w:pStyle w:val="Compact"/>
      </w:pPr>
      <w:hyperlink r:id="rId60">
        <w:r>
          <w:rPr>
            <w:rStyle w:val="Hyperlink"/>
          </w:rPr>
          <w:t xml:space="preserve">http://shinyapps.org/apps/PPV/</w:t>
        </w:r>
      </w:hyperlink>
    </w:p>
    <w:p>
      <w:pPr>
        <w:numPr>
          <w:ilvl w:val="0"/>
          <w:numId w:val="1004"/>
        </w:numPr>
        <w:pStyle w:val="Compact"/>
      </w:pPr>
      <w:hyperlink r:id="rId61">
        <w:r>
          <w:rPr>
            <w:rStyle w:val="Hyperlink"/>
          </w:rPr>
          <w:t xml:space="preserve">https://gallery.shinyapps.io/CLT_mean/</w:t>
        </w:r>
      </w:hyperlink>
    </w:p>
    <w:p>
      <w:pPr>
        <w:numPr>
          <w:ilvl w:val="0"/>
          <w:numId w:val="1004"/>
        </w:numPr>
        <w:pStyle w:val="Compact"/>
      </w:pPr>
      <w:hyperlink r:id="rId62">
        <w:r>
          <w:rPr>
            <w:rStyle w:val="Hyperli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odyText"/>
      </w:pPr>
      <w:r>
        <w:t xml:space="preserve">Innan man genomför ett skarpt experiment är det således viktigt att vi gör en power-analys, eftersom detta hjälper oss att undvika typ II-fel när vi analyserar resultaten</w:t>
      </w:r>
      <w:r>
        <w:t xml:space="preserve"> </w:t>
      </w:r>
      <w:r>
        <w:t xml:space="preserve">(Cohen</w:t>
      </w:r>
      <w:r>
        <w:t xml:space="preserve"> </w:t>
      </w:r>
      <w:hyperlink w:anchor="ref-cohen1992power">
        <w:r>
          <w:rPr>
            <w:rStyle w:val="Hyperlink"/>
          </w:rPr>
          <w:t xml:space="preserve">1992</w:t>
        </w:r>
      </w:hyperlink>
      <w:r>
        <w:t xml:space="preserve">)</w:t>
      </w:r>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right"/>
            </w:pPr>
            <w:r>
              <w:t xml:space="preserve">Deltagare.t.test</w:t>
            </w:r>
          </w:p>
        </w:tc>
        <w:tc>
          <w:tcPr>
            <w:tcBorders>
              <w:bottom w:val="single"/>
            </w:tcBorders>
            <w:vAlign w:val="bottom"/>
          </w:tcPr>
          <w:p>
            <w:pPr>
              <w:pStyle w:val="Compact"/>
              <w:jc w:val="right"/>
            </w:pPr>
            <w:r>
              <w:t xml:space="preserve">Deltagare.Pearsons.r</w:t>
            </w:r>
          </w:p>
        </w:tc>
      </w:tr>
      <w:tr>
        <w:tc>
          <w:p>
            <w:pPr>
              <w:pStyle w:val="Compact"/>
              <w:jc w:val="left"/>
            </w:pPr>
            <w:r>
              <w:t xml:space="preserve">Starkt (d=0.8, r=0.5)</w:t>
            </w:r>
          </w:p>
        </w:tc>
        <w:tc>
          <w:p>
            <w:pPr>
              <w:pStyle w:val="Compact"/>
              <w:jc w:val="right"/>
            </w:pPr>
            <w:r>
              <w:t xml:space="preserve">52</w:t>
            </w:r>
          </w:p>
        </w:tc>
        <w:tc>
          <w:p>
            <w:pPr>
              <w:pStyle w:val="Compact"/>
              <w:jc w:val="right"/>
            </w:pPr>
            <w:r>
              <w:t xml:space="preserve">28</w:t>
            </w:r>
          </w:p>
        </w:tc>
      </w:tr>
      <w:tr>
        <w:tc>
          <w:p>
            <w:pPr>
              <w:pStyle w:val="Compact"/>
              <w:jc w:val="left"/>
            </w:pPr>
            <w:r>
              <w:t xml:space="preserve">Medel (d=0.5, r=0.3)</w:t>
            </w:r>
          </w:p>
        </w:tc>
        <w:tc>
          <w:p>
            <w:pPr>
              <w:pStyle w:val="Compact"/>
              <w:jc w:val="right"/>
            </w:pPr>
            <w:r>
              <w:t xml:space="preserve">128</w:t>
            </w:r>
          </w:p>
        </w:tc>
        <w:tc>
          <w:p>
            <w:pPr>
              <w:pStyle w:val="Compact"/>
              <w:jc w:val="right"/>
            </w:pPr>
            <w:r>
              <w:t xml:space="preserve">84</w:t>
            </w:r>
          </w:p>
        </w:tc>
      </w:tr>
      <w:tr>
        <w:tc>
          <w:p>
            <w:pPr>
              <w:pStyle w:val="Compact"/>
              <w:jc w:val="left"/>
            </w:pPr>
            <w:r>
              <w:t xml:space="preserve">Svagt (d=0.2, r=0.1)</w:t>
            </w:r>
          </w:p>
        </w:tc>
        <w:tc>
          <w:p>
            <w:pPr>
              <w:pStyle w:val="Compact"/>
              <w:jc w:val="right"/>
            </w:pPr>
            <w:r>
              <w:t xml:space="preserve">788</w:t>
            </w:r>
          </w:p>
        </w:tc>
        <w:tc>
          <w:p>
            <w:pPr>
              <w:pStyle w:val="Compact"/>
              <w:jc w:val="right"/>
            </w:pPr>
            <w:r>
              <w:t xml:space="preserve">782</w:t>
            </w:r>
          </w:p>
        </w:tc>
      </w:tr>
    </w:tbl>
    <w:p>
      <w:pPr>
        <w:pStyle w:val="Body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ody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w:t>
      </w:r>
      <w:r>
        <w:t xml:space="preserve"> </w:t>
      </w:r>
      <w:r>
        <w:t xml:space="preserve">(Faul et al.</w:t>
      </w:r>
      <w:r>
        <w:t xml:space="preserve"> </w:t>
      </w:r>
      <w:hyperlink w:anchor="ref-faul2007g">
        <w:r>
          <w:rPr>
            <w:rStyle w:val="Hyperlink"/>
          </w:rPr>
          <w:t xml:space="preserve">2007</w:t>
        </w:r>
      </w:hyperlink>
      <w:r>
        <w:t xml:space="preserve">,</w:t>
      </w:r>
      <w:r>
        <w:t xml:space="preserve"> </w:t>
      </w:r>
      <w:hyperlink w:anchor="ref-faul2009statistical">
        <w:r>
          <w:rPr>
            <w:rStyle w:val="Hyperlink"/>
          </w:rPr>
          <w:t xml:space="preserve">2009</w:t>
        </w:r>
      </w:hyperlink>
      <w:r>
        <w:t xml:space="preserve">)</w:t>
      </w:r>
      <w:r>
        <w:t xml:space="preserve">.</w:t>
      </w:r>
    </w:p>
    <w:bookmarkEnd w:id="63"/>
    <w:bookmarkStart w:id="65" w:name="sub07.1.2"/>
    <w:p>
      <w:pPr>
        <w:pStyle w:val="Heading3"/>
      </w:pPr>
      <w:bookmarkStart w:id="64" w:name="pilottest"/>
      <w:r>
        <w:t xml:space="preserve">7.1.2 Pilottest</w:t>
      </w:r>
      <w:bookmarkEnd w:id="64"/>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5"/>
    <w:bookmarkEnd w:id="66"/>
    <w:bookmarkStart w:id="80" w:name="sec07.2"/>
    <w:p>
      <w:pPr>
        <w:pStyle w:val="Heading2"/>
      </w:pPr>
      <w:bookmarkStart w:id="67" w:name="försöksdeltagare"/>
      <w:r>
        <w:t xml:space="preserve">7.2 Försöksdeltagare</w:t>
      </w:r>
      <w:bookmarkEnd w:id="6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69" w:name="sub07.2.1"/>
    <w:p>
      <w:pPr>
        <w:pStyle w:val="Heading3"/>
      </w:pPr>
      <w:bookmarkStart w:id="68" w:name="representativt-urval"/>
      <w:r>
        <w:t xml:space="preserve">7.2.1 Representativt urval</w:t>
      </w:r>
      <w:bookmarkEnd w:id="6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9"/>
    <w:bookmarkStart w:id="71" w:name="sub07.2.2"/>
    <w:p>
      <w:pPr>
        <w:pStyle w:val="Heading3"/>
      </w:pPr>
      <w:bookmarkStart w:id="70" w:name="demografiska-egenskaper"/>
      <w:r>
        <w:t xml:space="preserve">7.2.2 Demografiska egenskaper</w:t>
      </w:r>
      <w:bookmarkEnd w:id="70"/>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71"/>
    <w:bookmarkStart w:id="73" w:name="sub07.2.3"/>
    <w:p>
      <w:pPr>
        <w:pStyle w:val="Heading3"/>
      </w:pPr>
      <w:bookmarkStart w:id="72" w:name="individuella-egenskaper"/>
      <w:r>
        <w:t xml:space="preserve">7.2.3 Individuella egenskaper</w:t>
      </w:r>
      <w:bookmarkEnd w:id="72"/>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bookmarkEnd w:id="73"/>
    <w:bookmarkStart w:id="75" w:name="sub07.2.4"/>
    <w:p>
      <w:pPr>
        <w:pStyle w:val="Heading3"/>
      </w:pPr>
      <w:bookmarkStart w:id="74" w:name="etiska-hänsynstaganden"/>
      <w:r>
        <w:t xml:space="preserve">7.2.4 Etiska hänsynstaganden</w:t>
      </w:r>
      <w:bookmarkEnd w:id="74"/>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uppmäter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w:t>
      </w:r>
      <w:r>
        <w:t xml:space="preserve"> </w:t>
      </w:r>
      <w:r>
        <w:t xml:space="preserve">(Fisher</w:t>
      </w:r>
      <w:r>
        <w:t xml:space="preserve"> </w:t>
      </w:r>
      <w:hyperlink w:anchor="ref-fisher1936design">
        <w:r>
          <w:rPr>
            <w:rStyle w:val="Hyperlink"/>
          </w:rPr>
          <w:t xml:space="preserve">1936</w:t>
        </w:r>
      </w:hyperlink>
      <w:r>
        <w:t xml:space="preserve">)</w:t>
      </w:r>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8"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7"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observationer</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8"/>
        </w:numPr>
      </w:pPr>
      <w:r>
        <w:t xml:space="preserve">H1: Facebook-poster med bild på en auktoritetsperson kommer att orsaka mer visuell uppmärksamhet på posten jämfört med bilder som innehåller en neutral person.</w:t>
      </w:r>
    </w:p>
    <w:p>
      <w:pPr>
        <w:numPr>
          <w:ilvl w:val="0"/>
          <w:numId w:val="1008"/>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kontroll</w:t>
            </w:r>
          </w:p>
        </w:tc>
        <w:tc>
          <w:tcPr>
            <w:tcBorders>
              <w:bottom w:val="single"/>
            </w:tcBorders>
            <w:vAlign w:val="bottom"/>
          </w:tcPr>
          <w:p>
            <w:pPr>
              <w:pStyle w:val="Compact"/>
              <w:jc w:val="right"/>
            </w:pPr>
            <w:r>
              <w:t xml:space="preserve">behandling</w:t>
            </w:r>
          </w:p>
        </w:tc>
        <w:tc>
          <w:tcPr>
            <w:tcBorders>
              <w:bottom w:val="single"/>
            </w:tcBorders>
            <w:vAlign w:val="bottom"/>
          </w:tcPr>
          <w:p>
            <w:pPr>
              <w:pStyle w:val="Compact"/>
              <w:jc w:val="right"/>
            </w:pPr>
            <w:r>
              <w:t xml:space="preserve">t.värde</w:t>
            </w:r>
          </w:p>
        </w:tc>
        <w:tc>
          <w:tcPr>
            <w:tcBorders>
              <w:bottom w:val="single"/>
            </w:tcBorders>
            <w:vAlign w:val="bottom"/>
          </w:tcPr>
          <w:p>
            <w:pPr>
              <w:pStyle w:val="Compact"/>
              <w:jc w:val="right"/>
            </w:pPr>
            <w:r>
              <w:t xml:space="preserve">p.värde</w:t>
            </w:r>
          </w:p>
        </w:tc>
        <w:tc>
          <w:tcPr>
            <w:tcBorders>
              <w:bottom w:val="single"/>
            </w:tcBorders>
            <w:vAlign w:val="bottom"/>
          </w:tcPr>
          <w:p>
            <w:pPr>
              <w:pStyle w:val="Compact"/>
              <w:jc w:val="right"/>
            </w:pPr>
            <w:r>
              <w:t xml:space="preserve">frihetsgrader</w:t>
            </w:r>
          </w:p>
        </w:tc>
        <w:tc>
          <w:tcPr>
            <w:tcBorders>
              <w:bottom w:val="single"/>
            </w:tcBorders>
            <w:vAlign w:val="bottom"/>
          </w:tcPr>
          <w:p>
            <w:pPr>
              <w:pStyle w:val="Compact"/>
              <w:jc w:val="right"/>
            </w:pPr>
            <w:r>
              <w:t xml:space="preserve">effektstorlek</w:t>
            </w:r>
          </w:p>
        </w:tc>
      </w:tr>
      <w:tr>
        <w:tc>
          <w:p>
            <w:pPr>
              <w:pStyle w:val="Compact"/>
              <w:jc w:val="right"/>
            </w:pPr>
            <w:r>
              <w:t xml:space="preserve">10</w:t>
            </w:r>
          </w:p>
        </w:tc>
        <w:tc>
          <w:p>
            <w:pPr>
              <w:pStyle w:val="Compact"/>
              <w:jc w:val="right"/>
            </w:pPr>
            <w:r>
              <w:t xml:space="preserve">11</w:t>
            </w:r>
          </w:p>
        </w:tc>
        <w:tc>
          <w:p>
            <w:pPr>
              <w:pStyle w:val="Compact"/>
              <w:jc w:val="right"/>
            </w:pPr>
            <w:r>
              <w:t xml:space="preserve">2.702</w:t>
            </w:r>
          </w:p>
        </w:tc>
        <w:tc>
          <w:p>
            <w:pPr>
              <w:pStyle w:val="Compact"/>
              <w:jc w:val="right"/>
            </w:pPr>
            <w:r>
              <w:t xml:space="preserve">0.007</w:t>
            </w:r>
          </w:p>
        </w:tc>
        <w:tc>
          <w:p>
            <w:pPr>
              <w:pStyle w:val="Compact"/>
              <w:jc w:val="right"/>
            </w:pPr>
            <w:r>
              <w:t xml:space="preserve">198</w:t>
            </w:r>
          </w:p>
        </w:tc>
        <w:tc>
          <w:p>
            <w:pPr>
              <w:pStyle w:val="Compact"/>
              <w:jc w:val="right"/>
            </w:pPr>
            <w:r>
              <w:t xml:space="preserve">0.382</w:t>
            </w:r>
          </w:p>
        </w:tc>
      </w:tr>
    </w:tbl>
    <w:p>
      <w:pPr>
        <w:pStyle w:val="Body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w:t>
      </w:r>
      <w:r>
        <w:t xml:space="preserve"> </w:t>
      </w:r>
      <w:r>
        <w:t xml:space="preserve">(Trafimow and Marks</w:t>
      </w:r>
      <w:r>
        <w:t xml:space="preserve"> </w:t>
      </w:r>
      <w:hyperlink w:anchor="ref-trafimow2015editorial">
        <w:r>
          <w:rPr>
            <w:rStyle w:val="Hyperlink"/>
          </w:rPr>
          <w:t xml:space="preserve">2015</w:t>
        </w:r>
      </w:hyperlink>
      <w:r>
        <w:t xml:space="preserve">)</w:t>
      </w:r>
      <w:r>
        <w:t xml:space="preserve">.</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bookmarkEnd w:id="173"/>
    <w:bookmarkStart w:id="176" w:name="sub08.1.3"/>
    <w:p>
      <w:pPr>
        <w:pStyle w:val="Heading3"/>
      </w:pPr>
      <w:bookmarkStart w:id="174" w:name="rapportering-av-resultat"/>
      <w:r>
        <w:t xml:space="preserve">8.1.3 Rapportering av resultat</w:t>
      </w:r>
      <w:bookmarkEnd w:id="174"/>
    </w:p>
    <w:p>
      <w:pPr>
        <w:pStyle w:val="FirstParagraph"/>
      </w:pPr>
      <w:r>
        <w:t xml:space="preserve">Använd gärna detta mönster “Effects of sentiment measures on user engagement” vid presentation av resultat från regressionsanalys, dvs. “effekten av prediktor XYZ på utfallsvariabel ABC” (</w:t>
      </w:r>
      <w:hyperlink r:id="rId175">
        <w:r>
          <w:rPr>
            <w:rStyle w:val="Hyperli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6"/>
    <w:bookmarkEnd w:id="177"/>
    <w:bookmarkStart w:id="186" w:name="sec08.2"/>
    <w:p>
      <w:pPr>
        <w:pStyle w:val="Heading2"/>
      </w:pPr>
      <w:bookmarkStart w:id="178" w:name="diskussion"/>
      <w:r>
        <w:t xml:space="preserve">8.2 Diskussion</w:t>
      </w:r>
      <w:bookmarkEnd w:id="178"/>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ody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bookmarkStart w:id="181" w:name="sub08.2.1"/>
    <w:p>
      <w:pPr>
        <w:pStyle w:val="Heading3"/>
      </w:pPr>
      <w:bookmarkStart w:id="179" w:name="förväntade-och-faktiska-resultat"/>
      <w:r>
        <w:t xml:space="preserve">8.2.1 Förväntade och faktiska resultat</w:t>
      </w:r>
      <w:bookmarkEnd w:id="179"/>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odyText"/>
      </w:pPr>
      <w:r>
        <w:t xml:space="preserve">Även om experimentet uppvisar ett starkt signifikant resultat, kan effektstorleken vara ganska liten (avsnitt</w:t>
      </w:r>
      <w:r>
        <w:t xml:space="preserve"> </w:t>
      </w:r>
      <w:hyperlink w:anchor="sub07.1.1">
        <w:r>
          <w:rPr>
            <w:rStyle w:val="Hyperli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odyText"/>
      </w:pPr>
      <w:r>
        <w:drawing>
          <wp:inline>
            <wp:extent cx="5334000" cy="2750634"/>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80"/>
                    <a:stretch>
                      <a:fillRect/>
                    </a:stretch>
                  </pic:blipFill>
                  <pic:spPr bwMode="auto">
                    <a:xfrm>
                      <a:off x="0" y="0"/>
                      <a:ext cx="5334000" cy="2750634"/>
                    </a:xfrm>
                    <a:prstGeom prst="rect">
                      <a:avLst/>
                    </a:prstGeom>
                    <a:noFill/>
                    <a:ln w="9525">
                      <a:noFill/>
                      <a:headEnd/>
                      <a:tailEnd/>
                    </a:ln>
                  </pic:spPr>
                </pic:pic>
              </a:graphicData>
            </a:graphic>
          </wp:inline>
        </w:drawing>
      </w:r>
    </w:p>
    <w:p>
      <w:pPr>
        <w:pStyle w:val="BodyText"/>
      </w:pPr>
      <w:r>
        <w:t xml:space="preserve">Typ I- och II-fel.</w:t>
      </w:r>
    </w:p>
    <w:p>
      <w:pPr>
        <w:pStyle w:val="Body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ody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bookmarkEnd w:id="181"/>
    <w:bookmarkStart w:id="183" w:name="sub08.2.2"/>
    <w:p>
      <w:pPr>
        <w:pStyle w:val="Heading3"/>
      </w:pPr>
      <w:bookmarkStart w:id="182" w:name="alternativa-förklaringar-till-resultat"/>
      <w:r>
        <w:t xml:space="preserve">8.2.2 Alternativa förklaringar till resultat</w:t>
      </w:r>
      <w:bookmarkEnd w:id="182"/>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ody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bookmarkEnd w:id="183"/>
    <w:bookmarkStart w:id="185" w:name="sub08.2.3"/>
    <w:p>
      <w:pPr>
        <w:pStyle w:val="Heading3"/>
      </w:pPr>
      <w:bookmarkStart w:id="184" w:name="kontextualisering-och-framtida-forskning"/>
      <w:r>
        <w:t xml:space="preserve">8.2.3 Kontextualisering och framtida forskning</w:t>
      </w:r>
      <w:bookmarkEnd w:id="184"/>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ody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9"/>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bookmarkEnd w:id="185"/>
    <w:bookmarkEnd w:id="186"/>
    <w:bookmarkStart w:id="197" w:name="sec08.3"/>
    <w:p>
      <w:pPr>
        <w:pStyle w:val="Heading2"/>
      </w:pPr>
      <w:bookmarkStart w:id="187" w:name="publicering"/>
      <w:r>
        <w:t xml:space="preserve">8.3 Publicering</w:t>
      </w:r>
      <w:bookmarkEnd w:id="187"/>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9" w:name="sub08.3.1"/>
    <w:p>
      <w:pPr>
        <w:pStyle w:val="Heading3"/>
      </w:pPr>
      <w:bookmarkStart w:id="188" w:name="öppen-vetenskap"/>
      <w:r>
        <w:t xml:space="preserve">8.3.1 Öppen vetenskap</w:t>
      </w:r>
      <w:bookmarkEnd w:id="188"/>
    </w:p>
    <w:p>
      <w:pPr>
        <w:pStyle w:val="FirstParagraph"/>
      </w:pPr>
      <w:r>
        <w:t xml:space="preserve">Publicering av dataset och metoder. Självpublicering. Open Science Framework. Prata om osf.io osv. Jämföra med open source, öppen källkod, information vill vara fri.</w:t>
      </w:r>
    </w:p>
    <w:bookmarkEnd w:id="189"/>
    <w:bookmarkStart w:id="192" w:name="sub08.3.2"/>
    <w:p>
      <w:pPr>
        <w:pStyle w:val="Heading3"/>
      </w:pPr>
      <w:bookmarkStart w:id="190" w:name="vetenskapliga-tidskrifter"/>
      <w:r>
        <w:t xml:space="preserve">8.3.2 Vetenskapliga tidskrifter</w:t>
      </w:r>
      <w:bookmarkEnd w:id="190"/>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TableCaption"/>
      </w:pPr>
      <w:r>
        <w:t xml:space="preserve">Resultatrapportering av en experimentell studie.</w:t>
      </w:r>
    </w:p>
    <w:tbl>
      <w:tblPr>
        <w:tblStyle w:val="Table"/>
        <w:tblW w:type="pct" w:w="4900.0"/>
        <w:tblLook w:firstRow="1"/>
        <w:tblCaption w:val="Resultatrapportering av en experimentell studie."/>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Nämna nåt om rättigheter, licenser, open access osv? Se upp för “rovdjurstidskrifter” (</w:t>
      </w:r>
      <w:hyperlink r:id="rId191">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2"/>
    <w:bookmarkStart w:id="194" w:name="sub08.3.3"/>
    <w:p>
      <w:pPr>
        <w:pStyle w:val="Heading3"/>
      </w:pPr>
      <w:bookmarkStart w:id="193" w:name="sakkunniggranskning"/>
      <w:r>
        <w:t xml:space="preserve">8.3.3 Sakkunniggranskning</w:t>
      </w:r>
      <w:bookmarkEnd w:id="193"/>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4"/>
    <w:bookmarkStart w:id="196" w:name="sub08.3.4"/>
    <w:p>
      <w:pPr>
        <w:pStyle w:val="Heading3"/>
      </w:pPr>
      <w:bookmarkStart w:id="195" w:name="planering-av-publicering"/>
      <w:r>
        <w:t xml:space="preserve">8.3.4 Planering av publicering</w:t>
      </w:r>
      <w:bookmarkEnd w:id="195"/>
    </w:p>
    <w:p>
      <w:pPr>
        <w:pStyle w:val="FirstParagraph"/>
      </w:pPr>
      <w:r>
        <w:t xml:space="preserve">Eventuellt peka framåt mot något av innehållet i Del 3. Framtiden för experiment. Online survey experiments, big data, naturliga experiment. Salaganic. Netographic observation, web scraping.</w:t>
      </w:r>
    </w:p>
    <w:bookmarkEnd w:id="196"/>
    <w:bookmarkEnd w:id="197"/>
    <w:bookmarkEnd w:id="198"/>
    <w:bookmarkStart w:id="200" w:name="del-3"/>
    <w:p>
      <w:pPr>
        <w:pStyle w:val="Heading1"/>
      </w:pPr>
      <w:bookmarkStart w:id="199" w:name="del-3"/>
      <w:r>
        <w:t xml:space="preserve">Del 3</w:t>
      </w:r>
      <w:bookmarkEnd w:id="199"/>
    </w:p>
    <w:p>
      <w:pPr>
        <w:pStyle w:val="FirstParagraph"/>
      </w:pPr>
      <w:r>
        <w:t xml:space="preserve">I denna del av boken följer vi utvecklingen och genomförandet av ett samhällsvetenskapligt experiment.</w:t>
      </w:r>
    </w:p>
    <w:bookmarkEnd w:id="200"/>
    <w:bookmarkStart w:id="202" w:name="chap09"/>
    <w:p>
      <w:pPr>
        <w:pStyle w:val="Heading1"/>
      </w:pPr>
      <w:bookmarkStart w:id="201" w:name="kapitel"/>
      <w:r>
        <w:t xml:space="preserve">9 Kapitel</w:t>
      </w:r>
      <w:bookmarkEnd w:id="201"/>
    </w:p>
    <w:p>
      <w:pPr>
        <w:pStyle w:val="FirstParagraph"/>
      </w:pPr>
      <w:r>
        <w:t xml:space="preserve">some line</w:t>
      </w:r>
    </w:p>
    <w:bookmarkEnd w:id="202"/>
    <w:bookmarkStart w:id="218" w:name="references"/>
    <w:p>
      <w:pPr>
        <w:pStyle w:val="Heading1"/>
      </w:pPr>
      <w:bookmarkStart w:id="203" w:name="references"/>
      <w:r>
        <w:t xml:space="preserve">References</w:t>
      </w:r>
      <w:bookmarkEnd w:id="203"/>
    </w:p>
    <w:bookmarkStart w:id="217" w:name="refs"/>
    <w:bookmarkStart w:id="204" w:name="ref-cohen1992power"/>
    <w:p>
      <w:pPr>
        <w:pStyle w:val="Bibliography"/>
      </w:pPr>
      <w:r>
        <w:t xml:space="preserve">Cohen, Jacob. 1992. “A Power Primer.”</w:t>
      </w:r>
      <w:r>
        <w:t xml:space="preserve"> </w:t>
      </w:r>
      <w:r>
        <w:rPr>
          <w:i/>
        </w:rPr>
        <w:t xml:space="preserve">Psychological Bulletin</w:t>
      </w:r>
      <w:r>
        <w:t xml:space="preserve"> </w:t>
      </w:r>
      <w:r>
        <w:t xml:space="preserve">112 (1): 155.</w:t>
      </w:r>
    </w:p>
    <w:bookmarkEnd w:id="204"/>
    <w:bookmarkStart w:id="205"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5"/>
    <w:bookmarkStart w:id="206" w:name="ref-einstein2002induction"/>
    <w:p>
      <w:pPr>
        <w:pStyle w:val="Bibliography"/>
      </w:pPr>
      <w:r>
        <w:t xml:space="preserve">Einstein, Albert. 2002. “Induction and Deduction in Physics. The Collected Papers of Albert Einstein, Vol. 7.” Princeton University Press.</w:t>
      </w:r>
    </w:p>
    <w:bookmarkEnd w:id="206"/>
    <w:bookmarkStart w:id="207"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7"/>
    <w:bookmarkStart w:id="208" w:name="ref-faul2009statistical"/>
    <w:p>
      <w:pPr>
        <w:pStyle w:val="Bibliography"/>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bookmarkEnd w:id="208"/>
    <w:bookmarkStart w:id="209" w:name="ref-faul2007g"/>
    <w:p>
      <w:pPr>
        <w:pStyle w:val="Bibliography"/>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bookmarkEnd w:id="209"/>
    <w:bookmarkStart w:id="210" w:name="ref-fisher1936design"/>
    <w:p>
      <w:pPr>
        <w:pStyle w:val="Bibliography"/>
      </w:pPr>
      <w:r>
        <w:t xml:space="preserve">Fisher, Ronald Aylmer. 1936. “Design of Experiments.”</w:t>
      </w:r>
      <w:r>
        <w:t xml:space="preserve"> </w:t>
      </w:r>
      <w:r>
        <w:rPr>
          <w:i/>
        </w:rPr>
        <w:t xml:space="preserve">Br Med J</w:t>
      </w:r>
      <w:r>
        <w:t xml:space="preserve"> </w:t>
      </w:r>
      <w:r>
        <w:t xml:space="preserve">1 (3923): 554–54.</w:t>
      </w:r>
    </w:p>
    <w:bookmarkEnd w:id="210"/>
    <w:bookmarkStart w:id="211"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11"/>
    <w:bookmarkStart w:id="212"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12"/>
    <w:bookmarkStart w:id="213"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13"/>
    <w:bookmarkStart w:id="214"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14"/>
    <w:bookmarkStart w:id="215" w:name="ref-trafimow2015editorial"/>
    <w:p>
      <w:pPr>
        <w:pStyle w:val="Bibliography"/>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bookmarkEnd w:id="215"/>
    <w:bookmarkStart w:id="216"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6"/>
    <w:bookmarkEnd w:id="217"/>
    <w:bookmarkEnd w:id="2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80" Target="media/rId180.png" /><Relationship Type="http://schemas.openxmlformats.org/officeDocument/2006/relationships/image" Id="rId128" Target="media/rId128.png" /><Relationship Type="http://schemas.openxmlformats.org/officeDocument/2006/relationships/image" Id="rId172" Target="media/rId172.png" /><Relationship Type="http://schemas.openxmlformats.org/officeDocument/2006/relationships/image" Id="rId169" Target="media/rId169.png" /><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60" Target="http://shinyapps.org/apps/PPV/" TargetMode="External" /><Relationship Type="http://schemas.openxmlformats.org/officeDocument/2006/relationships/hyperlink" Id="rId62" Target="http://www.gpower.hhu.de/" TargetMode="External" /><Relationship Type="http://schemas.openxmlformats.org/officeDocument/2006/relationships/hyperlink" Id="rId61"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2021-12-02T09:06:03Z</dcterms:created>
  <dcterms:modified xsi:type="dcterms:W3CDTF">2021-12-02T09:06:03Z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2021-12-02</vt:lpwstr>
  </property>
  <property fmtid="{D5CDD505-2E9C-101B-9397-08002B2CF9AE}" pid="3" name="generator">
    <vt:lpwstr>pandoc</vt:lpwstr>
  </property>
  <property fmtid="{D5CDD505-2E9C-101B-9397-08002B2CF9AE}" pid="4" name="viewport">
    <vt:lpwstr>width=device-width, initial-scale=1</vt:lpwstr>
  </property>
</Properties>
</file>