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det matematiska uttrycket fakultet (på engelska “factorial”)</w:t>
      </w:r>
      <w:r>
        <w:t xml:space="preserve"> </w:t>
      </w:r>
      <w:r>
        <w:rPr>
          <w:i/>
        </w:rPr>
        <w:t xml:space="preserve">6!</w:t>
      </w:r>
      <w:r>
        <w:t xml:space="preserve"> </w:t>
      </w:r>
      <w:r>
        <w:t xml:space="preserve">för att räkna ut att vi kan presentera dessa 6 villkor i hela 720 olika ordningsföljder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ordningsföljder för tre deltagare. Det viktiga är dock att detta designmönster med två oberoende variabler som “korsas” med varandra (på engelska “crossed experimental design”) tillåter att oss att undersöka effekten av alla nivåer på varje enskild faktor testas, liksom effekten av alla kombinationer av faktorer (interaktioner). Kontrollvillkoret utgörs här av</w:t>
      </w:r>
    </w:p>
    <w:p>
      <w:pPr>
        <w:pStyle w:val="Rubrik3"/>
      </w:pPr>
      <w:bookmarkStart w:id="76" w:name="individuella-deltagare"/>
      <w:r>
        <w:t xml:space="preserve">7.5.7 Individuella deltagare</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2021-12-14T08:13:20Z</dcterms:created>
  <dcterms:modified xsi:type="dcterms:W3CDTF">2021-12-14T08:13:20Z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2021-12-14</vt:lpwstr>
  </property>
  <property fmtid="{D5CDD505-2E9C-101B-9397-08002B2CF9AE}" pid="3" name="generator">
    <vt:lpwstr>pandoc</vt:lpwstr>
  </property>
  <property fmtid="{D5CDD505-2E9C-101B-9397-08002B2CF9AE}" pid="4" name="viewport">
    <vt:lpwstr>width=device-width, initial-scale=1.0, user-scalable=yes</vt:lpwstr>
  </property>
</Properties>
</file>