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r>
    </w:tbl>
    <w:p>
      <w:pPr>
        <w:pStyle w:val="BodyText"/>
      </w:pPr>
      <w:r>
        <w:t xml:space="preserve">I detta exempel visade testet ett t-värde på ca 2.7 och p-värdet visade sig vara under gänsen 0.05 som vi tidigare antog. Det positiva t-värde indikerar att riktningen i sambandet överensstämmer med det förväntade, dvs. att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vis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 I detta exempel har vi antagit ett experiment med mellangruppsdesign, med 100 deltagare i varje grupp.</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 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 Diskussionen är slutpläderingen?</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 stödjer hypoteserna eller inte. Till syvende och sist kan inte vetenskapen ge slutgiltiga bevis om sanningen, utan den svarar på hur sannolikt ett visst sakförhållande är, t.ex. effekten av ett experimentellt villkor på någon utfallsvariabel. I resultaten från vårt exempel-experiment kom vi fram till att Facebook-poster med bild på auktoritetsperson medförde en statistiskt signifikant ökning av deltagarnas visuella uppmärksamhet på den tillhörande texten i samma post. Men samtidigt medgav vi att det finns en 5% chans att våra data är ett slumpmässigt extemfall, och att om experimentet upprepades så skulle vi antagligen inte hitta denna effekt. Denna risk att felaktigt finna stöd för .. kallas för typ i fel.</w:t>
      </w:r>
    </w:p>
    <w:p>
      <w:pPr>
        <w:pStyle w:val="BodyText"/>
      </w:pPr>
      <w:r>
        <w:drawing>
          <wp:inline>
            <wp:extent cx="5334000" cy="2750634"/>
            <wp:effectExtent b="0" l="0" r="0" t="0"/>
            <wp:docPr descr="Typ I och typ II 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typ II fel.</w:t>
      </w:r>
    </w:p>
    <w:p>
      <w:pPr>
        <w:pStyle w:val="BodyText"/>
      </w:pPr>
      <w:r>
        <w:t xml:space="preserve">In statistical hypothesis testing a type I error is the rejection of a true null hypothesis (also known as a "false positive" finding or conclusion), while a type II error is the non-rejection of a false null hypothesis (also known as a "false negative" finding or conclusion. Much of statistical theory revolves around the minimization of one or both of these errors, though the complete elimination of either is a statistical impossibility for non-deterministic algorithms.</w:t>
      </w:r>
    </w:p>
    <w:p>
      <w:pPr>
        <w:pStyle w:val="BodyText"/>
      </w:pPr>
      <w:r>
        <w:t xml:space="preserve">Relatera faktiska observationer till ursprungliga förväntade hypoteser.</w:t>
      </w:r>
      <w:r>
        <w:t xml:space="preserve"> </w:t>
      </w:r>
      <w:r>
        <w:rPr>
          <w:b/>
        </w:rPr>
        <w:t xml:space="preserve">Kan resultaten generaliseras? Validitet och reliabilitet</w:t>
      </w:r>
      <w:r>
        <w:t xml:space="preserve"> </w:t>
      </w:r>
      <w:r>
        <w:t xml:space="preserve">Eventuellt ta upp moderator (counteracts, motverkar en effekt), mediator (förstärker en effekt), visa plot på interaktion, interaction plot.</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Resultatens betydelse i en större samhällsvetenskaplig kontext. Gå tillbaka från hypoteser till RQ</w:t>
      </w:r>
    </w:p>
    <w:p>
      <w:pPr>
        <w:numPr>
          <w:ilvl w:val="0"/>
          <w:numId w:val="1010"/>
        </w:numPr>
        <w:pStyle w:val="Compact"/>
      </w:pPr>
      <w:r>
        <w:t xml:space="preserve">det engelska begreppet contribution, bidrag till befintlig forskning</w:t>
      </w:r>
    </w:p>
    <w:p>
      <w:pPr>
        <w:pStyle w:val="FirstParagraph"/>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Nämna nåt om rättigheter, licenser, open access osv?</w:t>
      </w:r>
    </w:p>
    <w:p>
      <w:pPr>
        <w:pStyle w:val="BodyText"/>
      </w:pPr>
      <w:r>
        <w:t xml:space="preserve">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4" w:name="references"/>
    <w:p>
      <w:pPr>
        <w:pStyle w:val="Heading1"/>
      </w:pPr>
      <w:bookmarkStart w:id="203" w:name="references"/>
      <w:r>
        <w:t xml:space="preserve">References</w:t>
      </w:r>
      <w:bookmarkEnd w:id="203"/>
    </w:p>
    <w:bookmarkStart w:id="213" w:name="refs"/>
    <w:bookmarkStart w:id="204"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4"/>
    <w:bookmarkStart w:id="205" w:name="ref-einstein2002induction"/>
    <w:p>
      <w:pPr>
        <w:pStyle w:val="Bibliography"/>
      </w:pPr>
      <w:r>
        <w:t xml:space="preserve">Einstein, Albert. 2002. “Induction and Deduction in Physics. The Collected Papers of Albert Einstein, Vol. 7.” Princeton University Press.</w:t>
      </w:r>
    </w:p>
    <w:bookmarkEnd w:id="205"/>
    <w:bookmarkStart w:id="206"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6"/>
    <w:bookmarkStart w:id="207"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7"/>
    <w:bookmarkStart w:id="208"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8"/>
    <w:bookmarkStart w:id="209"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9"/>
    <w:bookmarkStart w:id="210"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0"/>
    <w:bookmarkStart w:id="211"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1"/>
    <w:bookmarkStart w:id="21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2"/>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2021-10-27T08:01:01Z</dcterms:created>
  <dcterms:modified xsi:type="dcterms:W3CDTF">2021-10-27T08:01:01Z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2021-10-27</vt:lpwstr>
  </property>
  <property fmtid="{D5CDD505-2E9C-101B-9397-08002B2CF9AE}" pid="3" name="generator">
    <vt:lpwstr>pandoc</vt:lpwstr>
  </property>
  <property fmtid="{D5CDD505-2E9C-101B-9397-08002B2CF9AE}" pid="4" name="viewport">
    <vt:lpwstr>width=device-width, initial-scale=1</vt:lpwstr>
  </property>
</Properties>
</file>