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2.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2021-12-13</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2021-12-13</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av två faktorer, där</w:t>
      </w:r>
      <w:r>
        <w:t xml:space="preserve"> </w:t>
      </w:r>
      <w:r>
        <w:rPr>
          <w:i/>
        </w:rPr>
        <w:t xml:space="preserve">n</w:t>
      </w:r>
      <w:r>
        <w:t xml:space="preserve"> </w:t>
      </w:r>
      <w:r>
        <w:t xml:space="preserve">står för antalet alternativ och</w:t>
      </w:r>
      <w:r>
        <w:t xml:space="preserve"> </w:t>
      </w:r>
      <w:r>
        <w:rPr>
          <w:i/>
        </w:rPr>
        <w:t xml:space="preserve">r</w:t>
      </w:r>
      <w:r>
        <w:t xml:space="preserve"> </w:t>
      </w:r>
      <w:r>
        <w:t xml:space="preserve">står för antalet alternativ vi vill välja från</w:t>
      </w:r>
    </w:p>
    <w:p>
      <w:pPr>
        <w:pStyle w:val="Brdtext"/>
      </w:pPr>
      <w:r>
        <w:t xml:space="preserve">\[\begin{equation} \frac{n!}{(n-r)!} (\#eq:permutationswithoutrepetition) \end{equation}\]</w:t>
      </w:r>
    </w:p>
    <w:p>
      <w:pPr>
        <w:pStyle w:val="Brdtext"/>
      </w:pPr>
      <w:r>
        <w:t xml:space="preserve">Diskutera expempel experiment med Facebook-poster enligt ett upplägg med faktoriell design. Detta designmönster med två experimentella villkor som “korsas” med två experimentella stimuli för varje par av deltagare kallas ibland på engelska för “crossed experimental design”, och kan anses som mycket användbar inom beteendevetenskapliga studier</w:t>
      </w:r>
    </w:p>
    <w:p>
      <w:pPr>
        <w:pStyle w:val="Brdtext"/>
      </w:pPr>
      <w:r>
        <w:t xml:space="preserve">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 - kan göras som mellan grupp eller inom grupp ?</w:t>
      </w:r>
    </w:p>
    <w:p>
      <w:pPr>
        <w:pStyle w:val="Rubrik3"/>
      </w:pPr>
      <w:bookmarkStart w:id="76" w:name="fallstudie-experiment"/>
      <w:r>
        <w:t xml:space="preserve">7.5.7 Fallstudie-experiment</w:t>
      </w:r>
      <w:bookmarkEnd w:id="76"/>
    </w:p>
    <w:p>
      <w:pPr>
        <w:pStyle w:val="FirstParagraph"/>
      </w:pPr>
      <w:r>
        <w:t xml:space="preserve">SCED vs RCT. Single-case design, traditionell RCT (randomized controlled trial ) vs SCED (single-case experimental designs),</w:t>
      </w:r>
      <w:r>
        <w:t xml:space="preserve"> </w:t>
      </w:r>
      <w:hyperlink r:id="rId77">
        <w:r>
          <w:rPr>
            <w:rStyle w:val="Hyperlnk"/>
          </w:rPr>
          <w:t xml:space="preserve">https://www.nof1sced.org/</w:t>
        </w:r>
      </w:hyperlink>
    </w:p>
    <w:p>
      <w:pPr>
        <w:pStyle w:val="Rubrik3"/>
      </w:pPr>
      <w:bookmarkStart w:id="78" w:name="naturliga-experiment"/>
      <w:r>
        <w:t xml:space="preserve">7.5.8 Naturliga 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9">
        <w:r>
          <w:rPr>
            <w:rStyle w:val="Hyperlnk"/>
          </w:rPr>
          <w:t xml:space="preserve">https://www.reuters.com/world/card-angrist-imbens-win-2021-nobel-economics-prize-2021-10-11/</w:t>
        </w:r>
      </w:hyperlink>
      <w:r>
        <w:t xml:space="preserve">).</w:t>
      </w:r>
    </w:p>
    <w:p>
      <w:pPr>
        <w:pStyle w:val="Rubrik3"/>
      </w:pPr>
      <w:bookmarkStart w:id="80" w:name="kvasi-experiment"/>
      <w:r>
        <w:t xml:space="preserve">7.5.9 Kvasi-experiment</w:t>
      </w:r>
      <w:bookmarkEnd w:id="80"/>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numPr>
          <w:ilvl w:val="0"/>
          <w:numId w:val="1006"/>
        </w:numPr>
        <w:pStyle w:val="Compact"/>
      </w:pPr>
      <w:r>
        <w:t xml:space="preserve">no random assignment of participants</w:t>
      </w:r>
    </w:p>
    <w:p>
      <w:pPr>
        <w:numPr>
          <w:ilvl w:val="0"/>
          <w:numId w:val="1006"/>
        </w:numPr>
        <w:pStyle w:val="Compact"/>
      </w:pPr>
      <w:r>
        <w:t xml:space="preserve">may or may not have a control group</w:t>
      </w:r>
    </w:p>
    <w:p>
      <w:pPr>
        <w:numPr>
          <w:ilvl w:val="0"/>
          <w:numId w:val="1006"/>
        </w:numPr>
        <w:pStyle w:val="Compact"/>
      </w:pPr>
      <w:r>
        <w:t xml:space="preserve">may not have control over manipulated independent variable</w:t>
      </w:r>
    </w:p>
    <w:p>
      <w:pPr>
        <w:pStyle w:val="Rubrik3"/>
      </w:pPr>
      <w:bookmarkStart w:id="81" w:name="planering-av-experimentdesign"/>
      <w:r>
        <w:t xml:space="preserve">7.5.10 Planering av experimentdesign</w:t>
      </w:r>
      <w:bookmarkEnd w:id="81"/>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Style w:val="Compact"/>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FirstParagraph"/>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2"/>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numPr>
          <w:ilvl w:val="0"/>
          <w:numId w:val="1008"/>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8"/>
        </w:numPr>
      </w:pPr>
      <w:r>
        <w:t xml:space="preserve">Mellangruppsdesign</w:t>
      </w:r>
      <w:r>
        <w:t xml:space="preserve"> </w:t>
      </w:r>
      <w:hyperlink w:anchor="sub07.5.3">
        <w:r>
          <w:rPr>
            <w:rStyle w:val="Hyperlnk"/>
          </w:rPr>
          <w:t xml:space="preserve">7.5.3</w:t>
        </w:r>
      </w:hyperlink>
      <w:r>
        <w:t xml:space="preserve">.</w:t>
      </w:r>
    </w:p>
    <w:p>
      <w:pPr>
        <w:numPr>
          <w:ilvl w:val="0"/>
          <w:numId w:val="1008"/>
        </w:numPr>
      </w:pPr>
      <w:r>
        <w:t xml:space="preserve">Inomgruppsdesign</w:t>
      </w:r>
      <w:r>
        <w:t xml:space="preserve"> </w:t>
      </w:r>
      <w:hyperlink w:anchor="sub07.5.4">
        <w:r>
          <w:rPr>
            <w:rStyle w:val="Hyperlnk"/>
          </w:rPr>
          <w:t xml:space="preserve">7.5.4</w:t>
        </w:r>
      </w:hyperlink>
    </w:p>
    <w:p>
      <w:pPr>
        <w:numPr>
          <w:ilvl w:val="0"/>
          <w:numId w:val="1008"/>
        </w:numPr>
      </w:pPr>
      <w:r>
        <w:t xml:space="preserve">Upprepade villkor</w:t>
      </w:r>
      <w:r>
        <w:t xml:space="preserve"> </w:t>
      </w:r>
      <w:hyperlink w:anchor="sub07.5.5">
        <w:r>
          <w:rPr>
            <w:rStyle w:val="Hyperlnk"/>
          </w:rPr>
          <w:t xml:space="preserve">7.5.5</w:t>
        </w:r>
      </w:hyperlink>
    </w:p>
    <w:p>
      <w:pPr>
        <w:numPr>
          <w:ilvl w:val="0"/>
          <w:numId w:val="1008"/>
        </w:numPr>
      </w:pPr>
      <w:r>
        <w:t xml:space="preserve">Faktoriell design</w:t>
      </w:r>
      <w:r>
        <w:t xml:space="preserve"> </w:t>
      </w:r>
      <w:hyperlink w:anchor="sub07.5.6">
        <w:r>
          <w:rPr>
            <w:rStyle w:val="Hyperlnk"/>
          </w:rPr>
          <w:t xml:space="preserve">7.5.6</w:t>
        </w:r>
      </w:hyperlink>
    </w:p>
    <w:p>
      <w:pPr>
        <w:numPr>
          <w:ilvl w:val="0"/>
          <w:numId w:val="1008"/>
        </w:numPr>
      </w:pPr>
      <w:r>
        <w:t xml:space="preserve">Naturliga experiment</w:t>
      </w:r>
      <w:r>
        <w:t xml:space="preserve"> </w:t>
      </w:r>
      <w:hyperlink w:anchor="sub07.5.7">
        <w:r>
          <w:rPr>
            <w:rStyle w:val="Hyperlnk"/>
          </w:rPr>
          <w:t xml:space="preserve">7.5.7</w:t>
        </w:r>
      </w:hyperlink>
    </w:p>
    <w:p>
      <w:pPr>
        <w:numPr>
          <w:ilvl w:val="0"/>
          <w:numId w:val="1008"/>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9"/>
        </w:numPr>
      </w:pPr>
      <w:r>
        <w:t xml:space="preserve">andra regler gäller för studenter? Studentarbeten berörs inte av etikprövningslagen, men GDPR gäller alla oavsett.</w:t>
      </w:r>
    </w:p>
    <w:p>
      <w:pPr>
        <w:numPr>
          <w:ilvl w:val="0"/>
          <w:numId w:val="1009"/>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11"/>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77" Target="https://www.nof1sced.org/" TargetMode="External" /><Relationship Type="http://schemas.openxmlformats.org/officeDocument/2006/relationships/hyperlink" Id="rId79"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2021-12-13T14:31:00Z</dcterms:created>
  <dcterms:modified xsi:type="dcterms:W3CDTF">2021-12-13T14:31:00Z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2021-12-13</vt:lpwstr>
  </property>
  <property fmtid="{D5CDD505-2E9C-101B-9397-08002B2CF9AE}" pid="3" name="generator">
    <vt:lpwstr>pandoc</vt:lpwstr>
  </property>
  <property fmtid="{D5CDD505-2E9C-101B-9397-08002B2CF9AE}" pid="4" name="viewport">
    <vt:lpwstr>width=device-width, initial-scale=1.0, user-scalable=yes</vt:lpwstr>
  </property>
</Properties>
</file>