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41" w:name="förstudier-och-kvalitet"/>
      <w:r>
        <w:t xml:space="preserve">7.1 Förstudier och kvalitet</w:t>
      </w:r>
      <w:bookmarkEnd w:id="41"/>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42" w:name="validitet-och-reliabilitet"/>
      <w:r>
        <w:t xml:space="preserve">7.1.1 Validitet och reliabilitet</w:t>
      </w:r>
      <w:bookmarkEnd w:id="42"/>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3" w:name="power-analys-1"/>
      <w:r>
        <w:t xml:space="preserve">7.1.2 Power-analys</w:t>
      </w:r>
      <w:bookmarkEnd w:id="43"/>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4">
        <w:r>
          <w:rPr>
            <w:rStyle w:val="Hyperlnk"/>
          </w:rPr>
          <w:t xml:space="preserve">http://shinyapps.org/apps/PPV/</w:t>
        </w:r>
      </w:hyperlink>
    </w:p>
    <w:p>
      <w:pPr>
        <w:numPr>
          <w:ilvl w:val="0"/>
          <w:numId w:val="1004"/>
        </w:numPr>
        <w:pStyle w:val="Compact"/>
      </w:pPr>
      <w:hyperlink r:id="rId45">
        <w:r>
          <w:rPr>
            <w:rStyle w:val="Hyperlnk"/>
          </w:rPr>
          <w:t xml:space="preserve">https://gallery.shinyapps.io/CLT_mean/</w:t>
        </w:r>
      </w:hyperlink>
    </w:p>
    <w:p>
      <w:pPr>
        <w:numPr>
          <w:ilvl w:val="0"/>
          <w:numId w:val="1004"/>
        </w:numPr>
        <w:pStyle w:val="Compact"/>
      </w:pPr>
      <w:hyperlink r:id="rId46">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7" w:name="pilottest"/>
      <w:r>
        <w:t xml:space="preserve">7.1.3 Pilottest</w:t>
      </w:r>
      <w:bookmarkEnd w:id="47"/>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8" w:name="försöksdeltagare"/>
      <w:r>
        <w:t xml:space="preserve">7.2 Försöksdeltagare</w:t>
      </w:r>
      <w:bookmarkEnd w:id="4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9" w:name="representativt-urval"/>
      <w:r>
        <w:t xml:space="preserve">7.2.1 Representativt urval</w:t>
      </w:r>
      <w:bookmarkEnd w:id="4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50" w:name="demografiska-egenskaper"/>
      <w:r>
        <w:t xml:space="preserve">7.2.2 Demografiska egenskaper</w:t>
      </w:r>
      <w:bookmarkEnd w:id="5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1" w:name="individuella-egenskaper"/>
      <w:r>
        <w:t xml:space="preserve">7.2.3 Individuella egenskaper</w:t>
      </w:r>
      <w:bookmarkEnd w:id="51"/>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2" w:name="etiska-hänsynstaganden"/>
      <w:r>
        <w:t xml:space="preserve">7.2.4 Etiska hänsynstaganden</w:t>
      </w:r>
      <w:bookmarkEnd w:id="5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3" w:name="planering-av-deltagare"/>
      <w:r>
        <w:t xml:space="preserve">7.2.5 Planering av deltagare</w:t>
      </w:r>
      <w:bookmarkEnd w:id="5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4" w:name="rapportering-av-deltagare"/>
      <w:r>
        <w:t xml:space="preserve">7.2.6 Rapportering av deltagare</w:t>
      </w:r>
      <w:bookmarkEnd w:id="54"/>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5" w:name="mätinstrument"/>
      <w:r>
        <w:t xml:space="preserve">7.3 Mätinstrument</w:t>
      </w:r>
      <w:bookmarkEnd w:id="55"/>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6" w:name="olika-mätskalor"/>
      <w:r>
        <w:t xml:space="preserve">7.3.1 Olika mätskalor</w:t>
      </w:r>
      <w:bookmarkEnd w:id="56"/>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7">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8" w:name="mätning-av-subjektiva-responser"/>
      <w:r>
        <w:t xml:space="preserve">7.3.2 Mätning av subjektiva responser</w:t>
      </w:r>
      <w:bookmarkEnd w:id="58"/>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9" w:name="mätning-av-objektiva-responser"/>
      <w:r>
        <w:t xml:space="preserve">7.3.3 Mätning av objektiva responser</w:t>
      </w:r>
      <w:bookmarkEnd w:id="59"/>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60" w:name="beroende-variabler"/>
      <w:r>
        <w:t xml:space="preserve">7.3.4 Beroende variabler</w:t>
      </w:r>
      <w:bookmarkEnd w:id="60"/>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1" w:name="planering-av-mätinstrument"/>
      <w:r>
        <w:t xml:space="preserve">7.3.5 Planering av mätinstrument</w:t>
      </w:r>
      <w:bookmarkEnd w:id="61"/>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2" w:name="rapportering-av-mätinstrument"/>
      <w:r>
        <w:t xml:space="preserve">7.3.6 Rapportering av mätinstrument</w:t>
      </w:r>
      <w:bookmarkEnd w:id="6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3" w:name="experimentella-villkor"/>
      <w:r>
        <w:t xml:space="preserve">7.4 Experimentella villkor</w:t>
      </w:r>
      <w:bookmarkEnd w:id="63"/>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4" w:name="kontroll--och-behandlingsvillkor"/>
      <w:r>
        <w:t xml:space="preserve">7.4.1 Kontroll- och behandlingsvillkor</w:t>
      </w:r>
      <w:bookmarkEnd w:id="6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5" w:name="oberoende-variabler"/>
      <w:r>
        <w:t xml:space="preserve">7.4.2 Oberoende variabler</w:t>
      </w:r>
      <w:bookmarkEnd w:id="6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6" w:name="instruktionsvillkor"/>
      <w:r>
        <w:t xml:space="preserve">7.4.3 Instruktionsvillkor</w:t>
      </w:r>
      <w:bookmarkEnd w:id="66"/>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7" w:name="kontrollvariabler"/>
      <w:r>
        <w:t xml:space="preserve">7.4.4 Kontrollvariabler</w:t>
      </w:r>
      <w:bookmarkEnd w:id="6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8" w:name="utrustning-och-materiel"/>
      <w:r>
        <w:t xml:space="preserve">7.4.5 Utrustning och materiel</w:t>
      </w:r>
      <w:bookmarkEnd w:id="68"/>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9" w:name="planering-av-experimentella-villkor"/>
      <w:r>
        <w:t xml:space="preserve">7.4.6 Planering av experimentella villkor</w:t>
      </w:r>
      <w:bookmarkEnd w:id="6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70" w:name="rapportering-av-experimentella-villkor"/>
      <w:r>
        <w:t xml:space="preserve">7.4.7 Rapportering av experimentella villkor</w:t>
      </w:r>
      <w:bookmarkEnd w:id="70"/>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1" w:name="experimentell-design"/>
      <w:r>
        <w:t xml:space="preserve">7.5 Experimentell design</w:t>
      </w:r>
      <w:bookmarkEnd w:id="71"/>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2" w:name="instruktioner-och-uppgifter"/>
      <w:r>
        <w:t xml:space="preserve">7.5.1 Instruktioner och uppgifter</w:t>
      </w:r>
      <w:bookmarkEnd w:id="7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3" w:name="randomisering-och-balansering"/>
      <w:r>
        <w:t xml:space="preserve">7.5.2 Randomisering och balansering</w:t>
      </w:r>
      <w:bookmarkEnd w:id="73"/>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4" w:name="mellangruppsdesign"/>
      <w:r>
        <w:t xml:space="preserve">7.5.3 Mellangruppsdesign</w:t>
      </w:r>
      <w:bookmarkEnd w:id="7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5" w:name="inomgruppsdesign"/>
      <w:r>
        <w:t xml:space="preserve">7.5.4 Inomgruppsdesign</w:t>
      </w:r>
      <w:bookmarkEnd w:id="75"/>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6" w:name="upprepade-försök"/>
      <w:r>
        <w:t xml:space="preserve">7.5.5 Upprepade försök</w:t>
      </w:r>
      <w:bookmarkEnd w:id="76"/>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7" w:name="faktoriell-design"/>
      <w:r>
        <w:t xml:space="preserve">7.5.6 Faktoriell design</w:t>
      </w:r>
      <w:bookmarkEnd w:id="77"/>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8" w:name="individuella-deltagare"/>
      <w:r>
        <w:t xml:space="preserve">7.5.7 Individuella deltagare</w:t>
      </w:r>
      <w:bookmarkEnd w:id="78"/>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9">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80" w:name="naturliga-experiment"/>
      <w:r>
        <w:t xml:space="preserve">7.5.8 Naturliga experiment</w:t>
      </w:r>
      <w:bookmarkEnd w:id="80"/>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1" w:name="kvasi-experiment"/>
      <w:r>
        <w:t xml:space="preserve">7.5.9 Kvasi-experiment</w:t>
      </w:r>
      <w:bookmarkEnd w:id="81"/>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2" w:name="planering-av-experimentdesign"/>
      <w:r>
        <w:t xml:space="preserve">7.5.10 Planering av experimentdesign</w:t>
      </w:r>
      <w:bookmarkEnd w:id="82"/>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3" w:name="rapportering-av-experimentdesign"/>
      <w:r>
        <w:t xml:space="preserve">7.5.11 Rapportering av experimentdesign</w:t>
      </w:r>
      <w:bookmarkEnd w:id="83"/>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4" w:name="procedur"/>
      <w:r>
        <w:t xml:space="preserve">7.6 Procedur</w:t>
      </w:r>
      <w:bookmarkEnd w:id="84"/>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8" w:name="applicera-mätutrustning"/>
      <w:r>
        <w:t xml:space="preserve">7.6.4 Applicera mätutrustning</w:t>
      </w:r>
      <w:bookmarkEnd w:id="88"/>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9" w:name="instruktioner-och-uppgifter-1"/>
      <w:r>
        <w:t xml:space="preserve">7.6.5 Instruktioner och uppgifter</w:t>
      </w:r>
      <w:bookmarkEnd w:id="89"/>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90" w:name="under-experimentets-gång"/>
      <w:r>
        <w:t xml:space="preserve">7.6.6 Under experimentets gång</w:t>
      </w:r>
      <w:bookmarkEnd w:id="90"/>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1" w:name="eftertest-och-ersättning"/>
      <w:r>
        <w:t xml:space="preserve">7.6.7 Eftertest och ersättning</w:t>
      </w:r>
      <w:bookmarkEnd w:id="91"/>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2" w:name="planering-av-procedur"/>
      <w:r>
        <w:t xml:space="preserve">7.6.8 Planering av procedur</w:t>
      </w:r>
      <w:bookmarkEnd w:id="92"/>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93" w:name="rapportering-av-procedur"/>
      <w:r>
        <w:t xml:space="preserve">7.6.9 Rapportering av procedur</w:t>
      </w:r>
      <w:bookmarkEnd w:id="93"/>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Brdtext"/>
      </w:pPr>
      <w:r>
        <w:t xml:space="preserve">Genomförandet av experimentet kräver alltså mycket arbete innan vi kommit till den punkt där vi utvecklar en standardiserad procedur genom vilken försökspersonerna deltar i experimentet. Den sista fasen av genomförandet består av en dataanalys där vi bearbetar den rådata experimentet genererat och förbereder den för statistisk analys i studiens efterarbete.</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2021-12-17T12:11:28Z</dcterms:created>
  <dcterms:modified xsi:type="dcterms:W3CDTF">2021-12-17T12:11:28Z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