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4.png" ContentType="image/png;base64"/>
  <Override PartName="/word/media/rId10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2021-12-17</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2021-12-17</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vetenskapliga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Med anledning av detta har vi också standarder för hur vi bör rapportera forskning (t.ex. American Psychological Association, APA). Men experimentell metod handlar naturligtvis också om att praktiskt tillämpa vissa tillvägagångssätt som utvecklats för att vi ska kunna försäkra oss om att genomförande och resultat är så giltiga och tillförlitliga som möjligt (se diskussioner av validitet och reliabilitet).</w:t>
      </w:r>
    </w:p>
    <w:p>
      <w:pPr>
        <w:pStyle w:val="Brdtext"/>
      </w:pPr>
      <w:r>
        <w:t xml:space="preserve">I denna lärobok har vi försökt täcka in dessa två olika men näraliggande betydelser av begreppet experimentell metod: dels som en uppsättning praktiska tillvägagångssätt som bör användas för att i förväg</w:t>
      </w:r>
      <w:r>
        <w:t xml:space="preserve"> </w:t>
      </w:r>
      <w:r>
        <w:rPr>
          <w:b/>
        </w:rPr>
        <w:t xml:space="preserve">planera</w:t>
      </w:r>
      <w:r>
        <w:t xml:space="preserve"> </w:t>
      </w:r>
      <w:r>
        <w:t xml:space="preserve">och därefter genomföra en experimentell studie, och dels som ett systematiskt och standardiserat efterarbete för att</w:t>
      </w:r>
      <w:r>
        <w:t xml:space="preserve"> </w:t>
      </w:r>
      <w:r>
        <w:rPr>
          <w:b/>
        </w:rPr>
        <w:t xml:space="preserve">rapportera</w:t>
      </w:r>
      <w:r>
        <w:t xml:space="preserve"> </w:t>
      </w:r>
      <w:r>
        <w:t xml:space="preserve">genomförandet av en studie. Således är detta kapitel av läroboken disponerat på ett sätt som ger oss möjlighet att i ungefärlig turordning behandla de olika aspekter av experimentell metod som vi som forskare förväntas kunna redovisa när vi rapporterar våra resultat till en vetenskaplig tidskrift. Men inom varje metodaspekt kommer vi också att utförligt diskutera de olika experimentella tillvägagångssätt som är relevanta i samband med planering och genomförande av en forskningsstudie. - Ofta den första delen som skrivs när man rapporterar resultaten av en studie. Fördelaktigt att börja med en genomgång av hur studien faktiskt har genomförts.</w:t>
      </w:r>
    </w:p>
    <w:p>
      <w:pPr>
        <w:pStyle w:val="Brdtext"/>
      </w:pPr>
      <w:r>
        <w:t xml:space="preserve">I detta kapitel kommer vi arbeta efter en vanligt förekommande turordning som kan användas för att både genomföra och rapportera ett experiment. Förarbetet till studien är i detta skede redan avklarat, och genom att undersöka tidigare forskning har vi definierat en forskningsfråga, som genom operationalisering omsatts till falsifierbara hypoteser. Med detta som grund kan vi sedan inleda genomförandet i form av</w:t>
      </w:r>
      <w:r>
        <w:t xml:space="preserve"> </w:t>
      </w:r>
      <w:r>
        <w:rPr>
          <w:i/>
        </w:rPr>
        <w:t xml:space="preserve">förstudier</w:t>
      </w:r>
      <w:r>
        <w:t xml:space="preserve"> </w:t>
      </w:r>
      <w:r>
        <w:t xml:space="preserve">som syftar till att säkerställa att studien som helhet håller en god kvalitet och är genomförbart. När vi känner oss säkra på att experimentet kommer fungera som tänkt kan vi börja rekrytera våra</w:t>
      </w:r>
      <w:r>
        <w:t xml:space="preserve"> </w:t>
      </w:r>
      <w:r>
        <w:rPr>
          <w:i/>
        </w:rPr>
        <w:t xml:space="preserve">försöksdeltagare</w:t>
      </w:r>
      <w:r>
        <w:t xml:space="preserve"> </w:t>
      </w:r>
      <w:r>
        <w:t xml:space="preserve">enligt lämpliga urvalsprinciper. Deltagarna är naturligtvis avgörande när vi sedan ska använda ett</w:t>
      </w:r>
      <w:r>
        <w:t xml:space="preserve"> </w:t>
      </w:r>
      <w:r>
        <w:rPr>
          <w:i/>
        </w:rPr>
        <w:t xml:space="preserve">mätinstrument</w:t>
      </w:r>
      <w:r>
        <w:t xml:space="preserve"> </w:t>
      </w:r>
      <w:r>
        <w:t xml:space="preserve">för att samla in data om studiens centrala utfallsvariabler, och vi utformar</w:t>
      </w:r>
      <w:r>
        <w:t xml:space="preserve"> </w:t>
      </w:r>
      <w:r>
        <w:rPr>
          <w:i/>
        </w:rPr>
        <w:t xml:space="preserve">experimentella villkor</w:t>
      </w:r>
      <w:r>
        <w:t xml:space="preserve"> </w:t>
      </w:r>
      <w:r>
        <w:t xml:space="preserve">som vi i enlighet med hypoteserna förväntar oss kommer att ha en kausal effekt på dessa utfallsvariabler. Exakt hur varje deltagare kommer att genomgå kontrollvillkor och behandlingar definieras genom en</w:t>
      </w:r>
      <w:r>
        <w:t xml:space="preserve"> </w:t>
      </w:r>
      <w:r>
        <w:rPr>
          <w:i/>
        </w:rPr>
        <w:t xml:space="preserve">experimentell design</w:t>
      </w:r>
      <w:r>
        <w:t xml:space="preserve">. Genomförandet av experimentet kräver alltså mycket arbete innan vi kommit till den punkt där vi utvecklar en standardiserad</w:t>
      </w:r>
      <w:r>
        <w:t xml:space="preserve"> </w:t>
      </w:r>
      <w:r>
        <w:rPr>
          <w:i/>
        </w:rPr>
        <w:t xml:space="preserve">procedur</w:t>
      </w:r>
      <w:r>
        <w:t xml:space="preserve"> </w:t>
      </w:r>
      <w:r>
        <w:t xml:space="preserve">genom vilken försökspersonerna deltar i experimentet. Den sista fasen av genomförandet består av en</w:t>
      </w:r>
      <w:r>
        <w:t xml:space="preserve"> </w:t>
      </w:r>
      <w:r>
        <w:rPr>
          <w:i/>
        </w:rPr>
        <w:t xml:space="preserve">dataanalys</w:t>
      </w:r>
      <w:r>
        <w:t xml:space="preserve"> </w:t>
      </w:r>
      <w:r>
        <w:t xml:space="preserve">där vi bearbetar den rådata experimentet genererat och förbereder den för statistisk analys i studiens efterarbete.</w:t>
      </w:r>
    </w:p>
    <w:p>
      <w:pPr>
        <w:pStyle w:val="Rubrik2"/>
      </w:pPr>
      <w:bookmarkStart w:id="41" w:name="förstudier-och-kvalitet"/>
      <w:r>
        <w:t xml:space="preserve">7.1 Förstudier och kvalitet</w:t>
      </w:r>
      <w:bookmarkEnd w:id="41"/>
    </w:p>
    <w:p>
      <w:pPr>
        <w:pStyle w:val="FirstParagraph"/>
      </w:pPr>
      <w:r>
        <w:t xml:space="preserve">Innan man genomför ett skarpt experiment, vilket ofta kräver mycket resurser i form av tid och arbete, är det klokt att genomföra experimentet i liten skala. På så vis kan vi som studenter eller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validitet-och-reliabilitet"/>
      <w:r>
        <w:t xml:space="preserve">7.1.1 Validitet och reliabilitet</w:t>
      </w:r>
      <w:bookmarkEnd w:id="42"/>
    </w:p>
    <w:p>
      <w:pPr>
        <w:pStyle w:val="FirstParagraph"/>
      </w:pPr>
      <w:r>
        <w:t xml:space="preserve">Igen. Kvalitetsarbete. TODO: Samlad diskussion om alla olika typer av validitet och reliabilitet hör hemma lite överallt, kanske bäst under</w:t>
      </w:r>
      <w:r>
        <w:t xml:space="preserve"> </w:t>
      </w:r>
      <w:r>
        <w:rPr>
          <w:i/>
        </w:rPr>
        <w:t xml:space="preserve">förstudier</w:t>
      </w:r>
      <w:r>
        <w:t xml:space="preserve">, eller under mätinstrument, kanske även någonstans under diskussion.</w:t>
      </w:r>
    </w:p>
    <w:p>
      <w:pPr>
        <w:pStyle w:val="Rubrik3"/>
      </w:pPr>
      <w:bookmarkStart w:id="43" w:name="power-analys-1"/>
      <w:r>
        <w:t xml:space="preserve">7.1.2 Power-analys</w:t>
      </w:r>
      <w:bookmarkEnd w:id="43"/>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3"/>
        </w:numPr>
        <w:pStyle w:val="Compact"/>
      </w:pPr>
      <w:hyperlink r:id="rId44">
        <w:r>
          <w:rPr>
            <w:rStyle w:val="Hyperlnk"/>
          </w:rPr>
          <w:t xml:space="preserve">http://shinyapps.org/apps/PPV/</w:t>
        </w:r>
      </w:hyperlink>
    </w:p>
    <w:p>
      <w:pPr>
        <w:numPr>
          <w:ilvl w:val="0"/>
          <w:numId w:val="1003"/>
        </w:numPr>
        <w:pStyle w:val="Compact"/>
      </w:pPr>
      <w:hyperlink r:id="rId45">
        <w:r>
          <w:rPr>
            <w:rStyle w:val="Hyperlnk"/>
          </w:rPr>
          <w:t xml:space="preserve">https://gallery.shinyapps.io/CLT_mean/</w:t>
        </w:r>
      </w:hyperlink>
    </w:p>
    <w:p>
      <w:pPr>
        <w:numPr>
          <w:ilvl w:val="0"/>
          <w:numId w:val="1003"/>
        </w:numPr>
        <w:pStyle w:val="Compact"/>
      </w:pPr>
      <w:hyperlink r:id="rId46">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7" w:name="pilottest"/>
      <w:r>
        <w:t xml:space="preserve">7.1.3 Pilottest</w:t>
      </w:r>
      <w:bookmarkEnd w:id="47"/>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8" w:name="försöksdeltagare"/>
      <w:r>
        <w:t xml:space="preserve">7.2 Försöksdeltagare</w:t>
      </w:r>
      <w:bookmarkEnd w:id="4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9" w:name="representativt-urval"/>
      <w:r>
        <w:t xml:space="preserve">7.2.1 Representativt urval</w:t>
      </w:r>
      <w:bookmarkEnd w:id="4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 på engelska “randomized block design”</w:t>
      </w:r>
    </w:p>
    <w:p>
      <w:pPr>
        <w:pStyle w:val="Rubrik3"/>
      </w:pPr>
      <w:bookmarkStart w:id="50" w:name="demografiska-egenskaper"/>
      <w:r>
        <w:t xml:space="preserve">7.2.2 Demografiska egenskaper</w:t>
      </w:r>
      <w:bookmarkEnd w:id="50"/>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1" w:name="individuella-egenskaper"/>
      <w:r>
        <w:t xml:space="preserve">7.2.3 Individuella egenskaper</w:t>
      </w:r>
      <w:bookmarkEnd w:id="51"/>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2" w:name="etiska-hänsynstaganden"/>
      <w:r>
        <w:t xml:space="preserve">7.2.4 Etiska hänsynstaganden</w:t>
      </w:r>
      <w:bookmarkEnd w:id="52"/>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3" w:name="planering-av-deltagare"/>
      <w:r>
        <w:t xml:space="preserve">7.2.5 Planering av deltagare</w:t>
      </w:r>
      <w:bookmarkEnd w:id="53"/>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4" w:name="rapportering-av-deltagare"/>
      <w:r>
        <w:t xml:space="preserve">7.2.6 Rapportering av deltagare</w:t>
      </w:r>
      <w:bookmarkEnd w:id="54"/>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5" w:name="mätinstrument"/>
      <w:r>
        <w:t xml:space="preserve">7.3 Mätinstrument</w:t>
      </w:r>
      <w:bookmarkEnd w:id="55"/>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6" w:name="olika-mätskalor"/>
      <w:r>
        <w:t xml:space="preserve">7.3.1 Olika mätskalor</w:t>
      </w:r>
      <w:bookmarkEnd w:id="56"/>
    </w:p>
    <w:p>
      <w:pPr>
        <w:pStyle w:val="FirstParagraph"/>
      </w:pPr>
      <w:r>
        <w:t xml:space="preserve">Mätskala, eller ibland datanivå, är ett begrepp som används inom beskrivande statistik för att klassificera den variabel som mäts. Variabler som endast kan mätas enligt en nominalskala eller ordinalskala kallas med ett gemensamt namn kvalitativa variabler eller kategorivariabler och de som kan mätas enligt en intervallskala eller kvotskala kallas kvantitativa variabler. För kvantitativa variabler är det, förutom lägesmått som medelvärde och median, också möjligt att beräkna spridningsmått som standardavvikelse och varians (</w:t>
      </w:r>
      <w:hyperlink r:id="rId57">
        <w:r>
          <w:rPr>
            <w:rStyle w:val="Hyperlnk"/>
          </w:rPr>
          <w:t xml:space="preserve">https://sv.wikipedia.org/wiki/M%C3%A4tskala</w:t>
        </w:r>
      </w:hyperlink>
      <w:r>
        <w:t xml:space="preserve">). En viktig princip är att dessa skalor antas innehålla stegvis mer information, och man kan alltid ta bort information men den går inte att lägga till i efterhand (dvs vi kan omvandla en kvantitativ variabel till en kvalitativ, men inte omvänt). Det är alltså</w:t>
      </w:r>
      <w:r>
        <w:t xml:space="preserve"> </w:t>
      </w:r>
      <w:r>
        <w:rPr>
          <w:i/>
        </w:rPr>
        <w:t xml:space="preserve">alltid bättre</w:t>
      </w:r>
      <w:r>
        <w:t xml:space="preserve"> </w:t>
      </w:r>
      <w:r>
        <w:t xml:space="preserve">att försöka använda en mätskala som innehåller så mycket information som möjligt.</w:t>
      </w:r>
    </w:p>
    <w:p>
      <w:pPr>
        <w:pStyle w:val="Brdtext"/>
      </w:pPr>
      <w:r>
        <w:t xml:space="preserve">Mätskalor och information.</w:t>
      </w:r>
    </w:p>
    <w:p>
      <w:pPr>
        <w:pStyle w:val="TableCaption"/>
      </w:pPr>
      <w:r>
        <w:t xml:space="preserve">Mätskalor och information.</w:t>
      </w:r>
    </w:p>
    <w:tbl>
      <w:tblPr>
        <w:tblStyle w:val="Table"/>
        <w:tblW w:type="pct" w:w="0.0"/>
        <w:tblLook w:firstRow="1"/>
        <w:tblCaption w:val="Mätskalor och information."/>
      </w:tblPr>
      <w:tblGrid/>
      <w:tr>
        <w:trPr>
          <w:cnfStyle w:firstRow="1"/>
        </w:trPr>
        <w:tc>
          <w:tcPr>
            <w:tcBorders>
              <w:bottom w:val="single"/>
            </w:tcBorders>
            <w:vAlign w:val="bottom"/>
          </w:tcPr>
          <w:p>
            <w:pPr>
              <w:pStyle w:val="Compact"/>
              <w:jc w:val="left"/>
            </w:pPr>
            <w:r>
              <w:t xml:space="preserve">Mätskala_Information</w:t>
            </w:r>
          </w:p>
        </w:tc>
        <w:tc>
          <w:tcPr>
            <w:tcBorders>
              <w:bottom w:val="single"/>
            </w:tcBorders>
            <w:vAlign w:val="bottom"/>
          </w:tcPr>
          <w:p>
            <w:pPr>
              <w:pStyle w:val="Compact"/>
              <w:jc w:val="left"/>
            </w:pPr>
            <w:r>
              <w:t xml:space="preserve">Nominal.</w:t>
            </w:r>
          </w:p>
        </w:tc>
        <w:tc>
          <w:tcPr>
            <w:tcBorders>
              <w:bottom w:val="single"/>
            </w:tcBorders>
            <w:vAlign w:val="bottom"/>
          </w:tcPr>
          <w:p>
            <w:pPr>
              <w:pStyle w:val="Compact"/>
              <w:jc w:val="left"/>
            </w:pPr>
            <w:r>
              <w:t xml:space="preserve">Ordinal.</w:t>
            </w:r>
          </w:p>
        </w:tc>
        <w:tc>
          <w:tcPr>
            <w:tcBorders>
              <w:bottom w:val="single"/>
            </w:tcBorders>
            <w:vAlign w:val="bottom"/>
          </w:tcPr>
          <w:p>
            <w:pPr>
              <w:pStyle w:val="Compact"/>
              <w:jc w:val="left"/>
            </w:pPr>
            <w:r>
              <w:t xml:space="preserve">Intervall</w:t>
            </w:r>
          </w:p>
        </w:tc>
        <w:tc>
          <w:tcPr>
            <w:tcBorders>
              <w:bottom w:val="single"/>
            </w:tcBorders>
            <w:vAlign w:val="bottom"/>
          </w:tcPr>
          <w:p>
            <w:pPr>
              <w:pStyle w:val="Compact"/>
              <w:jc w:val="left"/>
            </w:pPr>
            <w:r>
              <w:t xml:space="preserve">Kvot</w:t>
            </w:r>
          </w:p>
        </w:tc>
      </w:tr>
      <w:tr>
        <w:tc>
          <w:p>
            <w:pPr>
              <w:pStyle w:val="Compact"/>
              <w:jc w:val="left"/>
            </w:pPr>
            <w:r>
              <w:t xml:space="preserve">Namn eller kategorier (binära, multiklass)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Ordningsföljd eller rangordning</w:t>
            </w:r>
          </w:p>
        </w:tc>
        <w:tc>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Mätningar med godtycklig nollpunkt</w:t>
            </w:r>
          </w:p>
        </w:tc>
        <w:tc>
          <w:p/>
        </w:tc>
        <w:tc>
          <w:p/>
        </w:tc>
        <w:tc>
          <w:p>
            <w:pPr>
              <w:pStyle w:val="Compact"/>
              <w:jc w:val="left"/>
            </w:pPr>
            <w:r>
              <w:t xml:space="preserve">X</w:t>
            </w:r>
          </w:p>
        </w:tc>
        <w:tc>
          <w:p>
            <w:pPr>
              <w:pStyle w:val="Compact"/>
              <w:jc w:val="left"/>
            </w:pPr>
            <w:r>
              <w:t xml:space="preserve">X</w:t>
            </w:r>
          </w:p>
        </w:tc>
      </w:tr>
      <w:tr>
        <w:tc>
          <w:p>
            <w:pPr>
              <w:pStyle w:val="Compact"/>
              <w:jc w:val="left"/>
            </w:pPr>
            <w:r>
              <w:t xml:space="preserve">Kontinuerliga mätningar med absolut nollpunkt</w:t>
            </w:r>
          </w:p>
        </w:tc>
        <w:tc>
          <w:p/>
        </w:tc>
        <w:tc>
          <w:p/>
        </w:tc>
        <w:tc>
          <w:p/>
        </w:tc>
        <w:tc>
          <w:p>
            <w:pPr>
              <w:pStyle w:val="Compact"/>
              <w:jc w:val="left"/>
            </w:pPr>
            <w:r>
              <w:t xml:space="preserve">X</w:t>
            </w:r>
          </w:p>
        </w:tc>
      </w:tr>
    </w:tbl>
    <w:p>
      <w:pPr>
        <w:pStyle w:val="Brdtext"/>
      </w:pPr>
      <w:r>
        <w:rPr>
          <w:b/>
        </w:rPr>
        <w:t xml:space="preserve">Nominalskala.</w:t>
      </w:r>
      <w:r>
        <w:t xml:space="preserve"> </w:t>
      </w:r>
      <w:r>
        <w:t xml:space="preserve">Det man mäter kan endast delas in i grupper utan inbördesordning. Exempel är kön, yrke och sjukdomstyp. Variabelns olika värden kan endast beskrivas med ord, exempelvis man/kvinna, läkare/sjuksköterska/städare/säljare. För variabler som mäts enligt en nominalskala är det möjligt att beräkna typvärde, men inte median eller aritmetiskt medelvärde.</w:t>
      </w:r>
    </w:p>
    <w:p>
      <w:pPr>
        <w:pStyle w:val="Brdtext"/>
      </w:pPr>
      <w:r>
        <w:rPr>
          <w:b/>
        </w:rPr>
        <w:t xml:space="preserve">Ordinalskala.</w:t>
      </w:r>
      <w:r>
        <w:t xml:space="preserve"> </w:t>
      </w:r>
      <w:r>
        <w:t xml:space="preserve">Variabelns olika värden kan rangordnas, men det går inte att på något meningsfullt sätt ange skillnader eller avstånd mellan värdena. Exempel är utbildning som kan anta värdena grundskola/gymnasium/högskola/forskarutbildning. Det går att ordna värdena efter stigande utbildningsnivå, men man kan inte tilldela en viss utbildning något numeriskt värde. För en variabel mätt enligt denna skala är det möjligt att beräkna typvärde, median och percentiler, men inte aritmetiskt medelvärde. När vi i exempel-experimentet mäter deltagares attityd till Facebook-posters trovärdighet kallar vi detta ordinalskala, men vi behandlar den som en intervallskala av praktiska skäl.</w:t>
      </w:r>
    </w:p>
    <w:p>
      <w:pPr>
        <w:pStyle w:val="Brdtext"/>
      </w:pPr>
      <w:r>
        <w:rPr>
          <w:b/>
        </w:rPr>
        <w:t xml:space="preserve">Intervallskala.</w:t>
      </w:r>
      <w:r>
        <w:t xml:space="preserve"> </w:t>
      </w:r>
      <w:r>
        <w:t xml:space="preserve">I detta fall kan det man mäter tilldelas ett numeriskt värde med ett konstant avstånd mellan de olika värdena. Ett exempel är temperatur mätt i grader Celsius. Det är här meningsfullt att ange skillnaden mellan två mätvärden. 20 grader Celsius är 10 grader varmare än 10 grader Celsius och 30 grader är ytterligare 10 grader varmare. Däremot är det inte riktigt att påstå att det en dag är dubbelt så varmt som föregående dag eftersom nollpunkten är godtycklig och det finns negativa temperaturvärden. För variabler mätta enligt denna skala är det möjligt att beräkna både typvärde, median och aritmetiskt medelvärde.</w:t>
      </w:r>
    </w:p>
    <w:p>
      <w:pPr>
        <w:pStyle w:val="Brdtext"/>
      </w:pPr>
      <w:r>
        <w:rPr>
          <w:b/>
        </w:rPr>
        <w:t xml:space="preserve">Kvotskala.</w:t>
      </w:r>
      <w:r>
        <w:t xml:space="preserve"> </w:t>
      </w:r>
      <w:r>
        <w:t xml:space="preserve">Det som mäts kan beskrivas med ett kontinuerligt varierande numeriskt värde, och det finns ett entydigt sätt att definiera ett nollvärde. Därmed kan man jämföra storleken mellan de olika värdena. Exempel är kroppslängd mätt i centimeter. En person kan vara dubbelt så lång som en annan. Märk väl att det inte är i princip omöjligt att uppmäta negativa värden på en kvotskala. Exempelvis kan en persons samlade ekonomiska tillgångar anta ett negativt värde på en kvotskala om personens skulder överstiger dennes tillgångar. Endast för variabler som mäts enligt en kvotskala är det meningsfullt att multiplicera och dividera mätvärdena. När vi i exempel-experimentet mäter deltagares läsning av texten i Facebook-poster med hjälp av en ögonrörelsemätare, kan vi anse att detta utgör mätvärden på en kvotskala.</w:t>
      </w:r>
    </w:p>
    <w:p>
      <w:pPr>
        <w:pStyle w:val="Rubrik3"/>
      </w:pPr>
      <w:bookmarkStart w:id="58" w:name="mätning-av-subjektiva-responser"/>
      <w:r>
        <w:t xml:space="preserve">7.3.2 Mätning av subjektiva responser</w:t>
      </w:r>
      <w:bookmarkEnd w:id="58"/>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9" w:name="mätning-av-objektiva-responser"/>
      <w:r>
        <w:t xml:space="preserve">7.3.3 Mätning av objektiva responser</w:t>
      </w:r>
      <w:bookmarkEnd w:id="59"/>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60" w:name="beroende-variabler"/>
      <w:r>
        <w:t xml:space="preserve">7.3.4 Beroende variabler</w:t>
      </w:r>
      <w:bookmarkEnd w:id="60"/>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61" w:name="planering-av-mätinstrument"/>
      <w:r>
        <w:t xml:space="preserve">7.3.5 Planering av mätinstrument</w:t>
      </w:r>
      <w:bookmarkEnd w:id="61"/>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2" w:name="rapportering-av-mätinstrument"/>
      <w:r>
        <w:t xml:space="preserve">7.3.6 Rapportering av mätinstrument</w:t>
      </w:r>
      <w:bookmarkEnd w:id="6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3" w:name="experimentella-villkor"/>
      <w:r>
        <w:t xml:space="preserve">7.4 Experimentella villkor</w:t>
      </w:r>
      <w:bookmarkEnd w:id="63"/>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4" w:name="kontroll--och-behandlingsvillkor"/>
      <w:r>
        <w:t xml:space="preserve">7.4.1 Kontroll- och behandlingsvillkor</w:t>
      </w:r>
      <w:bookmarkEnd w:id="64"/>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5" w:name="oberoende-variabler"/>
      <w:r>
        <w:t xml:space="preserve">7.4.2 Oberoende variabler</w:t>
      </w:r>
      <w:bookmarkEnd w:id="65"/>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6" w:name="instruktionsvillkor"/>
      <w:r>
        <w:t xml:space="preserve">7.4.3 Instruktionsvillkor</w:t>
      </w:r>
      <w:bookmarkEnd w:id="66"/>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7" w:name="kontrollvariabler"/>
      <w:r>
        <w:t xml:space="preserve">7.4.4 Kontrollvariabler</w:t>
      </w:r>
      <w:bookmarkEnd w:id="67"/>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8" w:name="utrustning-och-materiel"/>
      <w:r>
        <w:t xml:space="preserve">7.4.5 Utrustning och materiel</w:t>
      </w:r>
      <w:bookmarkEnd w:id="68"/>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9" w:name="planering-av-experimentella-villkor"/>
      <w:r>
        <w:t xml:space="preserve">7.4.6 Planering av experimentella villkor</w:t>
      </w:r>
      <w:bookmarkEnd w:id="69"/>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4"/>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4"/>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4"/>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4"/>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4"/>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70" w:name="rapportering-av-experimentella-villkor"/>
      <w:r>
        <w:t xml:space="preserve">7.4.7 Rapportering av experimentella villkor</w:t>
      </w:r>
      <w:bookmarkEnd w:id="70"/>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71" w:name="experimentell-design"/>
      <w:r>
        <w:t xml:space="preserve">7.5 Experimentell design</w:t>
      </w:r>
      <w:bookmarkEnd w:id="71"/>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2" w:name="instruktioner-och-uppgifter"/>
      <w:r>
        <w:t xml:space="preserve">7.5.1 Instruktioner och uppgifter</w:t>
      </w:r>
      <w:bookmarkEnd w:id="7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3" w:name="randomisering-och-balansering"/>
      <w:r>
        <w:t xml:space="preserve">7.5.2 Randomisering och balansering</w:t>
      </w:r>
      <w:bookmarkEnd w:id="73"/>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4" w:name="mellangruppsdesign"/>
      <w:r>
        <w:t xml:space="preserve">7.5.3 Mellangruppsdesign</w:t>
      </w:r>
      <w:bookmarkEnd w:id="74"/>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75" w:name="inomgruppsdesign"/>
      <w:r>
        <w:t xml:space="preserve">7.5.4 Inomgruppsdesign</w:t>
      </w:r>
      <w:bookmarkEnd w:id="75"/>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6" w:name="upprepade-försök"/>
      <w:r>
        <w:t xml:space="preserve">7.5.5 Upprepade försök</w:t>
      </w:r>
      <w:bookmarkEnd w:id="76"/>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7" w:name="faktoriell-design"/>
      <w:r>
        <w:t xml:space="preserve">7.5.6 Faktoriell design</w:t>
      </w:r>
      <w:bookmarkEnd w:id="77"/>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den matematiska funktionen fakultet (på engelska “factorial”) för att räkna ut att vi kan presentera dessa 6 villkor i hela 720 olika ordningsföljder (6! =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villkorsföljder för tre deltagare. Det viktiga är dock att detta designmönster med två oberoende variabler som “korsas” med varandra (på engelska “crossed experimental design”) tillåter att oss att undersöka effekten av alla nivåer i varje enskild faktor, liksom effekten av alla kombinationer av faktorer (eller interaktioner av faktorer). I exemplet benämns de båda faktorerna som A och B, och nivåerna på respektive faktor numreras från 0 och uppåt. Kontrollvillkoret i den faktoriella designen utgörs av kombinationen av “bild på neutral person” (A0) och “liten bildstorlek” (B0), därefter kommer nästa kombinerade villkor “bild på auktoritetsperson” (A1) och “liten bildstorlek” (B0), och därefter kommer villkoret “bild på neutral person” (A0) och “medel bildstorlek” (B1), och så vidare för alla kombinationer.</w:t>
      </w:r>
    </w:p>
    <w:p>
      <w:pPr>
        <w:pStyle w:val="Rubrik3"/>
      </w:pPr>
      <w:bookmarkStart w:id="78" w:name="individuella-deltagare"/>
      <w:r>
        <w:t xml:space="preserve">7.5.7 Individuella deltagare</w:t>
      </w:r>
      <w:bookmarkEnd w:id="78"/>
    </w:p>
    <w:p>
      <w:pPr>
        <w:pStyle w:val="FirstParagraph"/>
      </w:pPr>
      <w:r>
        <w:t xml:space="preserve">En lite ovanligare experimentdesign som dock samexisterat länge med tidigare diskuterade designer är studier som genomförs med en enda eller endast ett fåtal deltagare. I den engelska metodlitteraturen brukar detta kalls “single-case experimental designs” (förkortat SCED), och i brist på vedertagna svenska motsvarigheter kallar vi designen för individuella eller enskilda deltagare i denna bok (Barlow, Nock, and Hersen</w:t>
      </w:r>
      <w:r>
        <w:t xml:space="preserve"> </w:t>
      </w:r>
      <w:hyperlink w:anchor="ref-barlow2009single">
        <w:r>
          <w:rPr>
            <w:rStyle w:val="Hyperlnk"/>
          </w:rPr>
          <w:t xml:space="preserve">2009</w:t>
        </w:r>
      </w:hyperlink>
      <w:r>
        <w:t xml:space="preserve">). Vid första påseendet kan detta upplägg tyckas gå emot många av de viktigaste principerna “normala” experiment, eller randomiserade kontrollerade försök (på engelska “randomized controlled trials”). Alla utvärderingsdesigner vi hittills diskuterat i detta kapitel tillhör denna bredare kategori av s.k. RCT-studier (Grossman and Mackenzie</w:t>
      </w:r>
      <w:r>
        <w:t xml:space="preserve"> </w:t>
      </w:r>
      <w:hyperlink w:anchor="ref-grossman2005randomized">
        <w:r>
          <w:rPr>
            <w:rStyle w:val="Hyperlnk"/>
          </w:rPr>
          <w:t xml:space="preserve">2005</w:t>
        </w:r>
      </w:hyperlink>
      <w:r>
        <w:t xml:space="preserve">), och SCED gör alltså avsteg från generaliserbarheten hos denna typ av studier, främst genom att fokusera på hur en experimentell behandling påverkar på individnivå snarare än gruppnivå. Inom den kvalitativa forskningen kan detta upplägg kanske jämföras med fallstudier eller case studies.</w:t>
      </w:r>
    </w:p>
    <w:p>
      <w:pPr>
        <w:pStyle w:val="Brdtext"/>
      </w:pPr>
      <w:r>
        <w:t xml:space="preserve">Förespråkare för denna experimentdesign återfinns ofta inom medicinsk och klinisk forskning, där man länge uppmärksammat svårigheter med att använda forskning baserade på den “genomsnittliga personen” och applicera dessa resultat på enskilda individer, eftersom den genomsnittliga personen är väldigt sällsynt eller till och med icke-existerande (Jhangiani, Chiang, and Price</w:t>
      </w:r>
      <w:r>
        <w:t xml:space="preserve"> </w:t>
      </w:r>
      <w:hyperlink w:anchor="ref-jhangiani2015research">
        <w:r>
          <w:rPr>
            <w:rStyle w:val="Hyperlnk"/>
          </w:rPr>
          <w:t xml:space="preserve">2015</w:t>
        </w:r>
      </w:hyperlink>
      <w:r>
        <w:t xml:space="preserve">). Verkliga individer å andra sidan kan vara komplexa patienter som tenderar att exkluderas, eller exempelvis patienter med samsjuklighet. Inom SCED-forskningen vill man alltså kunna dra meningsfulla slutsatser om effekter på en enskild individ (Schork</w:t>
      </w:r>
      <w:r>
        <w:t xml:space="preserve"> </w:t>
      </w:r>
      <w:hyperlink w:anchor="ref-schork2015personalized">
        <w:r>
          <w:rPr>
            <w:rStyle w:val="Hyperlnk"/>
          </w:rPr>
          <w:t xml:space="preserve">2015</w:t>
        </w:r>
      </w:hyperlink>
      <w:r>
        <w:t xml:space="preserve">), vilket är svårt när traditionella forskningsdesigner ofta endast uppvisar moderata effekter, och dessutom med stora individuella variationer. En nyckelaspekt av forskning på individuella deltagare är således att man vill överbrygga klyftan mellan storskalig forskning och klinisk praktik (</w:t>
      </w:r>
      <w:hyperlink r:id="rId79">
        <w:r>
          <w:rPr>
            <w:rStyle w:val="Hyperlnk"/>
          </w:rPr>
          <w:t xml:space="preserve">https://www.nof1sced.org/</w:t>
        </w:r>
      </w:hyperlink>
      <w:r>
        <w:t xml:space="preserve">).</w:t>
      </w:r>
    </w:p>
    <w:p>
      <w:pPr>
        <w:pStyle w:val="Brdtext"/>
      </w:pPr>
      <w:r>
        <w:t xml:space="preserve">På senare år har SCED-forskning blivit vanligare inom samhällsvetenskapliga ämnen såsom psykologi, men det innebär inte att designen är direkt överförbar på exempelvis kommunikationsforskning. Som en tumregel kan man säga att studier med individuella deltagare är relativt beroende av precisa beteendevetenskapliga mätinstrument, exempelvis ögonrörelsemätning eller loggning av webbinteraktion med hög tidsupplösning. Detta tillåter en serie av observationer under en fördefinierad period som innefattar en baslinje med randomiserad längd och (minst) en experimentell manipulation (eller intervention). De flesta</w:t>
      </w:r>
      <w:r>
        <w:t xml:space="preserve"> </w:t>
      </w:r>
      <w:r>
        <w:rPr>
          <w:i/>
        </w:rPr>
        <w:t xml:space="preserve">inomgruppsdesigner</w:t>
      </w:r>
      <w:r>
        <w:t xml:space="preserve"> </w:t>
      </w:r>
      <w:r>
        <w:t xml:space="preserve">skulle antagligen kunna genomföras som single-case experiment. I takt med att vår digitala omvärld genererar allt mer lätttillgänglig data om våra beteenden (tänk på en s.k. smart watch som loggar våra fysiologiska data till en hälsoapp), är det dock inte osannolikt att denna design kommer synas inom fler samhällsvetenskapliga dicipliner. Dessutom undviker denna design behovet av och tillgången till stora forskningssampel, vilket kan göra forskningen enklare att genomföra både avseende tid och kostnader.</w:t>
      </w:r>
    </w:p>
    <w:p>
      <w:pPr>
        <w:pStyle w:val="Rubrik3"/>
      </w:pPr>
      <w:bookmarkStart w:id="80" w:name="naturliga-experiment"/>
      <w:r>
        <w:t xml:space="preserve">7.5.8 Naturliga experiment</w:t>
      </w:r>
      <w:bookmarkEnd w:id="80"/>
    </w:p>
    <w:p>
      <w:pPr>
        <w:pStyle w:val="FirstParagraph"/>
      </w:pPr>
      <w:r>
        <w:t xml:space="preserve">Naturliga experiment aktualiserades nyligen när nobelpriset i ekonomi 2021 tilldelades trion Card Angrist och Imbens. Deras samhällsekonomiska forskning fokuserar bland annat på hur vi kan använda oss av politiska reformer för att kartägga effekter hos medborgare, vilka i denna design kommer att utgöra deltagare. Exempelvis gjorde Angrist en studie som undersöker effekten av sänkt minimilön på arbetslösheten i två delstater i USA, där hypotesen var att sänkt lön kommer göra det enklare för arbetsgivare att anställa personal, vilket därigenom skulle minska arbetslösheten (Angrist</w:t>
      </w:r>
      <w:r>
        <w:t xml:space="preserve"> </w:t>
      </w:r>
      <w:hyperlink w:anchor="ref-angrist1990lifetime">
        <w:r>
          <w:rPr>
            <w:rStyle w:val="Hyperlnk"/>
          </w:rPr>
          <w:t xml:space="preserve">1990</w:t>
        </w:r>
      </w:hyperlink>
      <w:r>
        <w:t xml:space="preserve">; Card, Katz, and Krueger</w:t>
      </w:r>
      <w:r>
        <w:t xml:space="preserve"> </w:t>
      </w:r>
      <w:hyperlink w:anchor="ref-card1994comment">
        <w:r>
          <w:rPr>
            <w:rStyle w:val="Hyperlnk"/>
          </w:rPr>
          <w:t xml:space="preserve">1994</w:t>
        </w:r>
      </w:hyperlink>
      <w:r>
        <w:t xml:space="preserve">). Att ha tydliga förväntningar formulerade på förhand angående effekten av en behandling på en utfallsvariabel är alltså något som naturliga experiment delar med övriga experimentdesigner vi diskuterat. Den stora skillnaden återfinns däremot i hur behandlingarna administreras till en grupp av försöksdeltagare. I naturliga experiment bestämmer inte experimentledaren över kontroll- och behandlingsvillkor, utan istället använder sig forskaren av “naturligt” förekommande skillnader, t.ex. utgör en politisk reform att sänka minimilöner i en delstat behandlingen, medan kontrollvillkoret utgörs av en samhällsekonomiskt jämförbar delstat där ingen förändring av minimilönerna sker. En intressant iakttagelse blir därmed att naturliga experiment till övervägande delen är av typen</w:t>
      </w:r>
      <w:r>
        <w:t xml:space="preserve"> </w:t>
      </w:r>
      <w:r>
        <w:rPr>
          <w:i/>
        </w:rPr>
        <w:t xml:space="preserve">mellangruppsdesign</w:t>
      </w:r>
      <w:r>
        <w:t xml:space="preserve">.</w:t>
      </w:r>
    </w:p>
    <w:p>
      <w:pPr>
        <w:pStyle w:val="Brdtext"/>
      </w:pPr>
      <w:r>
        <w:t xml:space="preserve">En grundläggande tanke i naturliga experiment är att forskare kan använda sig av förändringar som inträffar i samhället för att undersöka hur detta påverkar människors socioekonomiska situation. Istället för att designa ett experiment i förväg, skulle vi alltså kunna samla in relevanta observationer i efterhand (ofta i form av olika registerdata) och generera ny kunskap om sambanden mellan oberoende och beroende variabler. Ur denna synvinkel finns en likhet med naturvetenskaplig forskning, där experimentledaren sätter upp utrustning för att göra mätningar kring något fenomen (), och sedan använder teoretiska modeller för att förklara systematiska skillnader i insamlade mätdata. Men om vi frågar oss om vi skulle kunna genomföra vårt tänkta exempel-experiment med Facebook-poster som ett naturligt experiment, så avgörs svaret av tillgången till observationer och mätdata kring användares beteende på denna plattform. Kan vi som samhällsvetenskapliga forskare till exempel få tillgång till loggar som visar vilka poster användare fått i sitt nyhetsflöde, samt hur de länge de läst samma poster? Denna data finns förvisso på Facebooks datacenter, men det är inte sannolikt att vi kan få tillgång till dem. Detta betyder dock inte att naturliga experiment är irrelevanta för samhällsvetenskap, snarare tvärt om. Vi behöver dock bli uppfinningsrika vad gäller insamling av observationer, exempelvis genom offentliga register, eller etnografiska datainsamlingar (Salganik</w:t>
      </w:r>
      <w:r>
        <w:t xml:space="preserve"> </w:t>
      </w:r>
      <w:hyperlink w:anchor="ref-salganik2019bit">
        <w:r>
          <w:rPr>
            <w:rStyle w:val="Hyperlnk"/>
          </w:rPr>
          <w:t xml:space="preserve">2019</w:t>
        </w:r>
      </w:hyperlink>
      <w:r>
        <w:t xml:space="preserve">).</w:t>
      </w:r>
    </w:p>
    <w:p>
      <w:pPr>
        <w:pStyle w:val="Rubrik3"/>
      </w:pPr>
      <w:bookmarkStart w:id="81" w:name="kvasi-experiment"/>
      <w:r>
        <w:t xml:space="preserve">7.5.9 Kvasi-experiment</w:t>
      </w:r>
      <w:bookmarkEnd w:id="81"/>
    </w:p>
    <w:p>
      <w:pPr>
        <w:pStyle w:val="FirstParagraph"/>
      </w:pPr>
      <w:r>
        <w:t xml:space="preserve">Gränsen mellan naturliga experiment och så kallade kvasi-experiment är delvis flytande. Båda dessa designer gör avsteg från den centrala principen om slumpmässig tilldelning av experimentella villkor till försöksdeltagarna (på engelska “random assignment”). Ett kvasi-experiment kan uppstå om forskaren är intresserad av oberoende variabler som är medfödda hos alla deltagare, t.ex. kön eller personlighetsdrag, och effekten av en sådan “behandling” på någon utfallsvariabel. Ett konkret exempel på detta: enligt den så kallade femfaktor-modellen kan en individs personlighet beskrivas med hjälp av hur högt den rankar på fem olika personlighetsdrag (John, Robins, and Pervin</w:t>
      </w:r>
      <w:r>
        <w:t xml:space="preserve"> </w:t>
      </w:r>
      <w:hyperlink w:anchor="ref-john2010handbook">
        <w:r>
          <w:rPr>
            <w:rStyle w:val="Hyperlnk"/>
          </w:rPr>
          <w:t xml:space="preserve">2010</w:t>
        </w:r>
      </w:hyperlink>
      <w:r>
        <w:t xml:space="preserve">). Om vår forskningsfråga handlar om hur personlighetsdrag påverkar någon beroende variabel, kan vi således inte slumpmässigt tilldela försöksdeltagarna denna behandling, och vi får därmed en “kvasi-oberoende variabel” som vi inte kan variera eller manipulera för att skapa olika experimentella villkor. Framför allt kan vi inte skapa ett egentligt</w:t>
      </w:r>
      <w:r>
        <w:t xml:space="preserve"> </w:t>
      </w:r>
      <w:r>
        <w:rPr>
          <w:i/>
        </w:rPr>
        <w:t xml:space="preserve">kontrollvillkor</w:t>
      </w:r>
      <w:r>
        <w:t xml:space="preserve">, och därför kan vi säga att kvasi-experiment närmar sig fältstudier. Dessutom kan vi tänka oss situationer där det kanske vore oetiskt att slumpmässigt anvisa deltagare till en kontrollgrupp, exempelvis om deltagaren har en sjukdom och därmed behöver en behandling snarare än ett overksamt sockerpiller.</w:t>
      </w:r>
    </w:p>
    <w:p>
      <w:pPr>
        <w:pStyle w:val="Rubrik3"/>
      </w:pPr>
      <w:bookmarkStart w:id="82" w:name="planering-av-experimentdesign"/>
      <w:r>
        <w:t xml:space="preserve">7.5.10 Planering av experimentdesign</w:t>
      </w:r>
      <w:bookmarkEnd w:id="82"/>
    </w:p>
    <w:p>
      <w:pPr>
        <w:pStyle w:val="FirstParagraph"/>
      </w:pPr>
      <w:r>
        <w:t xml:space="preserve">Hur ska vi tänka när vi planerar en experimentdesign? Det är naturligvis många faktorer som spelar in i denna beslutsprocess. En viktig aspekt är att komma ihåg att experimentdesign ofta är en “inkrementell” färdighet som utvecklas mer för varje gång vi genomför en studie, och som dessutom är beroende av både teoretiska (t.ex. lite statistik) och praktiska kunskaper (t.ex. lite programmering). Därför är det viktigt att tänka på att inte göra det för komplicerat för sig själv i början, eftersom detta lätt kan sluta med oanvändbara data. Om det är första gången du genomför ett experiment så gör du antagligen klokt i att testa en enklare design, t.ex. en mellangruppsdesign med ett kontrollvillkor, ett behandlingsvillkor, och en utfallsvariabel. Har du väl fått förståelse för denna design är det sedan enklare att ta sig an en inomgruppsdesign med upprepade försök. Fördelen med en sådan design är att du nu kan förvänta dig bättre och mer träffsäkra resultat. När du har fått lite mer erfarenhet av att planera experiment kan det vara läge att gå vidare till en faktoriell inomgruppsdesign som kanske kombinerar två olika behandlingar. Men även i detta skede är det centralt att hålla designen så enkel som möjligt för att underlätta den efterföljande tolkningen av resultat. Helst inte mer än en 2x2-design.</w:t>
      </w:r>
    </w:p>
    <w:p>
      <w:pPr>
        <w:pStyle w:val="Brdtext"/>
      </w:pPr>
      <w:r>
        <w:t xml:space="preserve">Som en intressant avslutning på planeringen kan vi passa på att nämna att det ibland kan fungera att göra flera experiment vid samma tillfälle, och med samma deltagare, men med olika stimuli och villkor. Experimenten kan då varvas eller köras i turordning. Detta kan medföra stora effektiviseringar eftersom vi då inte behöver rektrytera deltagare två gånger. Nackdelen med denna design kan dock vara att experimenten tar lång tid för deltagaren att genomföra. Det är sällan uppskattat att ett experiment tar mer än 40-60 minuter att bli klar med.</w:t>
      </w:r>
    </w:p>
    <w:p>
      <w:pPr>
        <w:pStyle w:val="Rubrik3"/>
      </w:pPr>
      <w:bookmarkStart w:id="83" w:name="rapportering-av-experimentdesign"/>
      <w:r>
        <w:t xml:space="preserve">7.5.11 Rapportering av experimentdesign</w:t>
      </w:r>
      <w:bookmarkEnd w:id="83"/>
    </w:p>
    <w:p>
      <w:pPr>
        <w:pStyle w:val="FirstParagraph"/>
      </w:pPr>
      <w:r>
        <w:t xml:space="preserve">När du ska rapportera din experimentdesign i en uppsats, avhandling, eller artikel, så är det viktigt att bekanta sig med tidigare forskning inom det aktuella ämnet, men också med experimentell forskningslitteratur generellt. Här kan du hitta gott om upparbetade “formler” för hur du så effektivt och koncist som möjligt kan rapportera just den experimentdesign du själv använt dig av. Tänk på att rapportera designen så att läsaren kan förstå den så pass väl att den kan upprepa ditt experiment. Här kan det också vara intressant att beskriva designaspekter som är lite mer övergripande, t.ex. om deltagarna i vårt tänkta exempel-experiment fick titta på Facebook-posterna så länge de själva ville (på engelska kallas detta ibland “self-paced trials”), eller om visningen av Facebook-posterna avslutades automatiskt efter en bestämd tidsperiod. Just denna aspekt kan också betraktas som del av rapporteringen av experimentella villkor som togs upp i föregående avsnitt.</w:t>
      </w:r>
    </w:p>
    <w:p>
      <w:pPr>
        <w:pStyle w:val="Rubrik2"/>
      </w:pPr>
      <w:bookmarkStart w:id="84" w:name="procedur"/>
      <w:r>
        <w:t xml:space="preserve">7.6 Procedur</w:t>
      </w:r>
      <w:bookmarkEnd w:id="84"/>
    </w:p>
    <w:p>
      <w:pPr>
        <w:pStyle w:val="FirstParagraph"/>
      </w:pPr>
      <w:r>
        <w:t xml:space="preserve">När vi är klara med experimentets design, och har testat så att denna design fungerar som det är tänkt, så är det dags att låta en grupp med människor delta i experimentet. Detta deltagande vill vi inte ska ske hur som helst, utan vi vill att det ska vara så lika som möjligt för alla deltagare. Varför är detta viktigt? Jo, för att vi hoppas att det</w:t>
      </w:r>
      <w:r>
        <w:t xml:space="preserve"> </w:t>
      </w:r>
      <w:r>
        <w:rPr>
          <w:i/>
        </w:rPr>
        <w:t xml:space="preserve">bara</w:t>
      </w:r>
      <w:r>
        <w:t xml:space="preserve"> </w:t>
      </w:r>
      <w:r>
        <w:t xml:space="preserve">är experimentets villkor som ska påverka deltagarna, och inte alla mer eller mindre oväsentliga detaljer som händer runt omkring själva deltagandet. Därför upprättar vi något som kallas procedur (på engelska “procedure”) för att så långt som möjligt standardisera hur deltagarna genomgår experimentet. Proceduren kan alltså liknas vid ett inrepeterat framförande av en teaterpjäs, men med skillnaden att fokus inte ligger på kreativ tolkning, utan på att så exakt som möjligt upprepa samma genomförande för alla deltagare. Här kan vi börja förstå vikten av att pilottesta experimentet innan så att vi har tränat på alla moment; vi vill ju helst inte att de första deltagarna får en annan procedur än de som kommer senare (dvs vi vill exkludera ordningseffekter). Vi kan också börja förstå varför experiment ofta förknippas med laboratorier, eftersom denna miljö kan ge bättre möjligheter att hålla alla externa faktorer så konstanta som möjligt, vilket i sin tur ökar andra forskares möjligheter att replikera våra resultat.</w:t>
      </w:r>
    </w:p>
    <w:p>
      <w:pPr>
        <w:pStyle w:val="Brdtext"/>
      </w:pPr>
      <w:r>
        <w:t xml:space="preserve">Ett överdrivet fokus på procedur kanske också kan förklara varför experiment ibland har en något negativ associering med kontroll. Även om en likvärdig procedur är viktigt inom experimentell metod, så finns det naturligvis alternativ, exemplevis survey-experiment, vilket kan innebära att deltagarna får en webbenkät som de fyller i där de för tillfället råkar befinna sig (hemmet, jobbet, morgon, kväll osv). Vid ett sådant genomförande kan vi dock förvänta oss att brusnivån i våra data oundvikligen blir högre och att effektstorlekar och möjligheter att hitta meningsfulla mönster blir mindre. (Dessutom utgörs ju observationerna i ett survey-experiment av självrapporterad data, vilket också kan bidra till brus, men det behandlar vi på andra ställen i denna bok.) I det följande kommer vi att försöka behandla de viktigaste och mest återkommande momenten i en experimentell procedur i kronologisk ordning. Vi kan tänka på detta som samtliga delar i experimentet såsom de möter försöksdeltagaren. Dessa delar innefattar välkomsthälsning, informerat samtycke, förtest (baslinje), applicera mätutrustning, instruktioner och uppgifter, eftertest, samt debriefing och ersättning.</w:t>
      </w:r>
    </w:p>
    <w:p>
      <w:pPr>
        <w:pStyle w:val="Rubrik3"/>
      </w:pPr>
      <w:bookmarkStart w:id="85" w:name="välkomsthälsning"/>
      <w:r>
        <w:t xml:space="preserve">7.6.1 Välkomsthälsning</w:t>
      </w:r>
      <w:bookmarkEnd w:id="85"/>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genomförandet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välkomsthälsningen är dock att experimentledaren inte bör säga för mycket om vad det kommande experimentet går ut, och därigenom skapa en förutfattad mening hos deltagaren.</w:t>
      </w:r>
    </w:p>
    <w:p>
      <w:pPr>
        <w:pStyle w:val="Rubrik3"/>
      </w:pPr>
      <w:bookmarkStart w:id="86" w:name="informerat-samtycke"/>
      <w:r>
        <w:t xml:space="preserve">7.6.2 Informerat samtycke</w:t>
      </w:r>
      <w:bookmarkEnd w:id="86"/>
    </w:p>
    <w:p>
      <w:pPr>
        <w:pStyle w:val="FirstParagraph"/>
      </w:pPr>
      <w:r>
        <w:t xml:space="preserve">Den forskningsetiska utvecklingen under de senaste decennierna har syftat till att stärka försöksdeltagarnas rättigheter gentemot de privata och offentliga organisationer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Denna aspekt av humanforskning finns kvar idag, och man kan säga att de forskningsetiska reglerna kring informerat samtycke sedermera har inkorporerats och blivit en del av GDPR, som är ett betydligt större och mer omfattande regelverk. Men vad innebär då allt detta för genomförandet av ett experiment? Enkelt uttryckt innebär det att forskaren på förhand måste ha klart för sig vilken typ av data experimentet kommer samla in, samt om denna data är att betrakta som känsliga personuppgifter. Känsliga personuppgifter är data som kan användas för att identifiera en individ, t.ex. kontaktuppgifter, eller data om politiska åsikter och religionstillhörighet, samt biologiska eller biometriska data. Insamling av denna typ av uppgifter kräver etisk prövning, vilket vi inte kommer ta upp i denna bok.</w:t>
      </w:r>
    </w:p>
    <w:p>
      <w:pPr>
        <w:pStyle w:val="Brdtext"/>
      </w:pPr>
      <w:r>
        <w:t xml:space="preserve">I denna bok utgår vi istället från ett exempel-experiment där deltagarna får interagera med manipulerade Facebook-poster i en laboratoriemiljö medan vi (studenter, forskare) mäter deras ögonrörelser och attityder till posternas trovärdighet. En sådan datainsamling berörs inte av etikprövningslagen, men omfattas fortfarande av GDPR. Tänk på att om deltagaren är yngre än femton år så måste medgivande från alla vårdnadshavare inhämtas i förväg. Informerat samtycke lämnas oftast genom att experimentledare ger deltagaren ett papper med utskriven information, vilket deltagaren ges tid att läsa igenom och sedan underteckna om den godkänner villkoren. Informerat samtycke kallas ibland även forskningspersonsinformation, och nedan återges en stödmall till forskningspersonsinformation från Etikprövningsmyndigheten (uppdaterad 1 juni 2021). Generellt bör man tänka på att använda ett enkelt språk, undvika svåra ord och ovanliga förkortningar, samt undvika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Vid behov anges att ansökan är godkänd av Etikprövningsmyndigheten, samt diarienummer för prövningen.</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7" w:name="förtest"/>
      <w:r>
        <w:t xml:space="preserve">7.6.3 Förtest</w:t>
      </w:r>
      <w:bookmarkEnd w:id="87"/>
    </w:p>
    <w:p>
      <w:pPr>
        <w:pStyle w:val="FirstParagraph"/>
      </w:pPr>
      <w:r>
        <w:t xml:space="preserve">Ett förtest kan se ut på lite olika sätt. Den vanligaste varianten är att experimentledaren vill låta deltagaren prova på experimentet först för att försäkra sig om att deltagaren förstår eventuella uppgifter, samt hur den ska interagera med det experimentmaterial som oftast visas på en datorskärm (t.ex. musklick och/eller tangentbord). Detta görs ofta för att undvika att den första försöksomgången skiljer sig för mycket från de efterföljande (brusskapande ordningseffekt), vilket blir särskilt aktuellt i samband med inomgruppsdesigner med upprepade försök. En annan variant är att forskaren med hjälp av ett förtest vill samla in ytterligare data som kan användas som kontrollvariabler eller bakgrundsvariabler till det egentliga experimentet.</w:t>
      </w:r>
    </w:p>
    <w:p>
      <w:pPr>
        <w:pStyle w:val="Rubrik3"/>
      </w:pPr>
      <w:bookmarkStart w:id="88" w:name="applicera-mätutrustning"/>
      <w:r>
        <w:t xml:space="preserve">7.6.4 Applicera mätutrustning</w:t>
      </w:r>
      <w:bookmarkEnd w:id="88"/>
    </w:p>
    <w:p>
      <w:pPr>
        <w:pStyle w:val="FirstParagraph"/>
      </w:pPr>
      <w:r>
        <w:t xml:space="preserve">Här blir det särskilt tydligt att denna bok tar avstamp i experiment som innefattar objektiva mätningar i laboratoriemiljö, eftersom det naturligvis inte alltid är fallet att vi använder beteendevetenskaplig eller fysiologisk mätutrustning som behöver fästas mot deltagarens kropp. I exempel-experimentet använder vi dock ögonrörelsemätning, vilket sannolikt skulle skapa en situation där vi som experimentledare först måste säkerställa att mätutrustningen är individuellt anpassad till deltagaren så att instrumentet genererar korrekt mätdata. Denna procedur brukar kallas kalibrering, och kräver att experimentledaren är väl förtrogen med hur alla delar i mätutrustningen fungerar (sensorer, dator, programvara, etc). Mäter vi blickbeteende med en video-baserad ögonrörelsemätare som filmar deltagarens ögon på avstånd, kan det exempelvis hända att en deltagare använder glasögon som gör det svårt att samla in data utan att först kanske höja eller sänka stolen, eller luta skärmen på ett visst sätt. I ett renodlat survey-experiment slipper man kanske helt detta moment eftersom enkätfrågorna utgör mätinstrumentet.</w:t>
      </w:r>
    </w:p>
    <w:p>
      <w:pPr>
        <w:pStyle w:val="Rubrik3"/>
      </w:pPr>
      <w:bookmarkStart w:id="89" w:name="instruktioner-och-uppgifter-1"/>
      <w:r>
        <w:t xml:space="preserve">7.6.5 Instruktioner och uppgifter</w:t>
      </w:r>
      <w:bookmarkEnd w:id="89"/>
    </w:p>
    <w:p>
      <w:pPr>
        <w:pStyle w:val="FirstParagraph"/>
      </w:pPr>
      <w:r>
        <w:t xml:space="preserve">Detta avsnitt syftar tillbaka på en tidigare diskussion av instruktionernas betydelse för experimentet som helhet</w:t>
      </w:r>
      <w:r>
        <w:t xml:space="preserve"> </w:t>
      </w:r>
      <w:hyperlink w:anchor="sub07.5.1">
        <w:r>
          <w:rPr>
            <w:rStyle w:val="Hyperlnk"/>
          </w:rPr>
          <w:t xml:space="preserve">7.5.1</w:t>
        </w:r>
      </w:hyperlink>
      <w:r>
        <w:t xml:space="preserve">. Här fokuserar vi dock på den mer konkreta situationen när våra försöksdeltagare möter instruktionerna som en del av den experimentella proceduren. Det är ganska vanligt att instruktioner ges både verbalt och på skärm, samt i flera olika steg, innan deltagaren sätter igång med det egentliga experimentet. Instruktioner avser i grund och botten att göra experimentet standardiserat och likvärdigt för alla deltagare, vilket kan antas minska brus på grund av missförstånd. För att uppnå detta krävs dock att instruktionerna är</w:t>
      </w:r>
      <w:r>
        <w:t xml:space="preserve"> </w:t>
      </w:r>
      <w:r>
        <w:rPr>
          <w:i/>
        </w:rPr>
        <w:t xml:space="preserve">mycket korta och lättbegripliga</w:t>
      </w:r>
      <w:r>
        <w:t xml:space="preserve">!</w:t>
      </w:r>
    </w:p>
    <w:p>
      <w:pPr>
        <w:pStyle w:val="Brdtext"/>
      </w:pPr>
      <w:r>
        <w:t xml:space="preserve">Uppgifter kan erbjuda möjligheter mäta deltagarnas prestationsförmåga under olika experimentella villkor. I fallet med vårt exempel-experiment skulle instruktionerna kunna vara något i stil med “läs först Facebook-posterna som kommer visas på skärmen och bedöm sedan trovärdigheten genom att markera på en skala”. I lite mer avancerade experiment kan den skarpa uppgiften döljas, och istället ges en skenuppgift till deltagarna för att hålla dem helt omedvetna om experimentets syfte och därigenom undvika bias. Detta upplägg kan naturligtvis vara problematiskt att lösa inom webbaserade survey-experiment.</w:t>
      </w:r>
    </w:p>
    <w:p>
      <w:pPr>
        <w:pStyle w:val="Rubrik3"/>
      </w:pPr>
      <w:bookmarkStart w:id="90" w:name="under-experimentets-gång"/>
      <w:r>
        <w:t xml:space="preserve">7.6.6 Under experimentets gång</w:t>
      </w:r>
      <w:bookmarkEnd w:id="90"/>
    </w:p>
    <w:p>
      <w:pPr>
        <w:pStyle w:val="FirstParagraph"/>
      </w:pPr>
      <w:r>
        <w:t xml:space="preserve">När deltagaren lämnat informerat samtycke, genomgått eventuella förtest, eventuellt fått fysisk mätutrustning applicerad, samt tagit del av instruktioner, är det dags att sätta igång experimentet. Här är det viktigt att etablera en länk mellan deltagaren och dess data. Ett smidigt sätt att lösa detta på är att deltagaren ges ett unikt och anonymiserat deltagarnummer som experimentledaren matar in i samband med att experimentet startar. I övrigt är det viktigt att experimentledaren nu i så liten utsträckning som möjligt påverkar deltagaren. Ibland uppnår man detta genom att experimentledaren lämnar rummet som deltagaren sitter i, alternativt kan experimentledaren sätta sig bakom en skärm i samma rum. Ofta är det dock önskvärt att experimentledaren kontinuerligt kan övervaka att experimentet fortlöper på rätt sätt och kan hjälpa till om något oförutsett inträffar. Generellt är det viktigt med så lite störande moment som möjligt under experimentets gång, samt att vi försäkrar oss om att insamlad data sparas och helst backas upp direkt.</w:t>
      </w:r>
    </w:p>
    <w:p>
      <w:pPr>
        <w:pStyle w:val="Rubrik3"/>
      </w:pPr>
      <w:bookmarkStart w:id="91" w:name="debriefing-och-ersättning"/>
      <w:r>
        <w:t xml:space="preserve">7.6.7 Debriefing och ersättning</w:t>
      </w:r>
      <w:bookmarkEnd w:id="91"/>
    </w:p>
    <w:p>
      <w:pPr>
        <w:pStyle w:val="FirstParagraph"/>
      </w:pPr>
      <w:r>
        <w:t xml:space="preserve">Efter att experimentet är avklarat är det vanligt att experimentledaren ställer några frågor för att kontrollera hur deltagaren upplevde procedur, stimuli och interaktion. Om den tyckte att något moment var svårt, eller att någon instruktion var otydlig. Denna feedback är naturligtvis särskilt viktig medan vi pilottestar experimentet, eftersom det ger oss möjlighet att successivt förbättra alla delar inför skarpa deltagare. Under experimentets gång är det lika viktigt att vi</w:t>
      </w:r>
      <w:r>
        <w:t xml:space="preserve"> </w:t>
      </w:r>
      <w:r>
        <w:rPr>
          <w:i/>
        </w:rPr>
        <w:t xml:space="preserve">inte</w:t>
      </w:r>
      <w:r>
        <w:t xml:space="preserve"> </w:t>
      </w:r>
      <w:r>
        <w:t xml:space="preserve">förändrar själva experimentet, däremot kan vi göra minde justeringar av proceduren och eventuellt även instruktionerna. I samband med detta brukar vi också göra en manipulationskontroll för att ta reda på om någon deltagare förstod vad experimentet gick ut på, dvs. hur kontrollvillkor och behandling manipulerats i försöket (på engelska “manipulation check”). Helst ska detta inte inträffa alls, men om ett fåtal deltagare förstått manipulationen, kan dessa markeras och senare exkluderas från dataanalysen. Därefter är det vanligt att deltagaren får någon form av ersättning som tack för sin insats, t.ex. biobiljett, presentkort eller dylikt (dock inte pengar eftersom detta kan räknas som lön), samt undertecknar att den mottagit ersättningen.</w:t>
      </w:r>
    </w:p>
    <w:p>
      <w:pPr>
        <w:pStyle w:val="Rubrik3"/>
      </w:pPr>
      <w:bookmarkStart w:id="92" w:name="planering-av-procedur"/>
      <w:r>
        <w:t xml:space="preserve">7.6.8 Planering av procedur</w:t>
      </w:r>
      <w:bookmarkEnd w:id="92"/>
    </w:p>
    <w:p>
      <w:pPr>
        <w:pStyle w:val="FirstParagraph"/>
      </w:pPr>
      <w:r>
        <w:t xml:space="preserve">Planeringen av hur deltagarna kommer att genomgå experimentet börjar egentligen redan med förstudier och pilottest. Denna planering kommer hjälpa dig att förklara för deltagaren hur experimentet kommer att gå till och hur mycket tid det kommer ta att delta. Detta är viktigt för att deltagarna ska ha rätt förväntningar när de kommer till din experimentlokal. Som vi har diskuterat tidigare är det lämpligt att schemalägga deltagare så att så många som möjligt kan delta på effektivaste möjliga sätt, men tänk också på att schemalägga tillräckligt mycket tid mellan varje deltagare ifall något oförutsett skulle inträffa. Skriv gärna ut ett antal papper med informerat samtycke, och passa kanske även på att för hand skriva en unik deltagarkod på varje papper. På så vis har du anonymiserat deltagaren när den sedan skriver in sin kod när experimentet börjar. Samtidigt har du en koppling mellan anonym deltagarkod och individ på fysiskt papper där deltagaren undertecknat sitt informerade samtycke. Denna kodnyckel kan du sedan vid behov förstöra eller förvara i säkerhetsskåp. I samband med proceduren (välkomsthälsning och informerat samtycke) är det viktigt att tänka på att informera om vilka data som samlas in (beroende variabler), men</w:t>
      </w:r>
      <w:r>
        <w:t xml:space="preserve"> </w:t>
      </w:r>
      <w:r>
        <w:rPr>
          <w:i/>
        </w:rPr>
        <w:t xml:space="preserve">inte</w:t>
      </w:r>
      <w:r>
        <w:t xml:space="preserve"> </w:t>
      </w:r>
      <w:r>
        <w:t xml:space="preserve">vilka manipulationer som gjorts (oberoende variabler). Vi vill ju att deltagaren är så naiv eller omedveten som möjligt om experimentets villkor, eftersom vi annars riskerar att fånga ett onaturligt eller icke-representativt beteende.</w:t>
      </w:r>
    </w:p>
    <w:p>
      <w:pPr>
        <w:pStyle w:val="Rubrik3"/>
      </w:pPr>
      <w:bookmarkStart w:id="93" w:name="rapportering-av-procedur"/>
      <w:r>
        <w:t xml:space="preserve">7.6.9 Rapportering av procedur</w:t>
      </w:r>
      <w:bookmarkEnd w:id="93"/>
    </w:p>
    <w:p>
      <w:pPr>
        <w:pStyle w:val="FirstParagraph"/>
      </w:pPr>
      <w:r>
        <w:t xml:space="preserve">När du rapporterar experimentets procedur kan det vara fördelaktigt att hålla sig till de avsnitt som behandlats i detta kapitel, dvs i tur och ording: Välkomsthälsning, Informerat samtycke, Förtest, Applicera mätutrustning, Instruktioner och uppgifter, Under experimentets gång, Debriefing och ersättning. Om du skriver ett par kortfattade meningar om dessa delar i proceduren så brukar det vara tillräckligt för att andra forskare ska kunna upprepa studien.</w:t>
      </w:r>
    </w:p>
    <w:p>
      <w:pPr>
        <w:pStyle w:val="Rubrik2"/>
      </w:pPr>
      <w:bookmarkStart w:id="94" w:name="dataanalys"/>
      <w:r>
        <w:t xml:space="preserve">7.7 Dataanalys</w:t>
      </w:r>
      <w:bookmarkEnd w:id="94"/>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5" w:name="fysiologiska-mätdata"/>
      <w:r>
        <w:t xml:space="preserve">7.7.1 Fysiologiska mätdata</w:t>
      </w:r>
      <w:bookmarkEnd w:id="95"/>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6" w:name="självrapporterade-mätdata"/>
      <w:r>
        <w:t xml:space="preserve">7.7.2 Självrapporterade mätdata</w:t>
      </w:r>
      <w:bookmarkEnd w:id="96"/>
    </w:p>
    <w:p>
      <w:pPr>
        <w:pStyle w:val="FirstParagraph"/>
      </w:pPr>
      <w:r>
        <w:t xml:space="preserve">Den andra viktiga beroende variabeln i experimentet var förtroende, tillit..</w:t>
      </w:r>
    </w:p>
    <w:p>
      <w:pPr>
        <w:pStyle w:val="Rubrik3"/>
      </w:pPr>
      <w:bookmarkStart w:id="97" w:name="planering-av-dataanalys"/>
      <w:r>
        <w:t xml:space="preserve">7.7.3 Planering av dataanalys</w:t>
      </w:r>
      <w:bookmarkEnd w:id="97"/>
    </w:p>
    <w:p>
      <w:pPr>
        <w:pStyle w:val="FirstParagraph"/>
      </w:pPr>
      <w:r>
        <w:t xml:space="preserve">Hur lång tid kan man låta ett experiment ta.</w:t>
      </w:r>
    </w:p>
    <w:p>
      <w:pPr>
        <w:pStyle w:val="Rubrik3"/>
      </w:pPr>
      <w:bookmarkStart w:id="98" w:name="rapportering-av-dataanalys"/>
      <w:r>
        <w:t xml:space="preserve">7.7.4 Rapportering av dataanalys</w:t>
      </w:r>
      <w:bookmarkEnd w:id="98"/>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Brdtext"/>
      </w:pPr>
      <w:r>
        <w:t xml:space="preserve">Genomförandet av experimentet kräver alltså mycket arbete innan vi kommit till den punkt där vi utvecklar en standardiserad procedur genom vilken försökspersonerna deltar i experimentet. Den sista fasen av genomförandet består av en dataanalys där vi bearbetar den rådata experimentet genererat och förbereder den för statistisk analys i studiens efterarbete.</w:t>
      </w:r>
    </w:p>
    <w:p>
      <w:pPr>
        <w:pStyle w:val="Rubrik1"/>
      </w:pPr>
      <w:bookmarkStart w:id="99" w:name="efterarbete"/>
      <w:r>
        <w:t xml:space="preserve">8 Efterarbete</w:t>
      </w:r>
      <w:bookmarkEnd w:id="99"/>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100" w:name="resultat"/>
      <w:r>
        <w:t xml:space="preserve">8.1 Resultat</w:t>
      </w:r>
      <w:bookmarkEnd w:id="100"/>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101" w:name="beskrivande-resultat"/>
      <w:r>
        <w:t xml:space="preserve">8.1.1 Beskrivande resultat</w:t>
      </w:r>
      <w:bookmarkEnd w:id="101"/>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3" w:name="inferentiella-resultat"/>
      <w:r>
        <w:t xml:space="preserve">8.1.2 Inferentiella resultat</w:t>
      </w:r>
      <w:bookmarkEnd w:id="103"/>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4"/>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5"/>
        </w:numPr>
      </w:pPr>
      <w:r>
        <w:t xml:space="preserve">H1: Facebook-poster med bild på en auktoritetsperson kommer att orsaka mer visuell uppmärksamhet på posten jämfört med bilder som innehåller en neutral person.</w:t>
      </w:r>
    </w:p>
    <w:p>
      <w:pPr>
        <w:numPr>
          <w:ilvl w:val="0"/>
          <w:numId w:val="1005"/>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5" w:name="rapportering-av-resultat"/>
      <w:r>
        <w:t xml:space="preserve">8.1.3 Rapportering av resultat</w:t>
      </w:r>
      <w:bookmarkEnd w:id="105"/>
    </w:p>
    <w:p>
      <w:pPr>
        <w:pStyle w:val="FirstParagraph"/>
      </w:pPr>
      <w:r>
        <w:t xml:space="preserve">Använd gärna detta mönster “Effects of sentiment measures on user engagement” vid presentation av resultat från regressionsanalys, dvs. “effekten av prediktor XYZ på utfallsvariabel ABC” (</w:t>
      </w:r>
      <w:hyperlink r:id="rId106">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7" w:name="diskussion"/>
      <w:r>
        <w:t xml:space="preserve">8.2 Diskussion</w:t>
      </w:r>
      <w:bookmarkEnd w:id="107"/>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8" w:name="förväntade-och-faktiska-resultat"/>
      <w:r>
        <w:t xml:space="preserve">8.2.1 Förväntade och faktiska resultat</w:t>
      </w:r>
      <w:bookmarkEnd w:id="108"/>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t xml:space="preserve">Typ I- och Typ II-fel.</w:t>
      </w:r>
    </w:p>
    <w:p>
      <w:pPr>
        <w:pStyle w:val="TableCaption"/>
      </w:pPr>
      <w:r>
        <w:t xml:space="preserve">Typ I- och Typ II-fel.</w:t>
      </w:r>
    </w:p>
    <w:tbl>
      <w:tblPr>
        <w:tblStyle w:val="Table"/>
        <w:tblW w:type="pct" w:w="0.0"/>
        <w:tblLook w:firstRow="1"/>
        <w:tblCaption w:val="Typ I- och Typ II-fel."/>
      </w:tblPr>
      <w:tblGrid/>
      <w:tr>
        <w:trPr>
          <w:cnfStyle w:firstRow="1"/>
        </w:trPr>
        <w:tc>
          <w:tcPr>
            <w:tcBorders>
              <w:bottom w:val="single"/>
            </w:tcBorders>
            <w:vAlign w:val="bottom"/>
          </w:tcPr>
          <w:p>
            <w:pPr>
              <w:pStyle w:val="Compact"/>
              <w:jc w:val="left"/>
            </w:pPr>
            <w:r>
              <w:t xml:space="preserve">Nollhypotesen.är…</w:t>
            </w:r>
          </w:p>
        </w:tc>
        <w:tc>
          <w:tcPr>
            <w:tcBorders>
              <w:bottom w:val="single"/>
            </w:tcBorders>
            <w:vAlign w:val="bottom"/>
          </w:tcPr>
          <w:p>
            <w:pPr>
              <w:pStyle w:val="Compact"/>
              <w:jc w:val="left"/>
            </w:pPr>
            <w:r>
              <w:t xml:space="preserve">Sann</w:t>
            </w:r>
          </w:p>
        </w:tc>
        <w:tc>
          <w:tcPr>
            <w:tcBorders>
              <w:bottom w:val="single"/>
            </w:tcBorders>
            <w:vAlign w:val="bottom"/>
          </w:tcPr>
          <w:p>
            <w:pPr>
              <w:pStyle w:val="Compact"/>
              <w:jc w:val="left"/>
            </w:pPr>
            <w:r>
              <w:t xml:space="preserve">Falsk</w:t>
            </w:r>
          </w:p>
        </w:tc>
      </w:tr>
      <w:tr>
        <w:tc>
          <w:p>
            <w:pPr>
              <w:pStyle w:val="Compact"/>
              <w:jc w:val="left"/>
            </w:pPr>
            <w:r>
              <w:t xml:space="preserve">Förkastas</w:t>
            </w:r>
          </w:p>
        </w:tc>
        <w:tc>
          <w:p>
            <w:pPr>
              <w:pStyle w:val="Compact"/>
              <w:jc w:val="left"/>
            </w:pPr>
            <w:r>
              <w:t xml:space="preserve">Typ I-fel, Falsk positiv</w:t>
            </w:r>
          </w:p>
        </w:tc>
        <w:tc>
          <w:p>
            <w:pPr>
              <w:pStyle w:val="Compact"/>
              <w:jc w:val="left"/>
            </w:pPr>
            <w:r>
              <w:t xml:space="preserve">Korrekt beslut, Sann positiv</w:t>
            </w:r>
          </w:p>
        </w:tc>
      </w:tr>
      <w:tr>
        <w:tc>
          <w:p>
            <w:pPr>
              <w:pStyle w:val="Compact"/>
              <w:jc w:val="left"/>
            </w:pPr>
            <w:r>
              <w:t xml:space="preserve">Förkastas inte</w:t>
            </w:r>
          </w:p>
        </w:tc>
        <w:tc>
          <w:p>
            <w:pPr>
              <w:pStyle w:val="Compact"/>
              <w:jc w:val="left"/>
            </w:pPr>
            <w:r>
              <w:t xml:space="preserve">Korrekt slutsats, Sann negativ</w:t>
            </w:r>
          </w:p>
        </w:tc>
        <w:tc>
          <w:p>
            <w:pPr>
              <w:pStyle w:val="Compact"/>
              <w:jc w:val="left"/>
            </w:pPr>
            <w:r>
              <w:t xml:space="preserve">Typ II-fel, Falsk negativ</w:t>
            </w:r>
          </w:p>
        </w:tc>
      </w:tr>
    </w:tbl>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09" w:name="alternativa-förklaringar-till-resultat"/>
      <w:r>
        <w:t xml:space="preserve">8.2.2 Alternativa förklaringar till resultat</w:t>
      </w:r>
      <w:bookmarkEnd w:id="109"/>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10" w:name="kontextualisering-och-framtida-forskning"/>
      <w:r>
        <w:t xml:space="preserve">8.2.3 Kontextualisering och framtida forskning</w:t>
      </w:r>
      <w:bookmarkEnd w:id="110"/>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6"/>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1" w:name="publicering"/>
      <w:r>
        <w:t xml:space="preserve">8.3 Publicering</w:t>
      </w:r>
      <w:bookmarkEnd w:id="111"/>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2" w:name="öppen-vetenskap"/>
      <w:r>
        <w:t xml:space="preserve">8.3.1 Öppen vetenskap</w:t>
      </w:r>
      <w:bookmarkEnd w:id="112"/>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3" w:name="vetenskapliga-tidskrifter"/>
      <w:r>
        <w:t xml:space="preserve">8.3.2 Vetenskapliga tidskrifter</w:t>
      </w:r>
      <w:bookmarkEnd w:id="113"/>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4">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5" w:name="sakkunniggranskning"/>
      <w:r>
        <w:t xml:space="preserve">8.3.3 Sakkunniggranskning</w:t>
      </w:r>
      <w:bookmarkEnd w:id="115"/>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6" w:name="planering-av-publicering"/>
      <w:r>
        <w:t xml:space="preserve">8.3.4 Planering av publicering</w:t>
      </w:r>
      <w:bookmarkEnd w:id="116"/>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7" w:name="del-3"/>
      <w:r>
        <w:t xml:space="preserve">Del 3</w:t>
      </w:r>
      <w:bookmarkEnd w:id="117"/>
    </w:p>
    <w:p>
      <w:pPr>
        <w:pStyle w:val="FirstParagraph"/>
      </w:pPr>
      <w:r>
        <w:t xml:space="preserve">I denna del av boken följer vi utvecklingen och genomförandet av ett samhällsvetenskapligt experiment.</w:t>
      </w:r>
    </w:p>
    <w:p>
      <w:pPr>
        <w:pStyle w:val="Rubrik1"/>
      </w:pPr>
      <w:bookmarkStart w:id="118" w:name="kapitel"/>
      <w:r>
        <w:t xml:space="preserve">9 Kapitel</w:t>
      </w:r>
      <w:bookmarkEnd w:id="118"/>
    </w:p>
    <w:p>
      <w:pPr>
        <w:pStyle w:val="FirstParagraph"/>
      </w:pPr>
      <w:r>
        <w:t xml:space="preserve">some line</w:t>
      </w:r>
    </w:p>
    <w:p>
      <w:pPr>
        <w:pStyle w:val="Rubrik1"/>
      </w:pPr>
      <w:bookmarkStart w:id="119" w:name="references"/>
      <w:r>
        <w:t xml:space="preserve">References</w:t>
      </w:r>
      <w:bookmarkEnd w:id="119"/>
    </w:p>
    <w:p>
      <w:pPr>
        <w:pStyle w:val="FirstParagraph"/>
      </w:pPr>
      <w:r>
        <w:t xml:space="preserve">Angrist, Joshua D. 1990. “Lifetime Earnings and the Vietnam Era Draft Lottery: Evidence from Social Security Administrative Records.”</w:t>
      </w:r>
      <w:r>
        <w:t xml:space="preserve"> </w:t>
      </w:r>
      <w:r>
        <w:rPr>
          <w:i/>
        </w:rPr>
        <w:t xml:space="preserve">The American Economic Review</w:t>
      </w:r>
      <w:r>
        <w:t xml:space="preserve">, 313–36.</w:t>
      </w:r>
    </w:p>
    <w:p>
      <w:pPr>
        <w:pStyle w:val="Brdtext"/>
      </w:pPr>
      <w:r>
        <w:t xml:space="preserve">Barlow, David H, Matthew Nock, and Michel Hersen. 2009.</w:t>
      </w:r>
      <w:r>
        <w:t xml:space="preserve"> </w:t>
      </w:r>
      <w:r>
        <w:rPr>
          <w:i/>
        </w:rPr>
        <w:t xml:space="preserve">Single Case Experimental Designs: Strategies for Studying Behavior for Change</w:t>
      </w:r>
      <w:r>
        <w:t xml:space="preserve">. Sirsi) i9780205474554.</w:t>
      </w:r>
    </w:p>
    <w:p>
      <w:pPr>
        <w:pStyle w:val="Brdtext"/>
      </w:pPr>
      <w:r>
        <w:t xml:space="preserve">Card, David, Lawrence F Katz, and Alan B Krueger. 1994. “Comment on David Neumark and William Wascher,‘Employment Effects of Minimum and Subminimum Wages: Panel Data on State Minimum Wage Laws’.”</w:t>
      </w:r>
      <w:r>
        <w:t xml:space="preserve"> </w:t>
      </w:r>
      <w:r>
        <w:rPr>
          <w:i/>
        </w:rPr>
        <w:t xml:space="preserve">ILR Review</w:t>
      </w:r>
      <w:r>
        <w:t xml:space="preserve"> </w:t>
      </w:r>
      <w:r>
        <w:t xml:space="preserve">47 (3): 487–97.</w:t>
      </w:r>
    </w:p>
    <w:p>
      <w:pPr>
        <w:pStyle w:val="Brdtext"/>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Grossman, Jason, and Fiona J Mackenzie. 2005. “The Randomized Controlled Trial: Gold Standard, or Merely Standard?”</w:t>
      </w:r>
      <w:r>
        <w:t xml:space="preserve"> </w:t>
      </w:r>
      <w:r>
        <w:rPr>
          <w:i/>
        </w:rPr>
        <w:t xml:space="preserve">Perspectives in Biology and Medicine</w:t>
      </w:r>
      <w:r>
        <w:t xml:space="preserve"> </w:t>
      </w:r>
      <w:r>
        <w:t xml:space="preserve">48 (4): 516–34.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Jhangiani, Rajiv S, IA Chiang, and Paul C Price. 2015.</w:t>
      </w:r>
      <w:r>
        <w:t xml:space="preserve"> </w:t>
      </w:r>
      <w:r>
        <w:rPr>
          <w:i/>
        </w:rPr>
        <w:t xml:space="preserve">Research Methods in Psychology-2nd Canadian Edition</w:t>
      </w:r>
      <w:r>
        <w:t xml:space="preserve">. BC Campus.</w:t>
      </w:r>
      <w:r>
        <w:t xml:space="preserve"> </w:t>
      </w:r>
      <w:hyperlink r:id="rId120">
        <w:r>
          <w:rPr>
            <w:rStyle w:val="Hyperlnk"/>
          </w:rPr>
          <w:t xml:space="preserve">https://opentextbc.ca/researchmethods/</w:t>
        </w:r>
      </w:hyperlink>
      <w:r>
        <w:t xml:space="preserve">.</w:t>
      </w:r>
    </w:p>
    <w:p>
      <w:pPr>
        <w:pStyle w:val="Brdtext"/>
      </w:pPr>
      <w:r>
        <w:t xml:space="preserve">John, Oliver P, Richard W Robins, and Lawrence A Pervin. 2010.</w:t>
      </w:r>
      <w:r>
        <w:t xml:space="preserve"> </w:t>
      </w:r>
      <w:r>
        <w:rPr>
          <w:i/>
        </w:rPr>
        <w:t xml:space="preserve">Handbook of Personality: Theory and Research</w:t>
      </w:r>
      <w:r>
        <w:t xml:space="preserve">. Guilford Press.</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Salganik, Matthew J. 2019.</w:t>
      </w:r>
      <w:r>
        <w:t xml:space="preserve"> </w:t>
      </w:r>
      <w:r>
        <w:rPr>
          <w:i/>
        </w:rPr>
        <w:t xml:space="preserve">Bit by Bit: Social Research in the Digital Age</w:t>
      </w:r>
      <w:r>
        <w:t xml:space="preserve">. Princeton University Press.</w:t>
      </w:r>
    </w:p>
    <w:p>
      <w:pPr>
        <w:pStyle w:val="Brdtext"/>
      </w:pPr>
      <w:r>
        <w:t xml:space="preserve">Schork, Nicholas J. 2015. “Personalized Medicine: Time for One-Person Trials.”</w:t>
      </w:r>
      <w:r>
        <w:t xml:space="preserve"> </w:t>
      </w:r>
      <w:r>
        <w:rPr>
          <w:i/>
        </w:rPr>
        <w:t xml:space="preserve">Nature News</w:t>
      </w:r>
      <w:r>
        <w:t xml:space="preserve"> </w:t>
      </w:r>
      <w:r>
        <w:t xml:space="preserve">520 (7549): 609.</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4" Target="media/rId104.png" /><Relationship Type="http://schemas.openxmlformats.org/officeDocument/2006/relationships/image" Id="rId102" Target="media/rId102.png" /><Relationship Type="http://schemas.openxmlformats.org/officeDocument/2006/relationships/hyperlink" Id="rId44" Target="http://shinyapps.org/apps/PPV/" TargetMode="External" /><Relationship Type="http://schemas.openxmlformats.org/officeDocument/2006/relationships/hyperlink" Id="rId46" Target="http://www.gpower.hhu.de/" TargetMode="External" /><Relationship Type="http://schemas.openxmlformats.org/officeDocument/2006/relationships/hyperlink" Id="rId45"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20" Target="https://opentextbc.ca/researchmethods/" TargetMode="External" /><Relationship Type="http://schemas.openxmlformats.org/officeDocument/2006/relationships/hyperlink" Id="rId57" Target="https://sv.wikipedia.org/wiki/M%C3%A4tskala" TargetMode="External" /><Relationship Type="http://schemas.openxmlformats.org/officeDocument/2006/relationships/hyperlink" Id="rId114" Target="https://www.lu.se/artikel/se-upp-rovdjuren" TargetMode="External" /><Relationship Type="http://schemas.openxmlformats.org/officeDocument/2006/relationships/hyperlink" Id="rId79" Target="https://www.nof1sced.org/" TargetMode="External" /></Relationships>
</file>

<file path=word/_rels/footnotes.xml.rels><?xml version="1.0" encoding="UTF-8"?>
<Relationships xmlns="http://schemas.openxmlformats.org/package/2006/relationships"><Relationship Type="http://schemas.openxmlformats.org/officeDocument/2006/relationships/hyperlink" Id="rId44" Target="http://shinyapps.org/apps/PPV/" TargetMode="External" /><Relationship Type="http://schemas.openxmlformats.org/officeDocument/2006/relationships/hyperlink" Id="rId46" Target="http://www.gpower.hhu.de/" TargetMode="External" /><Relationship Type="http://schemas.openxmlformats.org/officeDocument/2006/relationships/hyperlink" Id="rId45"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20" Target="https://opentextbc.ca/researchmethods/" TargetMode="External" /><Relationship Type="http://schemas.openxmlformats.org/officeDocument/2006/relationships/hyperlink" Id="rId57" Target="https://sv.wikipedia.org/wiki/M%C3%A4tskala" TargetMode="External" /><Relationship Type="http://schemas.openxmlformats.org/officeDocument/2006/relationships/hyperlink" Id="rId114" Target="https://www.lu.se/artikel/se-upp-rovdjuren" TargetMode="External" /><Relationship Type="http://schemas.openxmlformats.org/officeDocument/2006/relationships/hyperlink" Id="rId79" Target="https://www.nof1sced.org/"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2021-12-17T07:45:42Z</dcterms:created>
  <dcterms:modified xsi:type="dcterms:W3CDTF">2021-12-17T07:45:42Z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2021-12-17</vt:lpwstr>
  </property>
  <property fmtid="{D5CDD505-2E9C-101B-9397-08002B2CF9AE}" pid="3" name="generator">
    <vt:lpwstr>pandoc</vt:lpwstr>
  </property>
  <property fmtid="{D5CDD505-2E9C-101B-9397-08002B2CF9AE}" pid="4" name="viewport">
    <vt:lpwstr>width=device-width, initial-scale=1.0, user-scalable=yes</vt:lpwstr>
  </property>
</Properties>
</file>