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Polarization</w:t>
      </w:r>
      <w:r>
        <w:t xml:space="preserve"> </w:t>
      </w:r>
      <w:r>
        <w:t xml:space="preserve">and</w:t>
      </w:r>
      <w:r>
        <w:t xml:space="preserve"> </w:t>
      </w:r>
      <w:r>
        <w:t xml:space="preserve">Online</w:t>
      </w:r>
      <w:r>
        <w:t xml:space="preserve"> </w:t>
      </w:r>
      <w:r>
        <w:t xml:space="preserve">Influence</w:t>
      </w:r>
      <w:r>
        <w:t xml:space="preserve"> </w:t>
      </w:r>
      <w:r>
        <w:t xml:space="preserve">Operations</w:t>
      </w:r>
      <w:r>
        <w:t xml:space="preserve"> </w:t>
      </w:r>
      <w:r>
        <w:t xml:space="preserve">in</w:t>
      </w:r>
      <w:r>
        <w:t xml:space="preserve"> </w:t>
      </w:r>
      <w:r>
        <w:t xml:space="preserve">Sweden</w:t>
      </w:r>
    </w:p>
    <w:p>
      <w:pPr>
        <w:pStyle w:val="Subtitle"/>
      </w:pPr>
      <w:r>
        <w:t xml:space="preserve">PIs</w:t>
      </w:r>
      <w:r>
        <w:t xml:space="preserve"> </w:t>
      </w:r>
      <w:r>
        <w:t xml:space="preserve">–</w:t>
      </w:r>
      <w:r>
        <w:t xml:space="preserve"> </w:t>
      </w:r>
      <w:r>
        <w:t xml:space="preserve">Michael</w:t>
      </w:r>
      <w:r>
        <w:t xml:space="preserve"> </w:t>
      </w:r>
      <w:r>
        <w:t xml:space="preserve">Bossetta,</w:t>
      </w:r>
      <w:r>
        <w:t xml:space="preserve"> </w:t>
      </w:r>
      <w:r>
        <w:t xml:space="preserve">Nils</w:t>
      </w:r>
      <w:r>
        <w:t xml:space="preserve"> </w:t>
      </w:r>
      <w:r>
        <w:t xml:space="preserve">Holmberg</w:t>
      </w:r>
    </w:p>
    <w:p>
      <w:pPr>
        <w:pStyle w:val="Heading1"/>
      </w:pPr>
      <w:bookmarkStart w:id="20" w:name="abstract"/>
      <w:r>
        <w:t xml:space="preserve">Abstract</w:t>
      </w:r>
      <w:bookmarkEnd w:id="20"/>
    </w:p>
    <w:p>
      <w:pPr>
        <w:pStyle w:val="FirstParagraph"/>
      </w:pPr>
      <w:r>
        <w:t xml:space="preserve">Online influence operations (IOs) aim to affect citizens’ attitudes, behaviors, or decisions through strategic digital communication. Disinformation campaigns, for example, are IOs that seed and amplify false information, which may be contributing to polarization in liberal democracies such as Sweden. Researchers interested in studying and countering IOs are confronted with two main challenges. The first is identifying IOs as they unfold, which is difficult due to the agile networks of inauthentic accounts involved in these campaigns. The second challenge is measuring the cognitive and psychological effects of IOs in terms of affective, epistemic, and ideological polarization of target audiences. Both challenges need to be addressed to design effective and personalized countermeasures to such operations.</w:t>
      </w:r>
    </w:p>
    <w:p>
      <w:pPr>
        <w:pStyle w:val="BodyText"/>
      </w:pPr>
      <w:r>
        <w:t xml:space="preserve">The present project will address these challenges in three successive research phases. The first phase will initiate collaborations with multiple Swedish and international stakeholders (e.g. SI, MSB, social media platforms, EUvsDisinfo) in order to collect and analyze digital content that is produced, spread, and amplified through IOs. Once a repository of disinformation content is built, the second phase conducts experiments that measure the causal effects of this content on audiences’ polarization (self-reported attitudes), memory (EEG), interaction behavior (website clicks, traffic), and visual attention (eye-tracking). In the third phase, we build on the project’s findings to propose technological and regulatory interventions that moderate, inoculate, or even reverse the polarizing effects of IOs and disinformation campaigns.</w:t>
      </w:r>
    </w:p>
    <w:p>
      <w:r>
        <w:pict>
          <v:rect style="width:0;height:1.5pt" o:hralign="center" o:hrstd="t" o:hr="t"/>
        </w:pict>
      </w:r>
    </w:p>
    <w:p>
      <w:pPr>
        <w:pStyle w:val="FirstParagraph"/>
      </w:pPr>
      <w:r>
        <w:t xml:space="preserve">Main outcomes are expected to be an inventory of textual and pictorial content categories associated with disinformation campaigns, and methods to predict the authenticity of user profiles based on their online behaviors. In the second phase, disinformation content will be used to design multiple experiments in which we measure the causal effects on audiences’ interaction behavior (website clicks, traffic), visual attention (eye-tracking), and memory (EEG). It is expected that content categories and individual personality traits will modulate any polarization effects. The third phase will be used to</w:t>
      </w:r>
    </w:p>
    <w:p>
      <w:pPr>
        <w:pStyle w:val="Heading1"/>
      </w:pPr>
      <w:bookmarkStart w:id="21" w:name="intro-background"/>
      <w:r>
        <w:t xml:space="preserve">Intro, background</w:t>
      </w:r>
      <w:bookmarkEnd w:id="21"/>
    </w:p>
    <w:p>
      <w:pPr>
        <w:pStyle w:val="FirstParagraph"/>
      </w:pPr>
      <w:r>
        <w:t xml:space="preserve">Whereas influence operations (IOs) can be defined broadly as the organized attempts by actors to achieve specific effects (attitudes, behaviors, decisions) among target audiences</w:t>
      </w:r>
      <w:r>
        <w:t xml:space="preserve"> </w:t>
      </w:r>
      <w:r>
        <w:t xml:space="preserve">(Larson et al., 2009)</w:t>
      </w:r>
      <w:r>
        <w:t xml:space="preserve">, disinformation campaigns often have a more narrow focus on the spread of false information through inauthentic actors with the intent to create political division and polarization</w:t>
      </w:r>
      <w:r>
        <w:t xml:space="preserve"> </w:t>
      </w:r>
      <w:r>
        <w:t xml:space="preserve">(Larson et al., 2009; Santa Maria, 2013; Wanless &amp; Pamment, 2019)</w:t>
      </w:r>
      <w:r>
        <w:t xml:space="preserve">. According to these definitions, IOs may be considered as more or less coextensive with strategic (planned) communication, and also as a superset of disinformation campaigns.</w:t>
      </w:r>
    </w:p>
    <w:p>
      <w:pPr>
        <w:pStyle w:val="CaptionedFigure"/>
      </w:pPr>
      <w:r>
        <w:drawing>
          <wp:inline>
            <wp:extent cx="5334000" cy="4063385"/>
            <wp:effectExtent b="0" l="0" r="0" t="0"/>
            <wp:docPr descr="need better figure" title="need better figure" id="1" name="Picture"/>
            <a:graphic>
              <a:graphicData uri="http://schemas.openxmlformats.org/drawingml/2006/picture">
                <pic:pic>
                  <pic:nvPicPr>
                    <pic:cNvPr descr="../img/ios.png" id="0" name="Picture"/>
                    <pic:cNvPicPr>
                      <a:picLocks noChangeArrowheads="1" noChangeAspect="1"/>
                    </pic:cNvPicPr>
                  </pic:nvPicPr>
                  <pic:blipFill>
                    <a:blip r:embed="rId22"/>
                    <a:stretch>
                      <a:fillRect/>
                    </a:stretch>
                  </pic:blipFill>
                  <pic:spPr bwMode="auto">
                    <a:xfrm>
                      <a:off x="0" y="0"/>
                      <a:ext cx="5334000" cy="4063385"/>
                    </a:xfrm>
                    <a:prstGeom prst="rect">
                      <a:avLst/>
                    </a:prstGeom>
                    <a:noFill/>
                    <a:ln w="9525">
                      <a:noFill/>
                      <a:headEnd/>
                      <a:tailEnd/>
                    </a:ln>
                  </pic:spPr>
                </pic:pic>
              </a:graphicData>
            </a:graphic>
          </wp:inline>
        </w:drawing>
      </w:r>
    </w:p>
    <w:p>
      <w:pPr>
        <w:pStyle w:val="ImageCaption"/>
      </w:pPr>
      <w:r>
        <w:t xml:space="preserve">need better figure</w:t>
      </w:r>
    </w:p>
    <w:p>
      <w:pPr>
        <w:pStyle w:val="BodyText"/>
      </w:pPr>
      <w:r>
        <w:t xml:space="preserve">Western governments are increasingly concerned about disinformation on social media and other forms of online influence operations. Sweden, largely due to its position outside NATO and geographical proximity to Russia, has been previously identified as a strategic target of IOs on Facebook. For example, foreign state-sponsored media outlets, such as Sputnik and RT, have been active spreading disinformation on Facebook since at least 2015</w:t>
      </w:r>
      <w:r>
        <w:t xml:space="preserve"> </w:t>
      </w:r>
      <w:r>
        <w:t xml:space="preserve">(Kragh &amp; Åsberg, 2017)</w:t>
      </w:r>
      <w:r>
        <w:t xml:space="preserve">. And as artificial intelligence becomes increasingly sophisticated, the potential for more advanced methods of influence operations, such as deepfake videos, become a pressing threat for spreading false information from seemingly credible sources.</w:t>
      </w:r>
    </w:p>
    <w:p>
      <w:pPr>
        <w:pStyle w:val="BodyText"/>
      </w:pPr>
      <w:r>
        <w:t xml:space="preserve">Since influence operations have the objective of using media and communication to cause a range of cognitive effects in audience members (attitudinal, behavioral, etc), a suitable methodological approach to study IOs is provided by the media effects and media psychology research fields</w:t>
      </w:r>
      <w:r>
        <w:t xml:space="preserve"> </w:t>
      </w:r>
      <w:r>
        <w:t xml:space="preserve">(Dill, 2013; Valkenburg et al., 2016)</w:t>
      </w:r>
      <w:r>
        <w:t xml:space="preserve">. According to current media psychological theory, effects of online messages on audiences are mainly dependent on three factors: 1) the characteristics of the media message, 2) the cognitive and psychological makeup of the individuals receiving the message, and 3) the environment and context of internet use</w:t>
      </w:r>
      <w:r>
        <w:t xml:space="preserve"> </w:t>
      </w:r>
      <w:r>
        <w:t xml:space="preserve">(Dill, 2013; Valkenburg, 2004)</w:t>
      </w:r>
      <w:r>
        <w:t xml:space="preserve">.</w:t>
      </w:r>
    </w:p>
    <w:p>
      <w:pPr>
        <w:pStyle w:val="BodyText"/>
      </w:pPr>
      <w:r>
        <w:t xml:space="preserve">By using the full range of digital communication technology (e.g. social media, hyperpartisan news websites, disinformation campaigns, online conspiracy videos), online influence operations can potentially gain substantial reach and engage a multitude of audiences. In order to help societies determine which operations are not legitimate / acceptable and thus should be countered, it is crucial that researchers try to understand the effects of IOs on individual as well as social levels. This subproject measures, evaluates, and offers solutions to counter online disinformation in Sweden. It accomplishes these aims through a three-pronged approach comprising: descriptive (Study 1), experimental (Studies 2 and 3), and prescriptive (Study 4) components.</w:t>
      </w:r>
    </w:p>
    <w:p>
      <w:pPr>
        <w:pStyle w:val="BodyText"/>
      </w:pPr>
      <w:r>
        <w:t xml:space="preserve">The descriptive phase seeks to diagnose the locations, extent, and strategies of IOs in Sweden (Study 1). Although research is just starting to be conducted on IOs, it is primarily concentrated in the United States. Due to America’s unique demography and commercialized media system, the IOs evidenced there may not be similar to those conducted in Sweden. Thus, this sub-project’s first research question is:</w:t>
      </w:r>
    </w:p>
    <w:p>
      <w:pPr>
        <w:numPr>
          <w:ilvl w:val="0"/>
          <w:numId w:val="1001"/>
        </w:numPr>
        <w:pStyle w:val="Compact"/>
      </w:pPr>
      <w:r>
        <w:t xml:space="preserve">RQ1: To what extent are online influence operations conducted in Sweden, and how are they constructed?</w:t>
      </w:r>
    </w:p>
    <w:p>
      <w:pPr>
        <w:pStyle w:val="FirstParagraph"/>
      </w:pPr>
      <w:r>
        <w:t xml:space="preserve">In the experimental phase, we seek to evaluate the effects of the disinformation strategies identified, and assess their potential for exacerbating ideological and affective polarization in Sweden. Here, we focus on individual level responses to disinformation, in terms of their effects on political opinions (Study 2) as well as how the interaction between technological and social mechanisms contribute to IOs deceiving citizens (Study 3). Therefore, we ask</w:t>
      </w:r>
    </w:p>
    <w:p>
      <w:pPr>
        <w:numPr>
          <w:ilvl w:val="0"/>
          <w:numId w:val="1002"/>
        </w:numPr>
      </w:pPr>
      <w:r>
        <w:t xml:space="preserve">RQ2: What effect does disinformation in Sweden have on a) ideological and b) affective polarization?</w:t>
      </w:r>
    </w:p>
    <w:p>
      <w:pPr>
        <w:numPr>
          <w:ilvl w:val="0"/>
          <w:numId w:val="1002"/>
        </w:numPr>
      </w:pPr>
      <w:r>
        <w:t xml:space="preserve">RQ3: How does the technological design of social media platforms contribute to the perceived authenticity of IOs?</w:t>
      </w:r>
    </w:p>
    <w:p>
      <w:pPr>
        <w:pStyle w:val="FirstParagraph"/>
      </w:pPr>
      <w:r>
        <w:t xml:space="preserve">In the prescriptive phase, we build on the findings of these studies to offer proposed solutions for counteracting any negative effects we observe (Study 4). We do so with an eye to regulatory solutions, in terms of how such counter-active measure could be integrated within existing legal structures at the national and European Level.</w:t>
      </w:r>
    </w:p>
    <w:p>
      <w:pPr>
        <w:numPr>
          <w:ilvl w:val="0"/>
          <w:numId w:val="1003"/>
        </w:numPr>
        <w:pStyle w:val="Compact"/>
      </w:pPr>
      <w:r>
        <w:t xml:space="preserve">RQ4: How can online disinformation be countered, and how can these counter-measures be feasibly integrated within existing regulatory frameworks?</w:t>
      </w:r>
    </w:p>
    <w:p>
      <w:pPr>
        <w:pStyle w:val="FirstParagraph"/>
      </w:pPr>
      <w:r>
        <w:t xml:space="preserve">How are online influence operations (social media, hyperpartisan online news, disinfo websites, conspiracy videos, antivax) constructed, and what polarizing effects do they have on users?</w:t>
      </w:r>
    </w:p>
    <w:p>
      <w:pPr>
        <w:pStyle w:val="BodyText"/>
      </w:pPr>
      <w:r>
        <w:t xml:space="preserve">online influence operations (IOs) can be modelled on the example of digital marketing campaigns, but with the difference that political interests are the ultimate goal rather than commercial.</w:t>
      </w:r>
    </w:p>
    <w:p>
      <w:pPr>
        <w:pStyle w:val="BodyText"/>
      </w:pPr>
      <w:r>
        <w:t xml:space="preserve">the research on online IOs have developed sophisticated methods for analyzing online content and social networks. however research on media effects on target audiences remains understudied</w:t>
      </w:r>
    </w:p>
    <w:p>
      <w:pPr>
        <w:pStyle w:val="BodyText"/>
      </w:pPr>
      <w:r>
        <w:t xml:space="preserve">research on effective countermeasures to online influence operations is also scarce.. to some extent because media effects are difficult to study (time, confounding factors, individual differences)</w:t>
      </w:r>
    </w:p>
    <w:p>
      <w:pPr>
        <w:pStyle w:val="BodyText"/>
      </w:pPr>
      <w:r>
        <w:t xml:space="preserve">Media and communication psychology framework: media effects, personality traits, content features.</w:t>
      </w:r>
    </w:p>
    <w:p>
      <w:pPr>
        <w:numPr>
          <w:ilvl w:val="0"/>
          <w:numId w:val="1004"/>
        </w:numPr>
        <w:pStyle w:val="Compact"/>
      </w:pPr>
      <w:r>
        <w:t xml:space="preserve">finding ways to measure effects of IOs in target audiences, media effects, media psychology</w:t>
      </w:r>
    </w:p>
    <w:p>
      <w:pPr>
        <w:numPr>
          <w:ilvl w:val="0"/>
          <w:numId w:val="1004"/>
        </w:numPr>
        <w:pStyle w:val="Compact"/>
      </w:pPr>
      <w:r>
        <w:t xml:space="preserve">measure polarization effects in individuals, psychology, physiology… however also effects on social level!!</w:t>
      </w:r>
    </w:p>
    <w:p>
      <w:pPr>
        <w:numPr>
          <w:ilvl w:val="0"/>
          <w:numId w:val="1004"/>
        </w:numPr>
        <w:pStyle w:val="Compact"/>
      </w:pPr>
      <w:r>
        <w:t xml:space="preserve">proof of activity is not the same as evidence of effects</w:t>
      </w:r>
    </w:p>
    <w:p>
      <w:pPr>
        <w:numPr>
          <w:ilvl w:val="0"/>
          <w:numId w:val="1004"/>
        </w:numPr>
        <w:pStyle w:val="Compact"/>
      </w:pPr>
      <w:r>
        <w:t xml:space="preserve">understanding audience effects is prerequisite to deciding how, what to be countered, foster calm among audiences</w:t>
      </w:r>
    </w:p>
    <w:p>
      <w:pPr>
        <w:numPr>
          <w:ilvl w:val="0"/>
          <w:numId w:val="1004"/>
        </w:numPr>
        <w:pStyle w:val="Compact"/>
      </w:pPr>
      <w:r>
        <w:t xml:space="preserve">IOs, disinfo are highly networked, but research and countermeasures are not</w:t>
      </w:r>
    </w:p>
    <w:p>
      <w:pPr>
        <w:pStyle w:val="Heading2"/>
      </w:pPr>
      <w:bookmarkStart w:id="23" w:name="polarization-on-individual-level"/>
      <w:r>
        <w:t xml:space="preserve">Polarization on individual level</w:t>
      </w:r>
      <w:bookmarkEnd w:id="23"/>
    </w:p>
    <w:p>
      <w:pPr>
        <w:pStyle w:val="FirstParagraph"/>
      </w:pPr>
      <w:r>
        <w:t xml:space="preserve">Physiological correlates of affective polarization. Emotional image stimuli (</w:t>
      </w:r>
      <w:hyperlink r:id="rId24">
        <w:r>
          <w:rPr>
            <w:rStyle w:val="Hyperlink"/>
          </w:rPr>
          <w:t xml:space="preserve">http://wang.ist.psu.edu/emotion/kim2017.htm</w:t>
        </w:r>
      </w:hyperlink>
      <w:r>
        <w:t xml:space="preserve">), combine with text to generate political advert stimuli. Do individuals with certain personality traits (high neuroticism, emotionality) have a higher susceptibility to polarization, higher risks of negative effects? Gender differences?</w:t>
      </w:r>
    </w:p>
    <w:p>
      <w:pPr>
        <w:pStyle w:val="Heading3"/>
      </w:pPr>
      <w:bookmarkStart w:id="25" w:name="gender-aspects"/>
      <w:r>
        <w:t xml:space="preserve">Gender aspects</w:t>
      </w:r>
      <w:bookmarkEnd w:id="25"/>
    </w:p>
    <w:p>
      <w:pPr>
        <w:pStyle w:val="FirstParagraph"/>
      </w:pPr>
      <w:r>
        <w:t xml:space="preserve">content analysis, how are gender represented in IOs, disinfo, traditional gender roles, gender stereotypes</w:t>
      </w:r>
    </w:p>
    <w:p>
      <w:pPr>
        <w:pStyle w:val="BodyText"/>
      </w:pPr>
      <w:r>
        <w:t xml:space="preserve">media effects, gender demographic variable, feminine-masculine scales</w:t>
      </w:r>
    </w:p>
    <w:p>
      <w:pPr>
        <w:pStyle w:val="Heading2"/>
      </w:pPr>
      <w:bookmarkStart w:id="26" w:name="polarization-on-social-level"/>
      <w:r>
        <w:t xml:space="preserve">Polarization on social level</w:t>
      </w:r>
      <w:bookmarkEnd w:id="26"/>
    </w:p>
    <w:p>
      <w:pPr>
        <w:pStyle w:val="FirstParagraph"/>
      </w:pPr>
      <w:r>
        <w:t xml:space="preserve">Role of ethnicity in spread of disinfo, online influence operations. Social identification with gender groups, differences?</w:t>
      </w:r>
    </w:p>
    <w:p>
      <w:pPr>
        <w:pStyle w:val="Heading3"/>
      </w:pPr>
      <w:bookmarkStart w:id="27" w:name="gender-aspects-1"/>
      <w:r>
        <w:t xml:space="preserve">Gender aspects</w:t>
      </w:r>
      <w:bookmarkEnd w:id="27"/>
    </w:p>
    <w:p>
      <w:pPr>
        <w:pStyle w:val="Heading2"/>
      </w:pPr>
      <w:bookmarkStart w:id="28" w:name="ethics-and-legal"/>
      <w:r>
        <w:t xml:space="preserve">Ethics and legal</w:t>
      </w:r>
      <w:bookmarkEnd w:id="28"/>
    </w:p>
    <w:p>
      <w:pPr>
        <w:pStyle w:val="FirstParagraph"/>
      </w:pPr>
      <w:r>
        <w:t xml:space="preserve">Approval from ethical review board necessary for processing facial images in machine learning applications (e.g. deepfake generation), and when eleciting cognitive effects (e.g. memory effects). Manipulation of elections, ICCPR article 27-31</w:t>
      </w:r>
    </w:p>
    <w:p>
      <w:pPr>
        <w:pStyle w:val="BodyText"/>
      </w:pPr>
      <w:r>
        <w:t xml:space="preserve">platforms provide data for vetting researchers?</w:t>
      </w:r>
    </w:p>
    <w:p>
      <w:pPr>
        <w:pStyle w:val="BodyText"/>
      </w:pPr>
      <w:r>
        <w:t xml:space="preserve">algoritmer, en ko-ordinator myndighet står för vetting inom varje land (post- och telestyrelsen)</w:t>
      </w:r>
    </w:p>
    <w:p>
      <w:pPr>
        <w:pStyle w:val="BodyText"/>
      </w:pPr>
      <w:r>
        <w:t xml:space="preserve">hur kan detta samarbete se ut mellan platform och universitet?</w:t>
      </w:r>
    </w:p>
    <w:p>
      <w:pPr>
        <w:pStyle w:val="Heading2"/>
      </w:pPr>
      <w:bookmarkStart w:id="29" w:name="research-technology"/>
      <w:r>
        <w:t xml:space="preserve">Research technology</w:t>
      </w:r>
      <w:bookmarkEnd w:id="29"/>
    </w:p>
    <w:p>
      <w:pPr>
        <w:pStyle w:val="FirstParagraph"/>
      </w:pPr>
      <w:r>
        <w:t xml:space="preserve">AIML in swedish language context, web portal with language models, collaboration with lund humanities lab. Distinguish between tech as methods and tech as platform features (object of study). Moderation robots. Communication</w:t>
      </w:r>
    </w:p>
    <w:p>
      <w:pPr>
        <w:pStyle w:val="Heading1"/>
      </w:pPr>
      <w:bookmarkStart w:id="30" w:name="litterature-review"/>
      <w:r>
        <w:t xml:space="preserve">Litterature review</w:t>
      </w:r>
      <w:bookmarkEnd w:id="30"/>
    </w:p>
    <w:p>
      <w:pPr>
        <w:pStyle w:val="FirstParagraph"/>
      </w:pPr>
      <w:r>
        <w:t xml:space="preserve">Concepts, theories: Differential, conditional media effects (Valkenburg). Connecting online content features and user behavioral/cognitive/emotional effects. Communication effects (lack of). Web interfaces. Profile source cue verification.</w:t>
      </w:r>
      <w:r>
        <w:t xml:space="preserve"> </w:t>
      </w:r>
      <w:r>
        <w:t xml:space="preserve">“</w:t>
      </w:r>
      <w:r>
        <w:t xml:space="preserve">Previous research, research gaps</w:t>
      </w:r>
      <w:r>
        <w:t xml:space="preserve">”</w:t>
      </w:r>
    </w:p>
    <w:p>
      <w:pPr>
        <w:pStyle w:val="Heading1"/>
      </w:pPr>
      <w:bookmarkStart w:id="31" w:name="methods-empirical-studies"/>
      <w:r>
        <w:t xml:space="preserve">Methods, Empirical studies</w:t>
      </w:r>
      <w:bookmarkEnd w:id="31"/>
    </w:p>
    <w:p>
      <w:pPr>
        <w:pStyle w:val="FirstParagraph"/>
      </w:pPr>
      <w:r>
        <w:t xml:space="preserve">External collaborations: Partnership for Countering Influence Operations, Carnegie Endowment for International Peace, FB, Tobii, EUvsDisinfo? HUMLAB. Collaboration with psy.lu.se (Axel Ekström, Mikael Johansson)</w:t>
      </w:r>
    </w:p>
    <w:p>
      <w:pPr>
        <w:pStyle w:val="Heading2"/>
      </w:pPr>
      <w:bookmarkStart w:id="32" w:name="study-1"/>
      <w:r>
        <w:t xml:space="preserve">Study 1</w:t>
      </w:r>
      <w:bookmarkEnd w:id="32"/>
    </w:p>
    <w:p>
      <w:pPr>
        <w:pStyle w:val="Heading3"/>
      </w:pPr>
      <w:bookmarkStart w:id="33" w:name="aims-and-purpose"/>
      <w:r>
        <w:t xml:space="preserve">Aims and purpose</w:t>
      </w:r>
      <w:bookmarkEnd w:id="33"/>
    </w:p>
    <w:p>
      <w:pPr>
        <w:pStyle w:val="FirstParagraph"/>
      </w:pPr>
      <w:r>
        <w:t xml:space="preserve">“</w:t>
      </w:r>
      <w:r>
        <w:t xml:space="preserve">Social listening</w:t>
      </w:r>
      <w:r>
        <w:t xml:space="preserve">”</w:t>
      </w:r>
      <w:r>
        <w:t xml:space="preserve"> </w:t>
      </w:r>
      <w:r>
        <w:t xml:space="preserve">approach in colab with the Swedish Institute. Timeline. RQ, hypotheses, methods. Web scraping and automated content analysis (AIML). Social network analysis to identify inauthentic content, activity. Port methods for computational content analysis to Swedish language context. Comparative swedish-english component. Use GPT-3 approach to generate text messages, use as stimuli to study effects on human users.</w:t>
      </w:r>
    </w:p>
    <w:p>
      <w:pPr>
        <w:pStyle w:val="Heading3"/>
      </w:pPr>
      <w:bookmarkStart w:id="34" w:name="existing-research-and-hypotheses"/>
      <w:r>
        <w:t xml:space="preserve">Existing research and hypotheses</w:t>
      </w:r>
      <w:bookmarkEnd w:id="34"/>
    </w:p>
    <w:p>
      <w:pPr>
        <w:pStyle w:val="Heading3"/>
      </w:pPr>
      <w:bookmarkStart w:id="35" w:name="design-and-data"/>
      <w:r>
        <w:t xml:space="preserve">Design and data</w:t>
      </w:r>
      <w:bookmarkEnd w:id="35"/>
    </w:p>
    <w:p>
      <w:pPr>
        <w:pStyle w:val="Heading3"/>
      </w:pPr>
      <w:bookmarkStart w:id="36" w:name="contributions-and-significance"/>
      <w:r>
        <w:t xml:space="preserve">Contributions and significance</w:t>
      </w:r>
      <w:bookmarkEnd w:id="36"/>
    </w:p>
    <w:p>
      <w:pPr>
        <w:pStyle w:val="Heading2"/>
      </w:pPr>
      <w:bookmarkStart w:id="37" w:name="study-2"/>
      <w:r>
        <w:t xml:space="preserve">Study 2</w:t>
      </w:r>
      <w:bookmarkEnd w:id="37"/>
    </w:p>
    <w:p>
      <w:pPr>
        <w:pStyle w:val="Heading3"/>
      </w:pPr>
      <w:bookmarkStart w:id="38" w:name="aims-and-purpose-1"/>
      <w:r>
        <w:t xml:space="preserve">Aims and purpose</w:t>
      </w:r>
      <w:bookmarkEnd w:id="38"/>
    </w:p>
    <w:p>
      <w:pPr>
        <w:pStyle w:val="Heading3"/>
      </w:pPr>
      <w:bookmarkStart w:id="39" w:name="existing-research-and-hypotheses-1"/>
      <w:r>
        <w:t xml:space="preserve">Existing research and hypotheses</w:t>
      </w:r>
      <w:bookmarkEnd w:id="39"/>
    </w:p>
    <w:p>
      <w:pPr>
        <w:pStyle w:val="Heading3"/>
      </w:pPr>
      <w:bookmarkStart w:id="40" w:name="design-and-data-1"/>
      <w:r>
        <w:t xml:space="preserve">Design and data</w:t>
      </w:r>
      <w:bookmarkEnd w:id="40"/>
    </w:p>
    <w:p>
      <w:pPr>
        <w:pStyle w:val="Heading3"/>
      </w:pPr>
      <w:bookmarkStart w:id="41" w:name="contributions-and-significance-1"/>
      <w:r>
        <w:t xml:space="preserve">Contributions and significance</w:t>
      </w:r>
      <w:bookmarkEnd w:id="41"/>
    </w:p>
    <w:p>
      <w:pPr>
        <w:pStyle w:val="FirstParagraph"/>
      </w:pPr>
      <w:r>
        <w:t xml:space="preserve">Timeline. RQ, hypotheses, methods. Psychological and physiological experiments, physiological correlates of affective polarization, pupil dilation, GSR, EEG, fMRI etc. Web browsing behavior.</w:t>
      </w:r>
    </w:p>
    <w:p>
      <w:pPr>
        <w:pStyle w:val="BodyText"/>
      </w:pPr>
      <w:r>
        <w:t xml:space="preserve">Memory of polarization exposure during distraction task. Benefit: only one experiment session.</w:t>
      </w:r>
    </w:p>
    <w:p>
      <w:pPr>
        <w:pStyle w:val="Heading2"/>
      </w:pPr>
      <w:bookmarkStart w:id="42" w:name="study-3"/>
      <w:r>
        <w:t xml:space="preserve">Study 3</w:t>
      </w:r>
      <w:bookmarkEnd w:id="42"/>
    </w:p>
    <w:p>
      <w:pPr>
        <w:pStyle w:val="FirstParagraph"/>
      </w:pPr>
      <w:r>
        <w:t xml:space="preserve">Timeline. RQ, hypotheses, methods. Moral machines. Road blockage, no time to brake. Choose casualties. Automatized counter-measures to disinformation campaigns.</w:t>
      </w:r>
    </w:p>
    <w:p>
      <w:pPr>
        <w:pStyle w:val="Heading2"/>
      </w:pPr>
      <w:bookmarkStart w:id="43" w:name="study-4"/>
      <w:r>
        <w:t xml:space="preserve">Study 4</w:t>
      </w:r>
      <w:bookmarkEnd w:id="43"/>
    </w:p>
    <w:p>
      <w:pPr>
        <w:pStyle w:val="FirstParagraph"/>
      </w:pPr>
      <w:r>
        <w:t xml:space="preserve">Timeline. RQ, hypotheses, methods. Antivax movement, polarization around covid-19 vaccinations. Online influence operations. the climate, sustainability angle could easily fit into the disinfo campaign research area.. the core idea would be to survey participants issue involvement (maybe as a pretest) and present normal vs deepfake videos of politicians that either support or go against their beliefs.. the hypothesis would be that deepfakes as such induce higher levels of fear (michael), higher levels of recall (axel), and lower levels of attitudes to politician (nils)</w:t>
      </w:r>
    </w:p>
    <w:p>
      <w:pPr>
        <w:pStyle w:val="Heading1"/>
      </w:pPr>
      <w:bookmarkStart w:id="44" w:name="expected-results-contribution"/>
      <w:r>
        <w:t xml:space="preserve">Expected results, contribution</w:t>
      </w:r>
      <w:bookmarkEnd w:id="44"/>
    </w:p>
    <w:p>
      <w:pPr>
        <w:pStyle w:val="FirstParagraph"/>
      </w:pPr>
      <w:r>
        <w:t xml:space="preserve">individual level</w:t>
      </w:r>
    </w:p>
    <w:p>
      <w:pPr>
        <w:pStyle w:val="BodyText"/>
      </w:pPr>
      <w:r>
        <w:t xml:space="preserve">group level</w:t>
      </w:r>
    </w:p>
    <w:p>
      <w:pPr>
        <w:pStyle w:val="BodyText"/>
      </w:pPr>
      <w:r>
        <w:t xml:space="preserve">ethics and legal</w:t>
      </w:r>
    </w:p>
    <w:p>
      <w:pPr>
        <w:pStyle w:val="BodyText"/>
      </w:pPr>
      <w:r>
        <w:t xml:space="preserve">technology, methods</w:t>
      </w:r>
    </w:p>
    <w:p>
      <w:pPr>
        <w:pStyle w:val="BodyText"/>
      </w:pPr>
      <w:r>
        <w:t xml:space="preserve">communication</w:t>
      </w:r>
    </w:p>
    <w:p>
      <w:pPr>
        <w:pStyle w:val="BodyText"/>
      </w:pPr>
      <w:r>
        <w:t xml:space="preserve">collaborations with FB, twitter, Swedish Institute (countering disinfo campaigns)</w:t>
      </w:r>
    </w:p>
    <w:p>
      <w:pPr>
        <w:numPr>
          <w:ilvl w:val="0"/>
          <w:numId w:val="1005"/>
        </w:numPr>
      </w:pPr>
      <w:r>
        <w:rPr>
          <w:b/>
        </w:rPr>
        <w:t xml:space="preserve">RQ:</w:t>
      </w:r>
      <w:r>
        <w:t xml:space="preserve"> </w:t>
      </w:r>
      <w:r>
        <w:t xml:space="preserve">How are online influence operations (social media, websites, video etc) constructed, and what polarizing effects do they have on users?</w:t>
      </w:r>
    </w:p>
    <w:p>
      <w:pPr>
        <w:numPr>
          <w:ilvl w:val="0"/>
          <w:numId w:val="1005"/>
        </w:numPr>
      </w:pPr>
      <w:r>
        <w:rPr>
          <w:b/>
        </w:rPr>
        <w:t xml:space="preserve">Concepts, theories:</w:t>
      </w:r>
      <w:r>
        <w:t xml:space="preserve"> </w:t>
      </w:r>
      <w:r>
        <w:t xml:space="preserve">Differential, conditional media effects (Valkenburg). Connecting online content features and user behavioral/cognitive/emotional effects. Communication effects (lack of). Web interfaces. Profile source cue verification.</w:t>
      </w:r>
    </w:p>
    <w:p>
      <w:pPr>
        <w:numPr>
          <w:ilvl w:val="0"/>
          <w:numId w:val="1005"/>
        </w:numPr>
      </w:pPr>
      <w:r>
        <w:rPr>
          <w:b/>
        </w:rPr>
        <w:t xml:space="preserve">Methodology:</w:t>
      </w:r>
      <w:r>
        <w:t xml:space="preserve"> </w:t>
      </w:r>
      <w:r>
        <w:t xml:space="preserve">Web scraping and automated content analysis (AIML). Social network analysis to identify inauthentic content, activity. Psychological and physiological experiments, physiological correlates of affective polarization, pupil dilation, GSR, EEG, fMRI etc</w:t>
      </w:r>
    </w:p>
    <w:p>
      <w:pPr>
        <w:numPr>
          <w:ilvl w:val="0"/>
          <w:numId w:val="1005"/>
        </w:numPr>
      </w:pPr>
      <w:r>
        <w:rPr>
          <w:b/>
        </w:rPr>
        <w:t xml:space="preserve">Material, Data:</w:t>
      </w:r>
      <w:r>
        <w:t xml:space="preserve"> </w:t>
      </w:r>
      <w:r>
        <w:t xml:space="preserve">Twitter data, Facebook pages API data, Online news websites, video data, web interaction data (web measures, likes), physiological data. Anything relating to Swedish election 2022?</w:t>
      </w:r>
    </w:p>
    <w:p>
      <w:pPr>
        <w:numPr>
          <w:ilvl w:val="0"/>
          <w:numId w:val="1005"/>
        </w:numPr>
      </w:pPr>
      <w:r>
        <w:t xml:space="preserve">Pi:s/coordin: check the mindmap!</w:t>
      </w:r>
    </w:p>
    <w:p>
      <w:pPr>
        <w:numPr>
          <w:ilvl w:val="0"/>
          <w:numId w:val="1005"/>
        </w:numPr>
      </w:pPr>
      <w:r>
        <w:rPr>
          <w:b/>
        </w:rPr>
        <w:t xml:space="preserve">External collaborations:</w:t>
      </w:r>
      <w:r>
        <w:t xml:space="preserve"> </w:t>
      </w:r>
      <w:r>
        <w:t xml:space="preserve">Partnership for Countering Influence Operations, Carnegie Endowment for International Peace, FB, Tobii, EUvsDisinfo? HUMLAB. The Swedish Civil Contingencies Agency (MSB)</w:t>
      </w:r>
    </w:p>
    <w:p>
      <w:pPr>
        <w:numPr>
          <w:ilvl w:val="0"/>
          <w:numId w:val="1005"/>
        </w:numPr>
      </w:pPr>
      <w:r>
        <w:t xml:space="preserve">Individual vertical, continue to group level</w:t>
      </w:r>
    </w:p>
    <w:p>
      <w:pPr>
        <w:numPr>
          <w:ilvl w:val="0"/>
          <w:numId w:val="1005"/>
        </w:numPr>
      </w:pPr>
      <w:r>
        <w:t xml:space="preserve">Personality traits, big five =&gt; divide into 1) content, 2) effects</w:t>
      </w:r>
    </w:p>
    <w:p>
      <w:pPr>
        <w:numPr>
          <w:ilvl w:val="0"/>
          <w:numId w:val="1005"/>
        </w:numPr>
      </w:pPr>
      <w:r>
        <w:t xml:space="preserve">International comparisons?</w:t>
      </w:r>
    </w:p>
    <w:p>
      <w:pPr>
        <w:pStyle w:val="Heading1"/>
      </w:pPr>
      <w:bookmarkStart w:id="45" w:name="references"/>
      <w:r>
        <w:t xml:space="preserve">References</w:t>
      </w:r>
      <w:bookmarkEnd w:id="45"/>
    </w:p>
    <w:bookmarkStart w:id="53" w:name="refs"/>
    <w:bookmarkStart w:id="46" w:name="ref-dill2013oxford"/>
    <w:p>
      <w:pPr>
        <w:pStyle w:val="Bibliography"/>
      </w:pPr>
      <w:r>
        <w:t xml:space="preserve">Dill, K. E. (2013).</w:t>
      </w:r>
      <w:r>
        <w:t xml:space="preserve"> </w:t>
      </w:r>
      <w:r>
        <w:rPr>
          <w:i/>
        </w:rPr>
        <w:t xml:space="preserve">The oxford handbook of media psychology</w:t>
      </w:r>
      <w:r>
        <w:t xml:space="preserve">. Oxford University Press.</w:t>
      </w:r>
    </w:p>
    <w:bookmarkEnd w:id="46"/>
    <w:bookmarkStart w:id="47" w:name="ref-kragh2017russia"/>
    <w:p>
      <w:pPr>
        <w:pStyle w:val="Bibliography"/>
      </w:pPr>
      <w:r>
        <w:t xml:space="preserve">Kragh, M., &amp; Åsberg, S. (2017). Russia’s strategy for influence through public diplomacy and active measures: The swedish case.</w:t>
      </w:r>
      <w:r>
        <w:t xml:space="preserve"> </w:t>
      </w:r>
      <w:r>
        <w:rPr>
          <w:i/>
        </w:rPr>
        <w:t xml:space="preserve">Journal of Strategic Studies</w:t>
      </w:r>
      <w:r>
        <w:t xml:space="preserve">,</w:t>
      </w:r>
      <w:r>
        <w:t xml:space="preserve"> </w:t>
      </w:r>
      <w:r>
        <w:rPr>
          <w:i/>
        </w:rPr>
        <w:t xml:space="preserve">40</w:t>
      </w:r>
      <w:r>
        <w:t xml:space="preserve">(6), 773–816.</w:t>
      </w:r>
    </w:p>
    <w:bookmarkEnd w:id="47"/>
    <w:bookmarkStart w:id="48" w:name="ref-larson2009foundations"/>
    <w:p>
      <w:pPr>
        <w:pStyle w:val="Bibliography"/>
      </w:pPr>
      <w:r>
        <w:t xml:space="preserve">Larson, E. V., Darilek, R. E., Gibran, D., Nichiporuk, B., Richardson, A., Schwartz, L. H., &amp; Thurston, C. Q. (2009).</w:t>
      </w:r>
      <w:r>
        <w:t xml:space="preserve"> </w:t>
      </w:r>
      <w:r>
        <w:rPr>
          <w:i/>
        </w:rPr>
        <w:t xml:space="preserve">Foundations of effective influence operations: A framework for enhancing army capabilities</w:t>
      </w:r>
      <w:r>
        <w:t xml:space="preserve">. RAND ARROYO CENTER SANTA MONICA CA.</w:t>
      </w:r>
    </w:p>
    <w:bookmarkEnd w:id="48"/>
    <w:bookmarkStart w:id="49" w:name="ref-santa2013improving"/>
    <w:p>
      <w:pPr>
        <w:pStyle w:val="Bibliography"/>
      </w:pPr>
      <w:r>
        <w:t xml:space="preserve">Santa Maria, S. D. (2013).</w:t>
      </w:r>
      <w:r>
        <w:t xml:space="preserve"> </w:t>
      </w:r>
      <w:r>
        <w:rPr>
          <w:i/>
        </w:rPr>
        <w:t xml:space="preserve">Improving influence operations by defining influence and influence operations</w:t>
      </w:r>
      <w:r>
        <w:t xml:space="preserve">. ARMY COMMAND AND GENERAL STAFF COLLEGE FORT LEAVENWORTH KS SCHOOL OF ….</w:t>
      </w:r>
    </w:p>
    <w:bookmarkEnd w:id="49"/>
    <w:bookmarkStart w:id="50" w:name="ref-valkenburg2004children"/>
    <w:p>
      <w:pPr>
        <w:pStyle w:val="Bibliography"/>
      </w:pPr>
      <w:r>
        <w:t xml:space="preserve">Valkenburg, P. M. (2004).</w:t>
      </w:r>
      <w:r>
        <w:t xml:space="preserve"> </w:t>
      </w:r>
      <w:r>
        <w:rPr>
          <w:i/>
        </w:rPr>
        <w:t xml:space="preserve">Children’s responses to the screen: A media psychological approach</w:t>
      </w:r>
      <w:r>
        <w:t xml:space="preserve">. Routledge.</w:t>
      </w:r>
    </w:p>
    <w:bookmarkEnd w:id="50"/>
    <w:bookmarkStart w:id="51" w:name="ref-valkenburg2016media"/>
    <w:p>
      <w:pPr>
        <w:pStyle w:val="Bibliography"/>
      </w:pPr>
      <w:r>
        <w:t xml:space="preserve">Valkenburg, P. M., Peter, J., &amp; Walther, J. B. (2016). Media effects: Theory and research.</w:t>
      </w:r>
      <w:r>
        <w:t xml:space="preserve"> </w:t>
      </w:r>
      <w:r>
        <w:rPr>
          <w:i/>
        </w:rPr>
        <w:t xml:space="preserve">Annual Review of Psychology</w:t>
      </w:r>
      <w:r>
        <w:t xml:space="preserve">,</w:t>
      </w:r>
      <w:r>
        <w:t xml:space="preserve"> </w:t>
      </w:r>
      <w:r>
        <w:rPr>
          <w:i/>
        </w:rPr>
        <w:t xml:space="preserve">67</w:t>
      </w:r>
      <w:r>
        <w:t xml:space="preserve">, 315–338.</w:t>
      </w:r>
    </w:p>
    <w:bookmarkEnd w:id="51"/>
    <w:bookmarkStart w:id="52" w:name="ref-wanless2019you"/>
    <w:p>
      <w:pPr>
        <w:pStyle w:val="Bibliography"/>
      </w:pPr>
      <w:r>
        <w:t xml:space="preserve">Wanless, A., &amp; Pamment, J. (2019). How do you define a problem like influence?</w:t>
      </w:r>
      <w:r>
        <w:t xml:space="preserve"> </w:t>
      </w:r>
      <w:r>
        <w:rPr>
          <w:i/>
        </w:rPr>
        <w:t xml:space="preserve">Journal of Information Warfare</w:t>
      </w:r>
      <w:r>
        <w:t xml:space="preserve">,</w:t>
      </w:r>
      <w:r>
        <w:t xml:space="preserve"> </w:t>
      </w:r>
      <w:r>
        <w:rPr>
          <w:i/>
        </w:rPr>
        <w:t xml:space="preserve">18</w:t>
      </w:r>
      <w:r>
        <w:t xml:space="preserve">(3), 1–14.</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4" Target="http://wang.ist.psu.edu/emotion/kim2017.htm" TargetMode="External" /></Relationships>
</file>

<file path=word/_rels/footnotes.xml.rels><?xml version="1.0" encoding="UTF-8"?>
<Relationships xmlns="http://schemas.openxmlformats.org/package/2006/relationships"><Relationship Type="http://schemas.openxmlformats.org/officeDocument/2006/relationships/hyperlink" Id="rId24" Target="http://wang.ist.psu.edu/emotion/kim2017.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Polarization and Online Influence Operations in Sweden</dc:title>
  <dc:creator/>
  <cp:keywords/>
  <dcterms:created xsi:type="dcterms:W3CDTF">2021-09-22T07:31:23Z</dcterms:created>
  <dcterms:modified xsi:type="dcterms:W3CDTF">2021-09-22T07:31:23Z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/home/sol-nhl/res/projects/scom-pol/src/disinfo.bib</vt:lpwstr>
  </property>
  <property fmtid="{D5CDD505-2E9C-101B-9397-08002B2CF9AE}" pid="3" name="co-applicants">
    <vt:lpwstr>humlab, psych, industry, etc</vt:lpwstr>
  </property>
  <property fmtid="{D5CDD505-2E9C-101B-9397-08002B2CF9AE}" pid="4" name="csl">
    <vt:lpwstr>/home/sol-nhl/res/publications/articles/bibliographies/apa-7th-edition.csl</vt:lpwstr>
  </property>
  <property fmtid="{D5CDD505-2E9C-101B-9397-08002B2CF9AE}" pid="5" name="subtitle">
    <vt:lpwstr>PIs – Michael Bossetta, Nils Holmberg</vt:lpwstr>
  </property>
</Properties>
</file>