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annuel 2025 de l'Observatoire régional de l'énergie</w:t>
      </w:r>
    </w:p>
    <w:p>
      <w:r>
        <w:rPr>
          <w:i/>
          <w:color w:val="595959"/>
        </w:rPr>
        <w:t>Document de test du complément « Tableaux Word vers Excel » — données fictives</w:t>
      </w:r>
    </w:p>
    <w:p>
      <w:pPr>
        <w:jc w:val="both"/>
      </w:pPr>
      <w:r>
        <w:t xml:space="preserve">Ce rapport de test mélange du texte courant, des listes, des figures, des équations et </w:t>
      </w:r>
      <w:r>
        <w:rPr>
          <w:b/>
        </w:rPr>
        <w:t>treize tableaux</w:t>
      </w:r>
      <w:r>
        <w:t xml:space="preserve"> : dix sont accompagnés d'une légende (champ SEQ ou texte), trois n'en ont pas. Il contient volontairement des pièges pour la détection des légendes : légendes de figure et d'équation collées à un tableau, légende placée entre deux tableaux, légende au-dessous du tableau, légende en anglais, paragraphe vide entre la légende et le tableau, tableau dans l'en-tête de page.</w:t>
      </w:r>
    </w:p>
    <w:p>
      <w:pPr>
        <w:pStyle w:val="Heading1"/>
      </w:pPr>
      <w:r>
        <w:t>1. Introduction</w:t>
      </w:r>
    </w:p>
    <w:p>
      <w:pPr>
        <w:jc w:val="both"/>
      </w:pPr>
      <w:r>
        <w:t>L'Observatoire régional de l'énergie publie chaque année un état des lieux de la consommation, de la production renouvelable et des émissions de gaz à effet de serre. Les tableaux et figures sont numérotés automatiquement ; les montants sont exprimés hors taxes.</w:t>
      </w:r>
    </w:p>
    <w:p>
      <w:pPr>
        <w:jc w:val="both"/>
      </w:pPr>
      <w:r>
        <w:t>Les principaux enseignements de l'année 2025 sont les suivants :</w:t>
      </w:r>
    </w:p>
    <w:p>
      <w:pPr>
        <w:pStyle w:val="ListBullet"/>
      </w:pPr>
      <w:r>
        <w:rPr>
          <w:b/>
        </w:rPr>
        <w:t>Consommation</w:t>
      </w:r>
      <w:r>
        <w:t xml:space="preserve"> : légère baisse (−1,8 %) portée par le tertiaire et l'industrie ;</w:t>
      </w:r>
    </w:p>
    <w:p>
      <w:pPr>
        <w:pStyle w:val="ListBullet"/>
      </w:pPr>
      <w:r>
        <w:rPr>
          <w:b/>
        </w:rPr>
        <w:t>Production renouvelable</w:t>
      </w:r>
      <w:r>
        <w:t xml:space="preserve"> : +9,6 %, grâce au solaire photovoltaïque ;</w:t>
      </w:r>
    </w:p>
    <w:p>
      <w:pPr>
        <w:pStyle w:val="ListBullet"/>
      </w:pPr>
      <w:r>
        <w:rPr>
          <w:b/>
        </w:rPr>
        <w:t>Émissions</w:t>
      </w:r>
      <w:r>
        <w:t xml:space="preserve"> : 4,1 Mt CO</w:t>
      </w:r>
      <w:r>
        <w:rPr>
          <w:vertAlign w:val="subscript"/>
        </w:rPr>
        <w:t>2</w:t>
      </w:r>
      <w:r>
        <w:t xml:space="preserve"> évitées, un niveau record ;</w:t>
      </w:r>
    </w:p>
    <w:p>
      <w:pPr>
        <w:pStyle w:val="ListBullet"/>
      </w:pPr>
      <w:r>
        <w:t>budget exécuté à 97,2 %, conformément aux prévisions.</w:t>
      </w:r>
    </w:p>
    <w:p>
      <w:pPr>
        <w:pStyle w:val="Heading1"/>
      </w:pPr>
      <w:r>
        <w:t>2. Consommation d'énergie</w:t>
      </w:r>
    </w:p>
    <w:p>
      <w:pPr>
        <w:jc w:val="both"/>
      </w:pPr>
      <w:r>
        <w:t>La figure 1 présente l'évolution de la consommation finale depuis 2021. La baisse amorcée en 2022 se poursuit, à un rythme plus modéré.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400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0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1</w:t>
      </w:r>
      <w:r>
        <w:fldChar w:fldCharType="end"/>
      </w:r>
      <w:r>
        <w:t xml:space="preserve"> : Évolution de la consommation finale par secteur (TWh)</w:t>
      </w:r>
    </w:p>
    <w:p>
      <w:pPr>
        <w:jc w:val="both"/>
      </w:pPr>
      <w:r>
        <w:t>Le tableau 1 détaille la consommation par secteur. Les transports restent le premier poste, devant l'industrie.</w:t>
      </w:r>
    </w:p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1</w:t>
      </w:r>
      <w:r>
        <w:fldChar w:fldCharType="end"/>
      </w:r>
      <w:r>
        <w:t xml:space="preserve"> : Consommation d'énergie finale par secteur (GWh)</w:t>
      </w:r>
    </w:p>
    <w:tbl>
      <w:tblPr>
        <w:tblStyle w:val="MediumShading1-Accent1"/>
        <w:tblW w:type="auto" w:w="0"/>
        <w:tblLayout w:type="fixed"/>
        <w:tblLook w:val="04E0" w:firstRow="1" w:lastRow="1" w:firstColumn="1" w:lastColumn="0" w:noHBand="0" w:noVBand="1"/>
      </w:tblPr>
      <w:tblGrid>
        <w:gridCol w:w="2381"/>
        <w:gridCol w:w="1587"/>
        <w:gridCol w:w="1587"/>
        <w:gridCol w:w="1587"/>
        <w:gridCol w:w="2268"/>
      </w:tblGrid>
      <w:tr>
        <w:trPr>
          <w:tblHeader/>
        </w:trPr>
        <w:tc>
          <w:tcPr>
            <w:tcW w:type="dxa" w:w="2381"/>
          </w:tcPr>
          <w:p>
            <w:pPr>
              <w:spacing w:after="0"/>
            </w:pPr>
            <w:r>
              <w:t>Secteur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2023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2024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2025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t>Évolution 2024-2025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t>Résidentiel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12 540,3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12 612,8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12 401,5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−1,7 %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t>Tertiaire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8 214,0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8 032,6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7 811,2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−2,8 %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t>Industrie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13 902,4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13 688,1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13 290,7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−2,9 %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t>Transports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15 330,9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15 402,3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15 288,4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−0,7 %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t>Agriculture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1 208,7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1 199,5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1 212,0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00B050"/>
              </w:rPr>
              <w:t>+1,0 %</w:t>
            </w:r>
          </w:p>
        </w:tc>
      </w:tr>
      <w:tr>
        <w:tc>
          <w:tcPr>
            <w:tcW w:type="dxa" w:w="2381"/>
          </w:tcPr>
          <w:p>
            <w:pPr>
              <w:spacing w:after="0"/>
            </w:pPr>
            <w:r>
              <w:t>Total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51 196,3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50 935,3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t>50 003,8</w:t>
            </w:r>
          </w:p>
        </w:tc>
        <w:tc>
          <w:tcPr>
            <w:tcW w:type="dxa" w:w="2268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−1,8 %</w:t>
            </w:r>
          </w:p>
        </w:tc>
      </w:tr>
    </w:tbl>
    <w:p>
      <w:pPr>
        <w:jc w:val="both"/>
      </w:pPr>
      <w:r>
        <w:t>Hors agriculture, tous les secteurs sont en baisse. La correction climatique est détaillée en annexe.</w:t>
      </w:r>
    </w:p>
    <w:p>
      <w:pPr>
        <w:pStyle w:val="Heading1"/>
      </w:pPr>
      <w:r>
        <w:t>3. Méthodologie</w:t>
      </w:r>
    </w:p>
    <w:p>
      <w:pPr>
        <w:jc w:val="both"/>
      </w:pPr>
      <w:r>
        <w:t>L'énergie consommée sur la période est obtenue en sommant, pour chaque usage, la puissance appelée multipliée par la durée d'utilisation :</w:t>
      </w:r>
    </w:p>
    <w:p>
      <w:pPr>
        <w:jc w:val="center"/>
      </w:pPr>
      <m:oMathPara>
        <m:oMath>
          <m:r>
            <m:t xml:space="preserve">E</m:t>
          </m:r>
          <m:r>
            <m:rPr>
              <m:sty m:val="p"/>
            </m:rPr>
            <m:t xml:space="preserve">=</m:t>
          </m:r>
          <m:nary>
            <m:naryPr>
              <m:chr m:val="∑"/>
              <m:limLoc m:val="undOvr"/>
            </m:naryPr>
            <m:sub>
              <m:r>
                <m:t xml:space="preserve">i</m:t>
              </m:r>
              <m:r>
                <m:rPr>
                  <m:sty m:val="p"/>
                </m:rPr>
                <m:t xml:space="preserve">=1</m:t>
              </m:r>
            </m:sub>
            <m:sup>
              <m:r>
                <m:t xml:space="preserve">n</m:t>
              </m:r>
            </m:sup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sty m:val="p"/>
                </m:rPr>
                <m:t xml:space="preserve">·</m:t>
              </m:r>
              <m:sSub>
                <m:e>
                  <m:r>
                    <m:t xml:space="preserve">t</m:t>
                  </m:r>
                </m:e>
                <m:sub>
                  <m:r>
                    <m:t xml:space="preserve">i</m:t>
                  </m:r>
                </m:sub>
              </m:sSub>
            </m:e>
          </m:nary>
        </m:oMath>
      </m:oMathPara>
    </w:p>
    <w:p>
      <w:pPr>
        <w:pStyle w:val="Caption"/>
        <w:keepNext w:val="0"/>
        <w:spacing w:before="120"/>
      </w:pPr>
      <w:r>
        <w:t xml:space="preserve">Équation </w:t>
      </w:r>
      <w:r>
        <w:fldChar w:fldCharType="begin"/>
      </w:r>
      <w:r>
        <w:instrText xml:space="preserve"> SEQ Équation \* ARABIC </w:instrText>
      </w:r>
      <w:r>
        <w:fldChar w:fldCharType="separate"/>
      </w:r>
      <w:r>
        <w:t>1</w:t>
      </w:r>
      <w:r>
        <w:fldChar w:fldCharType="end"/>
      </w:r>
      <w:r>
        <w:t xml:space="preserve"> : Énergie consommée</w:t>
      </w:r>
    </w:p>
    <w:p>
      <w:pPr>
        <w:jc w:val="both"/>
      </w:pPr>
      <w:r>
        <w:t>Les paramètres du modèle de prévision, estimés sur la période 2010-2024, figurent dans le tableau 2.</w:t>
      </w:r>
    </w:p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2</w:t>
      </w:r>
      <w:r>
        <w:fldChar w:fldCharType="end"/>
      </w:r>
      <w:r>
        <w:t xml:space="preserve"> : Paramètres du modèle de prévision</w:t>
      </w:r>
    </w:p>
    <w:tbl>
      <w:tblPr>
        <w:tblStyle w:val="LightGrid-Accent1"/>
        <w:tblW w:type="auto" w:w="0"/>
        <w:tblLayout w:type="fixed"/>
        <w:tblLook w:val="04A0" w:firstRow="1" w:lastRow="0" w:firstColumn="1" w:lastColumn="0" w:noHBand="0" w:noVBand="1"/>
      </w:tblPr>
      <w:tblGrid>
        <w:gridCol w:w="1247"/>
        <w:gridCol w:w="4535"/>
        <w:gridCol w:w="1361"/>
        <w:gridCol w:w="1701"/>
      </w:tblGrid>
      <w:tr>
        <w:tc>
          <w:tcPr>
            <w:tcW w:type="dxa" w:w="1247"/>
          </w:tcPr>
          <w:p>
            <w:pPr>
              <w:spacing w:after="0"/>
            </w:pPr>
            <w:r>
              <w:t>Symbole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Description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Valeur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Unité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i/>
              </w:rPr>
              <w:t>α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Élasticité-prix de la demande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−0,35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i/>
              </w:rPr>
              <w:t>β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Élasticité-revenu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0,62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—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i/>
              </w:rPr>
              <w:t>T</w:t>
            </w:r>
            <w:r>
              <w:rPr>
                <w:vertAlign w:val="subscript"/>
              </w:rPr>
              <w:t>ref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Température de référence (degrés-jours)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18,0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°C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i/>
              </w:rPr>
              <w:t>f</w:t>
            </w:r>
            <w:r>
              <w:rPr>
                <w:vertAlign w:val="subscript"/>
              </w:rPr>
              <w:t>CO2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Facteur d'émission moyen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0,057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kg CO</w:t>
            </w:r>
            <w:r>
              <w:rPr>
                <w:vertAlign w:val="subscript"/>
              </w:rPr>
              <w:t>2</w:t>
            </w:r>
            <w:r>
              <w:t>/kWh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i/>
              </w:rPr>
              <w:t>S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Surface chauffée moyenne par logement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92,4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m</w:t>
            </w:r>
            <w:r>
              <w:rPr>
                <w:vertAlign w:val="superscript"/>
              </w:rPr>
              <w:t>2</w:t>
            </w:r>
          </w:p>
        </w:tc>
      </w:tr>
    </w:tbl>
    <w:p>
      <w:pPr>
        <w:jc w:val="both"/>
      </w:pPr>
      <w:r>
        <w:t>Trois scénarios encadrent les projections. Le tableau ci-dessous récapitule les hypothèses retenues pour chacun d'eux.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041"/>
        <w:gridCol w:w="2041"/>
        <w:gridCol w:w="2041"/>
      </w:tblGrid>
      <w:tr>
        <w:tc>
          <w:tcPr>
            <w:tcW w:type="dxa" w:w="283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Hypothèse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Scénario bas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Scénario central</w:t>
            </w:r>
          </w:p>
        </w:tc>
        <w:tc>
          <w:tcPr>
            <w:tcW w:type="dxa" w:w="2041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Scénario haut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Croissance du PIB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0,5 %/an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1,2 %/an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1,9 %/an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Prix du gaz (€/MWh)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25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40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65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Rénovations annuelles</w:t>
            </w:r>
          </w:p>
          <w:p>
            <w:pPr>
              <w:pStyle w:val="ListBullet"/>
            </w:pPr>
            <w:r>
              <w:rPr>
                <w:i/>
                <w:sz w:val="18"/>
              </w:rPr>
              <w:t>dont 60 % en maisons individuelles</w:t>
            </w:r>
          </w:p>
          <w:p>
            <w:pPr>
              <w:pStyle w:val="ListBullet"/>
            </w:pPr>
            <w:r>
              <w:rPr>
                <w:i/>
                <w:sz w:val="18"/>
              </w:rPr>
              <w:t>et 40 % en logements collectifs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15 000 logements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25 000 logements</w:t>
            </w:r>
          </w:p>
        </w:tc>
        <w:tc>
          <w:tcPr>
            <w:tcW w:type="dxa" w:w="2041"/>
          </w:tcPr>
          <w:p>
            <w:pPr>
              <w:spacing w:after="0"/>
              <w:jc w:val="center"/>
            </w:pPr>
            <w:r>
              <w:t>40 000 logements</w:t>
            </w:r>
          </w:p>
        </w:tc>
      </w:tr>
    </w:tbl>
    <w:p>
      <w:pPr>
        <w:jc w:val="both"/>
      </w:pPr>
      <w:r>
        <w:t>Le scénario central sert de référence dans la suite du document.</w:t>
      </w:r>
    </w:p>
    <w:p>
      <w:pPr>
        <w:pStyle w:val="Heading1"/>
      </w:pPr>
      <w:r>
        <w:t>4. Production d'électricité renouvelable</w:t>
      </w:r>
    </w:p>
    <w:p>
      <w:pPr>
        <w:jc w:val="both"/>
      </w:pPr>
      <w:r>
        <w:t xml:space="preserve">La production renouvelable progresse dans toutes les zones. Le tableau 3 croise les régions et les filières ; les cellules d'en-tête sont </w:t>
      </w:r>
      <w:r>
        <w:rPr>
          <w:b/>
        </w:rPr>
        <w:t>fusionnées</w:t>
      </w:r>
      <w:r>
        <w:t xml:space="preserve"> horizontalement et verticalement.</w:t>
      </w:r>
    </w:p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3</w:t>
      </w:r>
      <w:r>
        <w:fldChar w:fldCharType="end"/>
      </w:r>
      <w:r>
        <w:t xml:space="preserve"> : Production renouvelable par région et par filière (GWh)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2211"/>
        <w:gridCol w:w="1134"/>
        <w:gridCol w:w="1134"/>
        <w:gridCol w:w="1134"/>
        <w:gridCol w:w="1361"/>
        <w:gridCol w:w="1361"/>
      </w:tblGrid>
      <w:tr>
        <w:trPr>
          <w:tblHeader/>
        </w:trPr>
        <w:tc>
          <w:tcPr>
            <w:tcW w:type="dxa" w:w="850"/>
            <w:vMerge w:val="restart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Zone</w:t>
            </w:r>
          </w:p>
        </w:tc>
        <w:tc>
          <w:tcPr>
            <w:tcW w:type="dxa" w:w="2211"/>
            <w:vMerge w:val="restart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Région</w:t>
            </w:r>
          </w:p>
        </w:tc>
        <w:tc>
          <w:tcPr>
            <w:tcW w:type="dxa" w:w="1134"/>
            <w:gridSpan w:val="2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1361"/>
            <w:gridSpan w:val="2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1361"/>
            <w:vMerge w:val="restart"/>
            <w:shd w:val="clear" w:color="auto" w:fill="1F4E79"/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Variation</w:t>
            </w:r>
          </w:p>
        </w:tc>
      </w:tr>
      <w:tr>
        <w:trPr>
          <w:tblHeader/>
        </w:trPr>
        <w:tc>
          <w:tcPr>
            <w:tcW w:type="dxa" w:w="1345"/>
            <w:vMerge/>
          </w:tcPr>
          <w:p/>
        </w:tc>
        <w:tc>
          <w:tcPr>
            <w:tcW w:type="dxa" w:w="1345"/>
            <w:vMerge/>
          </w:tcPr>
          <w:p/>
        </w:tc>
        <w:tc>
          <w:tcPr>
            <w:tcW w:type="dxa" w:w="113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Éolien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Solaire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Éolien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Solaire</w:t>
            </w:r>
          </w:p>
        </w:tc>
        <w:tc>
          <w:tcPr>
            <w:tcW w:type="dxa" w:w="1345"/>
            <w:vMerge/>
          </w:tcPr>
          <w:p/>
        </w:tc>
      </w:tr>
      <w:tr>
        <w:tc>
          <w:tcPr>
            <w:tcW w:type="dxa" w:w="850"/>
            <w:vMerge w:val="restart"/>
            <w:shd w:val="clear" w:color="auto" w:fill="E2EFDA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Nord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t>Hauts-de-France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9 820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1 210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10 450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1 498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  <w:color w:val="00B050"/>
              </w:rPr>
              <w:t>+8,3 %</w:t>
            </w:r>
          </w:p>
        </w:tc>
      </w:tr>
      <w:tr>
        <w:tc>
          <w:tcPr>
            <w:tcW w:type="dxa" w:w="1345"/>
            <w:vMerge/>
          </w:tcPr>
          <w:p/>
        </w:tc>
        <w:tc>
          <w:tcPr>
            <w:tcW w:type="dxa" w:w="2211"/>
          </w:tcPr>
          <w:p>
            <w:pPr>
              <w:spacing w:after="0"/>
            </w:pPr>
            <w:r>
              <w:t>Normandie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3 105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640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3 390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802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  <w:color w:val="00B050"/>
              </w:rPr>
              <w:t>+11,9 %</w:t>
            </w:r>
          </w:p>
        </w:tc>
      </w:tr>
      <w:tr>
        <w:tc>
          <w:tcPr>
            <w:tcW w:type="dxa" w:w="850"/>
            <w:vMerge w:val="restart"/>
            <w:shd w:val="clear" w:color="auto" w:fill="FFF2CC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Est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t>Grand Est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6 720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1 105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7 010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1 392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</w:rPr>
              <w:t>+7,4 %</w:t>
            </w:r>
          </w:p>
        </w:tc>
      </w:tr>
      <w:tr>
        <w:tc>
          <w:tcPr>
            <w:tcW w:type="dxa" w:w="1345"/>
            <w:vMerge/>
          </w:tcPr>
          <w:p/>
        </w:tc>
        <w:tc>
          <w:tcPr>
            <w:tcW w:type="dxa" w:w="2211"/>
          </w:tcPr>
          <w:p>
            <w:pPr>
              <w:spacing w:after="0"/>
            </w:pPr>
            <w:r>
              <w:t>Bourgogne-Franche-Comté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2 230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890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2 410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1 120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  <w:color w:val="00B050"/>
              </w:rPr>
              <w:t>+13,1 %</w:t>
            </w:r>
          </w:p>
        </w:tc>
      </w:tr>
      <w:tr>
        <w:tc>
          <w:tcPr>
            <w:tcW w:type="dxa" w:w="1345"/>
            <w:vMerge/>
          </w:tcPr>
          <w:p/>
        </w:tc>
        <w:tc>
          <w:tcPr>
            <w:tcW w:type="dxa" w:w="2211"/>
          </w:tcPr>
          <w:p>
            <w:pPr>
              <w:spacing w:after="0"/>
            </w:pPr>
            <w:r>
              <w:t>Auvergne-Rhône-Alpes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1 640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2 350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1 702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2 810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  <w:color w:val="00B050"/>
              </w:rPr>
              <w:t>+13,1 %</w:t>
            </w:r>
          </w:p>
        </w:tc>
      </w:tr>
      <w:tr>
        <w:tc>
          <w:tcPr>
            <w:tcW w:type="dxa" w:w="850"/>
            <w:vMerge w:val="restart"/>
            <w:shd w:val="clear" w:color="auto" w:fill="FCE4D6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Sud</w:t>
            </w:r>
          </w:p>
        </w:tc>
        <w:tc>
          <w:tcPr>
            <w:tcW w:type="dxa" w:w="2211"/>
          </w:tcPr>
          <w:p>
            <w:pPr>
              <w:spacing w:after="0"/>
            </w:pPr>
            <w:r>
              <w:t>Occitanie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4 480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3 920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4 705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>4 611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 w:val="0"/>
                <w:color w:val="00B050"/>
              </w:rPr>
              <w:t>+10,9 %</w:t>
            </w:r>
          </w:p>
        </w:tc>
      </w:tr>
      <w:tr>
        <w:tc>
          <w:tcPr>
            <w:tcW w:type="dxa" w:w="1345"/>
            <w:vMerge/>
          </w:tcPr>
          <w:p/>
        </w:tc>
        <w:tc>
          <w:tcPr>
            <w:tcW w:type="dxa" w:w="2211"/>
          </w:tcPr>
          <w:p>
            <w:pPr>
              <w:spacing w:after="0"/>
            </w:pPr>
            <w:r>
              <w:t>Provence-Alpes-Côte d'Azur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150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3 310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162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t xml:space="preserve">4 611 </w:t>
            </w:r>
            <w:r>
              <w:rPr>
                <w:b/>
                <w:highlight w:val="yellow"/>
              </w:rPr>
              <w:t>record</w:t>
            </w:r>
          </w:p>
        </w:tc>
        <w:tc>
          <w:tcPr>
            <w:tcW w:type="dxa" w:w="1361"/>
          </w:tcPr>
          <w:p>
            <w:pPr>
              <w:spacing w:after="0"/>
              <w:jc w:val="right"/>
            </w:pPr>
            <w:r>
              <w:rPr>
                <w:b/>
                <w:color w:val="00B050"/>
              </w:rPr>
              <w:t>+19,7 %</w:t>
            </w:r>
          </w:p>
        </w:tc>
      </w:tr>
      <w:tr>
        <w:tc>
          <w:tcPr>
            <w:tcW w:type="dxa" w:w="2211"/>
            <w:gridSpan w:val="2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28 145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13 425</w:t>
            </w:r>
          </w:p>
        </w:tc>
        <w:tc>
          <w:tcPr>
            <w:tcW w:type="dxa" w:w="1134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29 829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16 213</w:t>
            </w:r>
          </w:p>
        </w:tc>
        <w:tc>
          <w:tcPr>
            <w:tcW w:type="dxa" w:w="1361"/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+9,6 %</w:t>
            </w:r>
          </w:p>
        </w:tc>
      </w:tr>
    </w:tbl>
    <w:p>
      <w:pPr>
        <w:jc w:val="both"/>
      </w:pPr>
      <w:r>
        <w:t>La figure 2 montre la répartition de la production 2025 entre les filières.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240000" cy="2289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89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before="12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 xml:space="preserve"> : Répartition de la production renouvelable 2025 par filière</w:t>
      </w:r>
    </w:p>
    <w:tbl>
      <w:tblPr>
        <w:tblStyle w:val="LightList-Accent2"/>
        <w:tblW w:type="auto" w:w="0"/>
        <w:tblLayout w:type="fixed"/>
        <w:tblLook w:val="0420" w:firstRow="1" w:lastRow="0" w:firstColumn="0" w:lastColumn="0" w:noHBand="0" w:noVBand="1"/>
      </w:tblPr>
      <w:tblGrid>
        <w:gridCol w:w="2835"/>
        <w:gridCol w:w="1701"/>
      </w:tblGrid>
      <w:tr>
        <w:tc>
          <w:tcPr>
            <w:tcW w:type="dxa" w:w="2835"/>
          </w:tcPr>
          <w:p>
            <w:pPr>
              <w:spacing w:after="0"/>
            </w:pPr>
            <w:r>
              <w:t>Filière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Part (%)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Éolien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48,1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Solaire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29,7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Hydraulique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12,4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Biomasse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6,3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t>Autres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3,5</w:t>
            </w:r>
          </w:p>
        </w:tc>
      </w:tr>
    </w:tbl>
    <w:p>
      <w:pPr>
        <w:jc w:val="both"/>
      </w:pPr>
      <w:r>
        <w:t>Les émissions évitées sont calculées en appliquant le facteur d'émission du mix remplacé. Le tableau 4 ci-dessous en donne le détail par filière (</w:t>
      </w:r>
      <w:r>
        <w:rPr>
          <w:i/>
        </w:rPr>
        <w:t>légende placée sous le tableau</w:t>
      </w:r>
      <w:r>
        <w:t>, sans champ SEQ).</w:t>
      </w:r>
    </w:p>
    <w:tbl>
      <w:tblPr>
        <w:tblW w:type="auto" w:w="0"/>
        <w:tblBorders>
          <w:top w:val="single" w:sz="12" w:space="0" w:color="7F7F7F"/>
          <w:left w:val="single" w:sz="4" w:space="0" w:color="7F7F7F"/>
          <w:bottom w:val="single" w:sz="12" w:space="0" w:color="7F7F7F"/>
          <w:right w:val="single" w:sz="4" w:space="0" w:color="7F7F7F"/>
          <w:insideH w:val="dotted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2835"/>
      </w:tblGrid>
      <w:tr>
        <w:tc>
          <w:tcPr>
            <w:tcW w:type="dxa" w:w="2268"/>
            <w:shd w:val="clear" w:color="auto" w:fill="D9D9D9"/>
          </w:tcPr>
          <w:p>
            <w:pPr>
              <w:spacing w:after="0"/>
            </w:pPr>
            <w:r>
              <w:rPr>
                <w:b/>
              </w:rPr>
              <w:t>Filière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0"/>
              <w:jc w:val="right"/>
            </w:pPr>
            <w:r>
              <w:rPr>
                <w:b/>
              </w:rPr>
              <w:t>Émissions évitées (kt CO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>)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/>
            </w:pPr>
            <w:r>
              <w:rPr>
                <w:b/>
              </w:rPr>
              <w:t>Méthode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Éolien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t>1 842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Marginale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Solaire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t>1 136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Marginale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Hydraulique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t>702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 xml:space="preserve">Moyenne </w:t>
            </w:r>
            <w:r>
              <w:rPr>
                <w:i/>
                <w:color w:val="7F7F7F"/>
              </w:rPr>
              <w:t>(provisoire)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t>Biomasse</w:t>
            </w:r>
          </w:p>
        </w:tc>
        <w:tc>
          <w:tcPr>
            <w:tcW w:type="dxa" w:w="2551"/>
          </w:tcPr>
          <w:p>
            <w:pPr>
              <w:spacing w:after="0"/>
              <w:jc w:val="right"/>
            </w:pPr>
            <w:r>
              <w:t>418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t>Moyenne</w:t>
            </w:r>
          </w:p>
        </w:tc>
      </w:tr>
    </w:tbl>
    <w:p>
      <w:pPr>
        <w:pStyle w:val="Caption"/>
        <w:keepNext w:val="0"/>
        <w:spacing w:before="120"/>
      </w:pPr>
      <w:r>
        <w:t xml:space="preserve">Tableau </w:t>
      </w:r>
      <w:r>
        <w:t>4</w:t>
      </w:r>
      <w:r>
        <w:t xml:space="preserve"> – Émissions de CO₂ évitées par filière</w:t>
      </w:r>
    </w:p>
    <w:p>
      <w:pPr>
        <w:jc w:val="both"/>
      </w:pPr>
      <w:r>
        <w:t>Ces résultats confirment le rôle central de l'éolien dans la décarbonation du système électrique régional.</w:t>
      </w:r>
    </w:p>
    <w:p>
      <w:pPr>
        <w:sectPr>
          <w:headerReference w:type="default" r:id="rId9"/>
          <w:footerReference w:type="default" r:id="rId10"/>
          <w:pgSz w:w="11906" w:h="16838"/>
          <w:pgMar w:top="1304" w:right="1247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t>5. Analyse financière</w:t>
      </w:r>
    </w:p>
    <w:p>
      <w:pPr>
        <w:jc w:val="both"/>
      </w:pPr>
      <w:r>
        <w:t>Le budget de l'observatoire est présenté hors taxes. Les écarts négatifs traduisent une sous-exécution.</w:t>
      </w:r>
    </w:p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\r 5 \* ARABIC </w:instrText>
      </w:r>
      <w:r>
        <w:fldChar w:fldCharType="separate"/>
      </w:r>
      <w:r>
        <w:t>5</w:t>
      </w:r>
      <w:r>
        <w:fldChar w:fldCharType="end"/>
      </w:r>
      <w:r>
        <w:t xml:space="preserve"> : Budget 2025 de l'observatoire (k€)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1644"/>
        <w:gridCol w:w="1644"/>
        <w:gridCol w:w="1417"/>
        <w:gridCol w:w="1644"/>
      </w:tblGrid>
      <w:tr>
        <w:trPr>
          <w:trHeight w:val="624" w:hRule="exact"/>
        </w:trPr>
        <w:tc>
          <w:tcPr>
            <w:tcW w:type="dxa" w:w="3061"/>
            <w:shd w:val="clear" w:color="auto" w:fill="2F5496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Poste</w:t>
            </w:r>
          </w:p>
        </w:tc>
        <w:tc>
          <w:tcPr>
            <w:tcW w:type="dxa" w:w="1644"/>
            <w:shd w:val="clear" w:color="auto" w:fill="2F5496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Budget initial</w:t>
            </w:r>
          </w:p>
        </w:tc>
        <w:tc>
          <w:tcPr>
            <w:tcW w:type="dxa" w:w="1644"/>
            <w:shd w:val="clear" w:color="auto" w:fill="2F5496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Réalisé</w:t>
            </w:r>
          </w:p>
        </w:tc>
        <w:tc>
          <w:tcPr>
            <w:tcW w:type="dxa" w:w="1417"/>
            <w:shd w:val="clear" w:color="auto" w:fill="2F5496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Écart</w:t>
            </w:r>
          </w:p>
        </w:tc>
        <w:tc>
          <w:tcPr>
            <w:tcW w:type="dxa" w:w="1644"/>
            <w:shd w:val="clear" w:color="auto" w:fill="2F5496"/>
          </w:tcPr>
          <w:p>
            <w:pPr>
              <w:spacing w:after="0"/>
              <w:jc w:val="center"/>
            </w:pPr>
            <w:r>
              <w:rPr>
                <w:b/>
                <w:color w:val="FFFFFF"/>
              </w:rPr>
              <w:t>Taux d'exécution</w:t>
            </w:r>
          </w:p>
        </w:tc>
      </w:tr>
      <w:tr>
        <w:trPr>
          <w:trHeight w:val="340" w:hRule="exact"/>
        </w:trPr>
        <w:tc>
          <w:tcPr>
            <w:tcW w:type="dxa" w:w="3061"/>
          </w:tcPr>
          <w:p>
            <w:pPr>
              <w:spacing w:after="0"/>
            </w:pPr>
            <w:r>
              <w:t>Personnel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1 250,00 €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1 238,40 €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−11,60 €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99,1 %</w:t>
            </w:r>
          </w:p>
        </w:tc>
      </w:tr>
      <w:tr>
        <w:trPr>
          <w:trHeight w:val="340" w:hRule="exact"/>
        </w:trPr>
        <w:tc>
          <w:tcPr>
            <w:tcW w:type="dxa" w:w="3061"/>
          </w:tcPr>
          <w:p>
            <w:pPr>
              <w:spacing w:after="0"/>
            </w:pPr>
            <w:r>
              <w:t>Études et enquêtes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420,00 €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384,50 €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−35,50 €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91,5 %</w:t>
            </w:r>
          </w:p>
        </w:tc>
      </w:tr>
      <w:tr>
        <w:trPr>
          <w:trHeight w:val="340" w:hRule="exact"/>
        </w:trPr>
        <w:tc>
          <w:tcPr>
            <w:tcW w:type="dxa" w:w="3061"/>
          </w:tcPr>
          <w:p>
            <w:pPr>
              <w:spacing w:after="0"/>
            </w:pPr>
            <w:r>
              <w:t>Systèmes d'information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180,00 €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192,30 €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t>12,30 €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106,8 %</w:t>
            </w:r>
          </w:p>
        </w:tc>
      </w:tr>
      <w:tr>
        <w:trPr>
          <w:trHeight w:val="340" w:hRule="exact"/>
        </w:trPr>
        <w:tc>
          <w:tcPr>
            <w:tcW w:type="dxa" w:w="3061"/>
          </w:tcPr>
          <w:p>
            <w:pPr>
              <w:spacing w:after="0"/>
            </w:pPr>
            <w:r>
              <w:t>Communication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95,00 €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88,70 €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−6,30 €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93,4 %</w:t>
            </w:r>
          </w:p>
        </w:tc>
      </w:tr>
      <w:tr>
        <w:trPr>
          <w:trHeight w:val="340" w:hRule="exact"/>
        </w:trPr>
        <w:tc>
          <w:tcPr>
            <w:tcW w:type="dxa" w:w="3061"/>
          </w:tcPr>
          <w:p>
            <w:pPr>
              <w:spacing w:after="0"/>
            </w:pPr>
            <w:r>
              <w:rPr>
                <w:strike/>
              </w:rPr>
              <w:t>Étude annulée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60,00 €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0,00 €</w:t>
            </w:r>
          </w:p>
        </w:tc>
        <w:tc>
          <w:tcPr>
            <w:tcW w:type="dxa" w:w="1417"/>
          </w:tcPr>
          <w:p>
            <w:pPr>
              <w:spacing w:after="0"/>
              <w:jc w:val="right"/>
            </w:pPr>
            <w:r>
              <w:rPr>
                <w:color w:val="C00000"/>
              </w:rPr>
              <w:t>−60,00 €</w:t>
            </w:r>
          </w:p>
        </w:tc>
        <w:tc>
          <w:tcPr>
            <w:tcW w:type="dxa" w:w="1644"/>
          </w:tcPr>
          <w:p>
            <w:pPr>
              <w:spacing w:after="0"/>
              <w:jc w:val="right"/>
            </w:pPr>
            <w:r>
              <w:t>0,0 %</w:t>
            </w:r>
          </w:p>
        </w:tc>
      </w:tr>
      <w:tr>
        <w:trPr>
          <w:trHeight w:val="340" w:hRule="exact"/>
        </w:trPr>
        <w:tc>
          <w:tcPr>
            <w:tcW w:type="dxa" w:w="3061"/>
            <w:tcBorders>
              <w:top w:val="double" w:sz="6" w:space="0" w:color="000000"/>
            </w:tcBorders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Total</w:t>
            </w:r>
          </w:p>
        </w:tc>
        <w:tc>
          <w:tcPr>
            <w:tcW w:type="dxa" w:w="1644"/>
            <w:tcBorders>
              <w:top w:val="double" w:sz="6" w:space="0" w:color="000000"/>
            </w:tcBorders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2 005,00 €</w:t>
            </w:r>
          </w:p>
        </w:tc>
        <w:tc>
          <w:tcPr>
            <w:tcW w:type="dxa" w:w="1644"/>
            <w:tcBorders>
              <w:top w:val="double" w:sz="6" w:space="0" w:color="000000"/>
            </w:tcBorders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1 903,90 €</w:t>
            </w:r>
          </w:p>
        </w:tc>
        <w:tc>
          <w:tcPr>
            <w:tcW w:type="dxa" w:w="1417"/>
            <w:tcBorders>
              <w:top w:val="double" w:sz="6" w:space="0" w:color="000000"/>
            </w:tcBorders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  <w:color w:val="C00000"/>
              </w:rPr>
              <w:t>−101,10 €</w:t>
            </w:r>
          </w:p>
        </w:tc>
        <w:tc>
          <w:tcPr>
            <w:tcW w:type="dxa" w:w="1644"/>
            <w:tcBorders>
              <w:top w:val="double" w:sz="6" w:space="0" w:color="000000"/>
            </w:tcBorders>
            <w:shd w:val="clear" w:color="auto" w:fill="F2F2F2"/>
          </w:tcPr>
          <w:p>
            <w:pPr>
              <w:spacing w:after="0"/>
              <w:jc w:val="right"/>
            </w:pPr>
            <w:r>
              <w:rPr>
                <w:b/>
              </w:rPr>
              <w:t>95,0 %</w:t>
            </w:r>
          </w:p>
        </w:tc>
      </w:tr>
    </w:tbl>
    <w:p>
      <w:pPr>
        <w:jc w:val="both"/>
      </w:pPr>
      <w:r>
        <w:t xml:space="preserve">Le coût actualisé de l'énergie (LCOE) sert à comparer les filières. Pour une installation donnée, les émissions évitées s'écrivent aussi </w:t>
      </w:r>
      <w:r>
        <w:rPr>
          <w:i/>
        </w:rPr>
        <w:t>simplement</w:t>
      </w:r>
      <w:r>
        <w:t xml:space="preserve"> : </w:t>
      </w:r>
      <m:oMath>
        <m:sSub>
          <m:e>
            <m:r>
              <m:t xml:space="preserve">E</m:t>
            </m:r>
          </m:e>
          <m:sub>
            <m:r>
              <m:rPr>
                <m:sty m:val="p"/>
              </m:rPr>
              <m:t xml:space="preserve">CO2</m:t>
            </m:r>
          </m:sub>
        </m:sSub>
        <m:r>
          <m:rPr>
            <m:sty m:val="p"/>
          </m:rPr>
          <m:t xml:space="preserve">=</m:t>
        </m:r>
        <m:r>
          <m:t xml:space="preserve">Q</m:t>
        </m:r>
        <m:r>
          <m:rPr>
            <m:sty m:val="p"/>
          </m:rPr>
          <m:t xml:space="preserve">×</m:t>
        </m:r>
        <m:sSub>
          <m:e>
            <m:r>
              <m:t xml:space="preserve">f</m:t>
            </m:r>
          </m:e>
          <m:sub>
            <m:r>
              <m:rPr>
                <m:sty m:val="p"/>
              </m:rPr>
              <m:t xml:space="preserve">mix</m:t>
            </m:r>
          </m:sub>
        </m:sSub>
      </m:oMath>
      <w:r>
        <w:t>, où Q est l'énergie produite.</w:t>
      </w:r>
    </w:p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6</w:t>
      </w:r>
      <w:r>
        <w:fldChar w:fldCharType="end"/>
      </w:r>
      <w:r>
        <w:t xml:space="preserve"> : Indicateurs clés de performance</w:t>
      </w:r>
    </w:p>
    <w:p/>
    <w:tbl>
      <w:tblPr>
        <w:tblW w:type="auto" w:w="0"/>
        <w:tblBorders>
          <w:top w:val="single" w:sz="18" w:space="0" w:color="1F4E79"/>
          <w:left w:val="single" w:sz="18" w:space="0" w:color="1F4E79"/>
          <w:bottom w:val="single" w:sz="18" w:space="0" w:color="1F4E79"/>
          <w:right w:val="single" w:sz="18" w:space="0" w:color="1F4E79"/>
          <w:insideH w:val="double" w:sz="4" w:space="0" w:color="1F4E79"/>
          <w:insideV w:val="single" w:sz="4" w:space="0" w:color="1F4E79"/>
        </w:tblBorders>
        <w:tblLayout w:type="fixed"/>
        <w:tblLook w:firstColumn="1" w:firstRow="1" w:lastColumn="0" w:lastRow="0" w:noHBand="0" w:noVBand="1" w:val="04A0"/>
      </w:tblPr>
      <w:tblGrid>
        <w:gridCol w:w="3402"/>
        <w:gridCol w:w="1134"/>
        <w:gridCol w:w="1134"/>
        <w:gridCol w:w="1134"/>
        <w:gridCol w:w="2268"/>
      </w:tblGrid>
      <w:tr>
        <w:trPr>
          <w:trHeight w:val="1361" w:hRule="exact"/>
        </w:trPr>
        <w:tc>
          <w:tcPr>
            <w:tcW w:type="dxa" w:w="3402"/>
            <w:shd w:val="clear" w:color="auto" w:fill="DEEAF6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Indicateur</w:t>
            </w:r>
          </w:p>
        </w:tc>
        <w:tc>
          <w:tcPr>
            <w:tcW w:type="dxa" w:w="1134"/>
            <w:shd w:val="clear" w:color="auto" w:fill="DEEAF6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Objectif</w:t>
            </w:r>
          </w:p>
        </w:tc>
        <w:tc>
          <w:tcPr>
            <w:tcW w:type="dxa" w:w="1134"/>
            <w:shd w:val="clear" w:color="auto" w:fill="DEEAF6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Atteint</w:t>
            </w:r>
          </w:p>
        </w:tc>
        <w:tc>
          <w:tcPr>
            <w:tcW w:type="dxa" w:w="1134"/>
            <w:shd w:val="clear" w:color="auto" w:fill="DEEAF6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Tendance</w:t>
            </w:r>
          </w:p>
        </w:tc>
        <w:tc>
          <w:tcPr>
            <w:tcW w:type="dxa" w:w="2268"/>
            <w:shd w:val="clear" w:color="auto" w:fill="DEEAF6"/>
            <w:textDirection w:val="btLr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Statut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Part renouvelable dans la consommation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t>35 %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33,8 %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color w:val="00B050"/>
              </w:rPr>
              <w:t>✔ en bonne voie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Consommation par habitant (MWh)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t>20,0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20,6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↘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color w:val="00B050"/>
              </w:rPr>
              <w:t>✔ en bonne voie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 xml:space="preserve">Logements rénovés </w:t>
            </w:r>
            <w:r>
              <w:rPr>
                <w:u w:val="double"/>
              </w:rPr>
              <w:t>(BBC)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t>25 000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18 400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→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caps/>
                <w:color w:val="C00000"/>
              </w:rPr>
              <w:t>✘ en retard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t>Bornes de recharge publiques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t>4 000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4 350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</w:rPr>
              <w:t>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>
              <w:rPr>
                <w:color w:val="00B050"/>
              </w:rPr>
              <w:t>✔ atteint</w:t>
            </w:r>
          </w:p>
        </w:tc>
      </w:tr>
    </w:tbl>
    <w:p>
      <w:pPr>
        <w:jc w:val="both"/>
      </w:pPr>
      <w:r>
        <w:t>Le coût actualisé de l'énergie est défini comme le rapport des coûts actualisés à l'énergie actualisée produite sur la durée de vie N de l'installation :</w:t>
      </w:r>
    </w:p>
    <w:p>
      <w:pPr>
        <w:jc w:val="center"/>
      </w:pPr>
      <m:oMathPara>
        <m:oMath>
          <m:r>
            <m:t xml:space="preserve">LCOE</m:t>
          </m:r>
          <m:r>
            <m:rPr>
              <m:sty m:val="p"/>
            </m:rPr>
            <m:t xml:space="preserve">=</m:t>
          </m:r>
          <m:f>
            <m:num>
              <m:nary>
                <m:naryPr>
                  <m:chr m:val="∑"/>
                  <m:limLoc m:val="undOvr"/>
                </m:naryPr>
                <m:sub>
                  <m:r>
                    <m:t xml:space="preserve">t</m:t>
                  </m:r>
                  <m:r>
                    <m:rPr>
                      <m:sty m:val="p"/>
                    </m:rPr>
                    <m:t xml:space="preserve">=1</m:t>
                  </m:r>
                </m:sub>
                <m:sup>
                  <m:r>
                    <m:t xml:space="preserve">N</m:t>
                  </m:r>
                </m:sup>
                <m:e>
                  <m:f>
                    <m:num>
                      <m:sSub>
                        <m:e>
                          <m:r>
                            <m:t xml:space="preserve">I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+</m:t>
                      </m:r>
                      <m:sSub>
                        <m:e>
                          <m:r>
                            <m:t xml:space="preserve">M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+</m:t>
                      </m:r>
                      <m:sSub>
                        <m:e>
                          <m:r>
                            <m:t xml:space="preserve">F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</m:num>
                    <m:den>
                      <m:sSup>
                        <m:e>
                          <m:d>
                            <m:e>
                              <m:r>
                                <m:rPr>
                                  <m:sty m:val="p"/>
                                </m:rPr>
                                <m:t xml:space="preserve">1</m:t>
                              </m:r>
                              <m:r>
                                <m:rPr>
                                  <m:sty m:val="p"/>
                                </m:rPr>
                                <m:t xml:space="preserve">+</m:t>
                              </m:r>
                              <m:r>
                                <m:t xml:space="preserve">r</m:t>
                              </m:r>
                            </m:e>
                          </m:d>
                        </m:e>
                        <m:sup>
                          <m:r>
                            <m:t xml:space="preserve">t</m:t>
                          </m:r>
                        </m:sup>
                      </m:sSup>
                    </m:den>
                  </m:f>
                </m:e>
              </m:nary>
            </m:num>
            <m:den>
              <m:nary>
                <m:naryPr>
                  <m:chr m:val="∑"/>
                  <m:limLoc m:val="undOvr"/>
                </m:naryPr>
                <m:sub>
                  <m:r>
                    <m:t xml:space="preserve">t</m:t>
                  </m:r>
                  <m:r>
                    <m:rPr>
                      <m:sty m:val="p"/>
                    </m:rPr>
                    <m:t xml:space="preserve">=1</m:t>
                  </m:r>
                </m:sub>
                <m:sup>
                  <m:r>
                    <m:t xml:space="preserve">N</m:t>
                  </m:r>
                </m:sup>
                <m:e>
                  <m:f>
                    <m:num>
                      <m:sSub>
                        <m:e>
                          <m:r>
                            <m:t xml:space="preserve">E</m:t>
                          </m:r>
                        </m:e>
                        <m:sub>
                          <m:r>
                            <m:t xml:space="preserve">t</m:t>
                          </m:r>
                        </m:sub>
                      </m:sSub>
                    </m:num>
                    <m:den>
                      <m:sSup>
                        <m:e>
                          <m:d>
                            <m:e>
                              <m:r>
                                <m:rPr>
                                  <m:sty m:val="p"/>
                                </m:rPr>
                                <m:t xml:space="preserve">1</m:t>
                              </m:r>
                              <m:r>
                                <m:rPr>
                                  <m:sty m:val="p"/>
                                </m:rPr>
                                <m:t xml:space="preserve">+</m:t>
                              </m:r>
                              <m:r>
                                <m:t xml:space="preserve">r</m:t>
                              </m:r>
                            </m:e>
                          </m:d>
                        </m:e>
                        <m:sup>
                          <m:r>
                            <m:t xml:space="preserve">t</m:t>
                          </m:r>
                        </m:sup>
                      </m:sSup>
                    </m:den>
                  </m:f>
                </m:e>
              </m:nary>
            </m:den>
          </m:f>
        </m:oMath>
      </m:oMathPara>
    </w:p>
    <w:p>
      <w:pPr>
        <w:pStyle w:val="Caption"/>
        <w:keepNext/>
        <w:spacing w:before="120"/>
      </w:pPr>
      <w:r>
        <w:t xml:space="preserve">Équation </w:t>
      </w:r>
      <w:r>
        <w:fldChar w:fldCharType="begin"/>
      </w:r>
      <w:r>
        <w:instrText xml:space="preserve"> SEQ Équation \* ARABIC </w:instrText>
      </w:r>
      <w:r>
        <w:fldChar w:fldCharType="separate"/>
      </w:r>
      <w:r>
        <w:t>2</w:t>
      </w:r>
      <w:r>
        <w:fldChar w:fldCharType="end"/>
      </w:r>
      <w:r>
        <w:t xml:space="preserve"> : Coût actualisé de l'énergie (LCOE)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701"/>
        <w:gridCol w:w="3685"/>
      </w:tblGrid>
      <w:tr>
        <w:tc>
          <w:tcPr>
            <w:tcW w:type="dxa" w:w="3402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Paramètre</w:t>
            </w:r>
          </w:p>
        </w:tc>
        <w:tc>
          <w:tcPr>
            <w:tcW w:type="dxa" w:w="170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Valeur</w:t>
            </w:r>
          </w:p>
        </w:tc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Source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t>Taux d'actualisation r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4,5 %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t>Recommandation nationale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t>Durée de vie N (éolien)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25 ans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t>Constructeurs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t>Durée de vie N (solaire)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30 ans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t>Constructeurs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>
              <w:t>Coût d'investissement I (éolien)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1 350 €/kW</w:t>
            </w:r>
          </w:p>
        </w:tc>
        <w:tc>
          <w:tcPr>
            <w:tcW w:type="dxa" w:w="3685"/>
          </w:tcPr>
          <w:p>
            <w:pPr>
              <w:spacing w:after="0"/>
            </w:pPr>
            <w:r>
              <w:t>Appels d'offres 2024</w:t>
            </w:r>
          </w:p>
        </w:tc>
      </w:tr>
    </w:tbl>
    <w:p>
      <w:pPr>
        <w:jc w:val="both"/>
      </w:pPr>
      <w:r>
        <w:t>Avec ces paramètres, le LCOE de l'éolien terrestre ressort à 62 €/MWh et celui du solaire au sol à 54 €/MWh.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2111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11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120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 xml:space="preserve"> : Évolution du LCOE depuis 2016 (€/MWh)</w:t>
      </w:r>
    </w:p>
    <w:p>
      <w:pPr>
        <w:jc w:val="both"/>
      </w:pPr>
      <w:r>
        <w:t>La baisse des coûts ralentit mais se poursuit pour les deux filières.</w:t>
      </w:r>
    </w:p>
    <w:p>
      <w:pPr>
        <w:pStyle w:val="Heading1"/>
      </w:pPr>
      <w:r>
        <w:t>Annexes</w:t>
      </w:r>
    </w:p>
    <w:p>
      <w:pPr>
        <w:pStyle w:val="Heading2"/>
      </w:pPr>
      <w:r>
        <w:t>Annexe A – Ressources humaines</w:t>
      </w:r>
    </w:p>
    <w:p>
      <w:pPr>
        <w:jc w:val="both"/>
      </w:pPr>
      <w:r>
        <w:t>Les effectifs et les formations sont présentés dans deux tableaux consécutifs, séparés uniquement par la légende du second.</w:t>
      </w:r>
    </w:p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7</w:t>
      </w:r>
      <w:r>
        <w:fldChar w:fldCharType="end"/>
      </w:r>
      <w:r>
        <w:t xml:space="preserve"> : Répartition des effectifs par service</w:t>
      </w:r>
    </w:p>
    <w:tbl>
      <w:tblPr>
        <w:tblStyle w:val="MediumGrid1-Accent1"/>
        <w:tblW w:type="auto" w:w="0"/>
        <w:tblLayout w:type="fixed"/>
        <w:tblLook w:val="0420" w:firstRow="1" w:lastRow="0" w:firstColumn="0" w:lastColumn="0" w:noHBand="0" w:noVBand="1"/>
      </w:tblPr>
      <w:tblGrid>
        <w:gridCol w:w="2551"/>
        <w:gridCol w:w="1134"/>
        <w:gridCol w:w="4535"/>
      </w:tblGrid>
      <w:tr>
        <w:tc>
          <w:tcPr>
            <w:tcW w:type="dxa" w:w="2551"/>
          </w:tcPr>
          <w:p>
            <w:pPr>
              <w:spacing w:after="0"/>
            </w:pPr>
            <w:r>
              <w:t>Service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t>ETP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Détail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Direction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3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Directeur, adjoint, assistante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Études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11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Pôles :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568"/>
              <w:gridCol w:w="1568"/>
            </w:tblGrid>
            <w:tr>
              <w:tc>
                <w:tcPr>
                  <w:tcW w:type="dxa" w:w="1568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Consommation</w:t>
                  </w:r>
                </w:p>
              </w:tc>
              <w:tc>
                <w:tcPr>
                  <w:tcW w:type="dxa" w:w="1568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6</w:t>
                  </w:r>
                </w:p>
              </w:tc>
            </w:tr>
            <w:tr>
              <w:tc>
                <w:tcPr>
                  <w:tcW w:type="dxa" w:w="1568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Production</w:t>
                  </w:r>
                </w:p>
              </w:tc>
              <w:tc>
                <w:tcPr>
                  <w:tcW w:type="dxa" w:w="1568"/>
                </w:tcPr>
                <w:p>
                  <w:pPr>
                    <w:spacing w:after="0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</w:tbl>
          <w:p/>
          <w:p/>
        </w:tc>
      </w:tr>
      <w:tr>
        <w:tc>
          <w:tcPr>
            <w:tcW w:type="dxa" w:w="2551"/>
          </w:tcPr>
          <w:p>
            <w:pPr>
              <w:spacing w:after="0"/>
            </w:pPr>
            <w:r>
              <w:t>Données et SI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6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t>Dont 2 alternants</w:t>
            </w:r>
          </w:p>
        </w:tc>
      </w:tr>
      <w:tr>
        <w:tc>
          <w:tcPr>
            <w:tcW w:type="dxa" w:w="2551"/>
          </w:tcPr>
          <w:p>
            <w:pPr>
              <w:spacing w:after="0"/>
            </w:pPr>
            <w:r>
              <w:t>Communication</w:t>
            </w:r>
          </w:p>
        </w:tc>
        <w:tc>
          <w:tcPr>
            <w:tcW w:type="dxa" w:w="1134"/>
          </w:tcPr>
          <w:p>
            <w:pPr>
              <w:spacing w:after="0"/>
              <w:jc w:val="right"/>
            </w:pPr>
            <w:r>
              <w:t>2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</w:p>
        </w:tc>
      </w:tr>
    </w:tbl>
    <w:p>
      <w:pPr>
        <w:pStyle w:val="Caption"/>
        <w:keepNext/>
        <w:spacing w:before="120"/>
      </w:pPr>
      <w:r>
        <w:t xml:space="preserve">Tableau </w:t>
      </w:r>
      <w:r>
        <w:fldChar w:fldCharType="begin"/>
      </w:r>
      <w:r>
        <w:instrText xml:space="preserve"> SEQ Tableau \* ARABIC </w:instrText>
      </w:r>
      <w:r>
        <w:fldChar w:fldCharType="separate"/>
      </w:r>
      <w:r>
        <w:t>8</w:t>
      </w:r>
      <w:r>
        <w:fldChar w:fldCharType="end"/>
      </w:r>
      <w:r>
        <w:t xml:space="preserve"> : Formations suivies en 2025</w:t>
      </w:r>
    </w:p>
    <w:tbl>
      <w:tblPr>
        <w:tblStyle w:val="LightShading-Accent1"/>
        <w:tblW w:type="auto" w:w="0"/>
        <w:tblLayout w:type="fixed"/>
        <w:tblLook w:val="0420" w:firstRow="1" w:lastRow="0" w:firstColumn="0" w:lastColumn="0" w:noHBand="0" w:noVBand="1"/>
      </w:tblPr>
      <w:tblGrid>
        <w:gridCol w:w="3628"/>
        <w:gridCol w:w="1814"/>
        <w:gridCol w:w="1247"/>
        <w:gridCol w:w="1701"/>
      </w:tblGrid>
      <w:tr>
        <w:tc>
          <w:tcPr>
            <w:tcW w:type="dxa" w:w="3628"/>
          </w:tcPr>
          <w:p>
            <w:pPr>
              <w:spacing w:after="0"/>
            </w:pPr>
            <w:r>
              <w:t>Formation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t>Participants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t>Heures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t>Satisfaction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t>Analyse de données avec Python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t>8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t>21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4,6 / 5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t>Réglementation environnementale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t>12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t>7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4,1 / 5</w:t>
            </w:r>
          </w:p>
        </w:tc>
      </w:tr>
      <w:tr>
        <w:tc>
          <w:tcPr>
            <w:tcW w:type="dxa" w:w="3628"/>
          </w:tcPr>
          <w:p>
            <w:pPr>
              <w:spacing w:after="0"/>
            </w:pPr>
            <w:r>
              <w:t>Prise de parole en public</w:t>
            </w:r>
          </w:p>
        </w:tc>
        <w:tc>
          <w:tcPr>
            <w:tcW w:type="dxa" w:w="1814"/>
          </w:tcPr>
          <w:p>
            <w:pPr>
              <w:spacing w:after="0"/>
              <w:jc w:val="right"/>
            </w:pPr>
            <w:r>
              <w:t>5</w:t>
            </w:r>
          </w:p>
        </w:tc>
        <w:tc>
          <w:tcPr>
            <w:tcW w:type="dxa" w:w="1247"/>
          </w:tcPr>
          <w:p>
            <w:pPr>
              <w:spacing w:after="0"/>
              <w:jc w:val="right"/>
            </w:pPr>
            <w:r>
              <w:t>14</w:t>
            </w:r>
          </w:p>
        </w:tc>
        <w:tc>
          <w:tcPr>
            <w:tcW w:type="dxa" w:w="1701"/>
          </w:tcPr>
          <w:p>
            <w:pPr>
              <w:spacing w:after="0"/>
              <w:jc w:val="right"/>
            </w:pPr>
            <w:r>
              <w:t>4,8 / 5</w:t>
            </w:r>
          </w:p>
        </w:tc>
      </w:tr>
    </w:tbl>
    <w:p>
      <w:pPr>
        <w:jc w:val="both"/>
      </w:pPr>
      <w:r>
        <w:t>Toutes les formations ont été réalisées dans le cadre du plan annuel.</w:t>
      </w:r>
    </w:p>
    <w:p>
      <w:pPr>
        <w:pStyle w:val="Heading2"/>
      </w:pPr>
      <w:r>
        <w:t>Annexe B – Glossary</w:t>
      </w:r>
    </w:p>
    <w:p>
      <w:pPr>
        <w:jc w:val="both"/>
      </w:pPr>
      <w:r>
        <w:t>Cette annexe est reprise d'un document en anglais : sa légende utilise le libellé « Table ».</w:t>
      </w:r>
    </w:p>
    <w:p>
      <w:pPr>
        <w:pStyle w:val="Caption"/>
        <w:keepNext/>
        <w:spacing w:before="120"/>
      </w:pPr>
      <w:r>
        <w:t xml:space="preserve">Table </w:t>
      </w:r>
      <w:r>
        <w:fldChar w:fldCharType="begin"/>
      </w:r>
      <w:r>
        <w:instrText xml:space="preserve"> SEQ Table \r 9 \* ARABIC </w:instrText>
      </w:r>
      <w:r>
        <w:fldChar w:fldCharType="separate"/>
      </w:r>
      <w:r>
        <w:t>9</w:t>
      </w:r>
      <w:r>
        <w:fldChar w:fldCharType="end"/>
      </w:r>
      <w:r>
        <w:t>: Glossary of acronyms</w:t>
      </w:r>
    </w:p>
    <w:tbl>
      <w:tblPr>
        <w:tblStyle w:val="LightList"/>
        <w:tblW w:type="auto" w:w="0"/>
        <w:tblLayout w:type="fixed"/>
        <w:tblLook w:val="0420" w:firstRow="1" w:lastRow="0" w:firstColumn="0" w:lastColumn="0" w:noHBand="0" w:noVBand="1"/>
      </w:tblPr>
      <w:tblGrid>
        <w:gridCol w:w="1701"/>
        <w:gridCol w:w="7087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b w:val="0"/>
              </w:rPr>
              <w:t>Acronym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t>Definition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</w:rPr>
              <w:t>BBC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t>Bâtiment basse consommation (low-energy building label)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</w:rPr>
              <w:t>ETP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t>Équivalent temps plein (full-time equivalent)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</w:rPr>
              <w:t>GWh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t>Gigawatt-hour, i.e. one million kilowatt-hours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</w:rPr>
              <w:t>LCOE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t>Levelized cost of energy: discounted lifetime costs divided by discounted lifetime energy output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b/>
              </w:rPr>
              <w:t>SI</w:t>
            </w:r>
          </w:p>
        </w:tc>
        <w:tc>
          <w:tcPr>
            <w:tcW w:type="dxa" w:w="7087"/>
          </w:tcPr>
          <w:p>
            <w:pPr>
              <w:spacing w:after="0"/>
            </w:pPr>
            <w:r>
              <w:t>Système d'information (information system)</w:t>
            </w:r>
          </w:p>
        </w:tc>
      </w:tr>
    </w:tbl>
    <w:p>
      <w:pPr>
        <w:pStyle w:val="Heading2"/>
      </w:pPr>
      <w:r>
        <w:t>Annexe C – Calendrier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2948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  <w:t>Tâche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F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M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J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S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O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510"/>
            <w:shd w:val="clear" w:color="auto" w:fill="F2F2F2"/>
          </w:tcPr>
          <w:p>
            <w:pPr>
              <w:spacing w:after="0"/>
              <w:jc w:val="center"/>
            </w:pPr>
            <w:r>
              <w:rPr>
                <w:b/>
              </w:rPr>
              <w:t>D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t>Collecte des données</w:t>
            </w:r>
          </w:p>
        </w:tc>
        <w:tc>
          <w:tcPr>
            <w:tcW w:type="dxa" w:w="510"/>
            <w:shd w:val="clear" w:color="auto" w:fill="5B9BD5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5B9BD5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5B9BD5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t>Traitement et contrôles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70AD47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70AD47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70AD47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t>Rédaction du rapport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FFC00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FFC00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FFC00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FFC00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t>Relecture et validation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ED7D31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ED7D31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</w:tr>
      <w:tr>
        <w:tc>
          <w:tcPr>
            <w:tcW w:type="dxa" w:w="2948"/>
          </w:tcPr>
          <w:p>
            <w:pPr>
              <w:spacing w:after="0"/>
            </w:pPr>
            <w:r>
              <w:t>Publication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  <w:shd w:val="clear" w:color="auto" w:fill="C00000"/>
          </w:tcPr>
          <w:p>
            <w:pPr>
              <w:spacing w:after="0"/>
              <w:jc w:val="center"/>
            </w:pPr>
            <w:r>
              <w:rPr>
                <w:color w:val="FFFFFF"/>
              </w:rPr>
              <w:t>★</w:t>
            </w:r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  <w:tc>
          <w:tcPr>
            <w:tcW w:type="dxa" w:w="510"/>
          </w:tcPr>
          <w:p>
            <w:pPr>
              <w:spacing w:after="0"/>
            </w:pPr>
            <w:r/>
          </w:p>
        </w:tc>
      </w:tr>
    </w:tbl>
    <w:p>
      <w:pPr>
        <w:pStyle w:val="Caption"/>
        <w:keepNext w:val="0"/>
        <w:spacing w:before="120"/>
      </w:pPr>
      <w:r>
        <w:t xml:space="preserve">Tableau </w:t>
      </w:r>
      <w:r>
        <w:fldChar w:fldCharType="begin"/>
      </w:r>
      <w:r>
        <w:instrText xml:space="preserve"> SEQ Tableau \r 10 \* ARABIC </w:instrText>
      </w:r>
      <w:r>
        <w:fldChar w:fldCharType="separate"/>
      </w:r>
      <w:r>
        <w:t>10</w:t>
      </w:r>
      <w:r>
        <w:fldChar w:fldCharType="end"/>
      </w:r>
      <w:r>
        <w:t xml:space="preserve"> : Calendrier prévisionnel de l'édition 2026</w:t>
      </w:r>
    </w:p>
    <w:p>
      <w:pPr>
        <w:jc w:val="both"/>
      </w:pPr>
      <w:r>
        <w:t>Fin du document de test.</w:t>
      </w:r>
    </w:p>
    <w:sectPr w:rsidR="00FC693F" w:rsidRPr="0006063C" w:rsidSect="00034616">
      <w:type w:val="continuous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1F4E79"/>
              <w:sz w:val="18"/>
            </w:rPr>
            <w:t>Observatoire régional de l'énergie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i/>
              <w:sz w:val="18"/>
            </w:rPr>
            <w:t>Rapport annuel 2025 — document de test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 w:val="0"/>
      <w:color w:val="1F4E79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