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pPr>
      <w:r>
        <w:rPr>
          <w:rFonts w:ascii="Arial" w:cs="Arial" w:eastAsia="Arial" w:hAnsi="Arial"/>
          <w:b/>
          <w:bCs/>
          <w:color w:val="1A1A2E"/>
          <w:sz w:val="76"/>
          <w:szCs w:val="76"/>
        </w:rPr>
        <w:t xml:space="preserve">KAIRON OS</w:t>
      </w:r>
    </w:p>
    <w:p>
      <w:pPr>
        <w:spacing w:after="60" w:before="0"/>
      </w:pPr>
      <w:r>
        <w:rPr>
          <w:rFonts w:ascii="Arial" w:cs="Arial" w:eastAsia="Arial" w:hAnsi="Arial"/>
          <w:color w:val="555555"/>
          <w:sz w:val="34"/>
          <w:szCs w:val="34"/>
        </w:rPr>
        <w:t xml:space="preserve">AI Operating System</w:t>
      </w:r>
    </w:p>
    <w:p>
      <w:pPr>
        <w:pBdr>
          <w:bottom w:val="single" w:color="1A1A2E" w:sz="12" w:space="8"/>
        </w:pBdr>
        <w:spacing w:after="400" w:before="80"/>
      </w:pPr>
      <w:r>
        <w:rPr>
          <w:rFonts w:ascii="Arial" w:cs="Arial" w:eastAsia="Arial" w:hAnsi="Arial"/>
          <w:color w:val="2C2C2C"/>
          <w:sz w:val="22"/>
          <w:szCs w:val="22"/>
        </w:rPr>
        <w:t xml:space="preserve"/>
      </w:r>
    </w:p>
    <w:p>
      <w:pPr>
        <w:spacing w:after="160" w:before="0"/>
      </w:pPr>
      <w:r>
        <w:rPr>
          <w:rFonts w:ascii="Arial" w:cs="Arial" w:eastAsia="Arial" w:hAnsi="Arial"/>
          <w:b/>
          <w:bCs/>
          <w:color w:val="2C2C2C"/>
          <w:sz w:val="50"/>
          <w:szCs w:val="50"/>
        </w:rPr>
        <w:t xml:space="preserve">System-Handbuch</w:t>
      </w:r>
    </w:p>
    <w:p>
      <w:pPr>
        <w:spacing w:after="600" w:before="0"/>
      </w:pPr>
      <w:r>
        <w:rPr>
          <w:rFonts w:ascii="Arial" w:cs="Arial" w:eastAsia="Arial" w:hAnsi="Arial"/>
          <w:i/>
          <w:iCs/>
          <w:color w:val="555555"/>
          <w:sz w:val="24"/>
          <w:szCs w:val="24"/>
        </w:rPr>
        <w:t xml:space="preserve">KI-Adoption ist keine Technologie-Frage. Sie ist eine Organisations-Frage. KAIRON OS ist das einzige System, das KI-Governance, operative Umsetzung und kontinuierliches Lernen in einem Betriebssystem vereint – vollständig aus dem KAIRON-Methodik-Kern heraus entwickelt.</w:t>
      </w:r>
    </w:p>
    <w:p>
      <w:pPr>
        <w:spacing w:after="40" w:before="0"/>
      </w:pPr>
      <w:r>
        <w:rPr>
          <w:rFonts w:ascii="Arial" w:cs="Arial" w:eastAsia="Arial" w:hAnsi="Arial"/>
          <w:b/>
          <w:bCs/>
          <w:caps/>
          <w:color w:val="555555"/>
          <w:sz w:val="18"/>
          <w:szCs w:val="18"/>
        </w:rPr>
        <w:t xml:space="preserve">INTERNES SYSTEM-HANDBUCH  ·  VERSION 5.0</w:t>
      </w:r>
    </w:p>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Inhalt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26"/>
        <w:gridCol w:w="370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46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Kapitel</w:t>
            </w:r>
          </w:p>
        </w:tc>
        <w:tc>
          <w:tcPr>
            <w:tcW w:type="dxa" w:w="37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Thema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Das Betriebssystem-Prinzip</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Grundlage &amp; Kernthese</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w:t>
            </w:r>
          </w:p>
        </w:tc>
        <w:tc>
          <w:tcPr>
            <w:tcW w:type="dxa" w:w="4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Die vier Prinzipien</w:t>
            </w:r>
          </w:p>
        </w:tc>
        <w:tc>
          <w:tcPr>
            <w:tcW w:type="dxa" w:w="3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Ownership, Pipeline, Impact, Compound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Das Drei-Ebenen-Modell</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Direction, Sprint, Compound</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4</w:t>
            </w:r>
          </w:p>
        </w:tc>
        <w:tc>
          <w:tcPr>
            <w:tcW w:type="dxa" w:w="4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DIRECTION</w:t>
            </w:r>
          </w:p>
        </w:tc>
        <w:tc>
          <w:tcPr>
            <w:tcW w:type="dxa" w:w="3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Der Quartals-Rhythmus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5</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SPRINT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Der 14-Tage-Rhythmus</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6</w:t>
            </w:r>
          </w:p>
        </w:tc>
        <w:tc>
          <w:tcPr>
            <w:tcW w:type="dxa" w:w="4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COMPOUND</w:t>
            </w:r>
          </w:p>
        </w:tc>
        <w:tc>
          <w:tcPr>
            <w:tcW w:type="dxa" w:w="3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Der Compound Loop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7</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Das AI Playbook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Das organisationale Gedächtnis</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8</w:t>
            </w:r>
          </w:p>
        </w:tc>
        <w:tc>
          <w:tcPr>
            <w:tcW w:type="dxa" w:w="4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Die Rollenarchitektur</w:t>
            </w:r>
          </w:p>
        </w:tc>
        <w:tc>
          <w:tcPr>
            <w:tcW w:type="dxa" w:w="3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Verantwortlichkeiten &amp; Zeitbudgets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9</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Governance-Integration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EU AI Act &amp; Schatten-IT</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10</w:t>
            </w:r>
          </w:p>
        </w:tc>
        <w:tc>
          <w:tcPr>
            <w:tcW w:type="dxa" w:w="4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Das System im Unternehmensalltag</w:t>
            </w:r>
          </w:p>
        </w:tc>
        <w:tc>
          <w:tcPr>
            <w:tcW w:type="dxa" w:w="3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Integrative Praxis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11</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Certified AI Steward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KCAS-Zertifizierungsmodell</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12</w:t>
            </w:r>
          </w:p>
        </w:tc>
        <w:tc>
          <w:tcPr>
            <w:tcW w:type="dxa" w:w="4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Die Produktfamilie</w:t>
            </w:r>
          </w:p>
        </w:tc>
        <w:tc>
          <w:tcPr>
            <w:tcW w:type="dxa" w:w="37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Go-to-Market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13</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Glossar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KAIRON-Sprachregelung</w:t>
            </w:r>
          </w:p>
        </w:tc>
      </w:tr>
    </w:tbl>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1. Das Betriebssystem-Prinzip</w:t>
      </w:r>
    </w:p>
    <w:p>
      <w:pPr>
        <w:pStyle w:val="Heading2"/>
        <w:spacing w:after="120" w:before="340"/>
      </w:pPr>
      <w:r>
        <w:rPr>
          <w:rFonts w:ascii="Arial" w:cs="Arial" w:eastAsia="Arial" w:hAnsi="Arial"/>
          <w:b/>
          <w:bCs/>
          <w:color w:val="16213E"/>
          <w:sz w:val="30"/>
          <w:szCs w:val="30"/>
        </w:rPr>
        <w:t xml:space="preserve">Warum „Operating System“, nicht „Framework“</w:t>
      </w:r>
    </w:p>
    <w:p>
      <w:pPr>
        <w:spacing w:after="100" w:before="80"/>
        <w:jc w:val="left"/>
      </w:pPr>
      <w:r>
        <w:rPr>
          <w:rFonts w:ascii="Arial" w:cs="Arial" w:eastAsia="Arial" w:hAnsi="Arial"/>
          <w:color w:val="2C2C2C"/>
          <w:sz w:val="22"/>
          <w:szCs w:val="22"/>
        </w:rPr>
        <w:t xml:space="preserve">Die Mehrheit der KI-Beratung im DACH-Mittelstand verkauft Frameworks. Frameworks sind Konzept-Landkarten: Sie beschreiben, was gedacht werden sollte, aber nicht, was laufen muss. Sie leben in PowerPoint, nicht im Unternehmensalltag.</w:t>
      </w:r>
    </w:p>
    <w:p>
      <w:pPr>
        <w:spacing w:after="100" w:before="80"/>
        <w:jc w:val="left"/>
      </w:pPr>
      <w:r>
        <w:rPr>
          <w:rFonts w:ascii="Arial" w:cs="Arial" w:eastAsia="Arial" w:hAnsi="Arial"/>
          <w:color w:val="2C2C2C"/>
          <w:sz w:val="22"/>
          <w:szCs w:val="22"/>
        </w:rPr>
        <w:t xml:space="preserve">KAIRON ist kein Framework. KAIRON ist ein Betriebssystem – im wörtlichen Sinne. Ein Betriebssystem steht zwischen Hardware und Anwendung und orchestriert, wer was wann entscheidet. Im KAIRON-Kontext steht das OS zwischen der KI-Technologie und dem Unternehmensalltag.</w:t>
      </w:r>
    </w:p>
    <w:p>
      <w:pPr>
        <w:spacing w:after="100" w:before="80"/>
        <w:jc w:val="left"/>
      </w:pPr>
      <w:r>
        <w:rPr>
          <w:rFonts w:ascii="Arial" w:cs="Arial" w:eastAsia="Arial" w:hAnsi="Arial"/>
          <w:color w:val="2C2C2C"/>
          <w:sz w:val="22"/>
          <w:szCs w:val="22"/>
        </w:rPr>
        <w:t xml:space="preserve">Diese Unterscheidung ist nicht sprachlich, sondern strukturell. Ein OS hat Komponenten, die miteinander verzahnt sind und ohne die das System nicht läuft. Fällt eine Komponente aus, erkennt man es sofort. Ein Framework kann mit fehlenden Teilen weiterbestehen – als Folie.</w:t>
      </w:r>
    </w:p>
    <w:p>
      <w:pPr>
        <w:spacing w:after="12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00"/>
              <w:left w:type="dxa" w:w="220"/>
              <w:bottom w:type="dxa" w:w="100"/>
              <w:right w:type="dxa" w:w="220"/>
            </w:tcMar>
          </w:tcPr>
          <w:p>
            <w:r>
              <w:rPr>
                <w:rFonts w:ascii="Arial" w:cs="Arial" w:eastAsia="Arial" w:hAnsi="Arial"/>
                <w:b/>
                <w:bCs/>
                <w:caps/>
                <w:color w:val="FFFFFF"/>
                <w:sz w:val="20"/>
                <w:szCs w:val="20"/>
              </w:rPr>
              <w:t xml:space="preserve">Die KAIRON-These</w:t>
            </w:r>
          </w:p>
        </w:tc>
      </w:tr>
      <w:tr>
        <w:tc>
          <w:tcPr>
            <w:tcW w:type="dxa" w:w="9026"/>
            <w:tcBorders>
              <w:top w:val="none" w:color="FFFFFF" w:sz="0"/>
              <w:left w:val="none" w:color="FFFFFF" w:sz="0"/>
              <w:bottom w:val="single" w:color="CCCCCC" w:sz="1"/>
              <w:right w:val="none" w:color="FFFFFF" w:sz="0"/>
            </w:tcBorders>
            <w:shd w:fill="E8ECF4"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Der Engpass im KI-Einsatz im Mittelstand ist nicht Technologie, nicht Kompetenz, nicht Budget – sondern fehlende organisationale Orchestrierung. Wer KI organisatorisch orchestriert, realisiert mit denselben Tools und Mitarbeitern ein Mehrfaches des Wirkungsgrades.</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Die drei Grundannahmen</w:t>
      </w:r>
    </w:p>
    <w:p>
      <w:pPr>
        <w:pStyle w:val="Heading3"/>
        <w:spacing w:after="80" w:before="220"/>
      </w:pPr>
      <w:r>
        <w:rPr>
          <w:rFonts w:ascii="Arial" w:cs="Arial" w:eastAsia="Arial" w:hAnsi="Arial"/>
          <w:b/>
          <w:bCs/>
          <w:color w:val="555555"/>
          <w:sz w:val="24"/>
          <w:szCs w:val="24"/>
        </w:rPr>
        <w:t xml:space="preserve">KI-Wert entsteht nicht durch Nutzung, sondern durch Steuerung.</w:t>
      </w:r>
    </w:p>
    <w:p>
      <w:pPr>
        <w:spacing w:after="100" w:before="80"/>
        <w:jc w:val="left"/>
      </w:pPr>
      <w:r>
        <w:rPr>
          <w:rFonts w:ascii="Arial" w:cs="Arial" w:eastAsia="Arial" w:hAnsi="Arial"/>
          <w:color w:val="2C2C2C"/>
          <w:sz w:val="22"/>
          <w:szCs w:val="22"/>
        </w:rPr>
        <w:t xml:space="preserve">Mitarbeiter, die Tools nutzen, erzeugen individuelle Produktivitätsgewinne. Unternehmen, die Tools organisatorisch steuern, erzeugen Geschäftswert. Der Unterschied liegt nicht in der Intensität der Nutzung, sondern in der Qualität der Steuerung.</w:t>
      </w:r>
    </w:p>
    <w:p>
      <w:pPr>
        <w:pStyle w:val="Heading3"/>
        <w:spacing w:after="80" w:before="220"/>
      </w:pPr>
      <w:r>
        <w:rPr>
          <w:rFonts w:ascii="Arial" w:cs="Arial" w:eastAsia="Arial" w:hAnsi="Arial"/>
          <w:b/>
          <w:bCs/>
          <w:color w:val="555555"/>
          <w:sz w:val="24"/>
          <w:szCs w:val="24"/>
        </w:rPr>
        <w:t xml:space="preserve">Steuerung ist ritualisiert oder sie existiert nicht.</w:t>
      </w:r>
    </w:p>
    <w:p>
      <w:pPr>
        <w:spacing w:after="100" w:before="80"/>
        <w:jc w:val="left"/>
      </w:pPr>
      <w:r>
        <w:rPr>
          <w:rFonts w:ascii="Arial" w:cs="Arial" w:eastAsia="Arial" w:hAnsi="Arial"/>
          <w:color w:val="2C2C2C"/>
          <w:sz w:val="22"/>
          <w:szCs w:val="22"/>
        </w:rPr>
        <w:t xml:space="preserve">Steuerung, die von Einzelpersonen und situativen Entscheidungen abhängt, erodiert bei Führungswechseln und Budgetdruck. Nur ritualisierte Steuerung – mit festem Rhythmus, festen Teilnehmern, festen Entscheidungsregeln – überlebt organisatorische Störungen.</w:t>
      </w:r>
    </w:p>
    <w:p>
      <w:pPr>
        <w:pStyle w:val="Heading3"/>
        <w:spacing w:after="80" w:before="220"/>
      </w:pPr>
      <w:r>
        <w:rPr>
          <w:rFonts w:ascii="Arial" w:cs="Arial" w:eastAsia="Arial" w:hAnsi="Arial"/>
          <w:b/>
          <w:bCs/>
          <w:color w:val="555555"/>
          <w:sz w:val="24"/>
          <w:szCs w:val="24"/>
        </w:rPr>
        <w:t xml:space="preserve">KI-Wert wächst nicht linear. Er schichtet sich auf.</w:t>
      </w:r>
    </w:p>
    <w:p>
      <w:pPr>
        <w:spacing w:after="100" w:before="80"/>
        <w:jc w:val="left"/>
      </w:pPr>
      <w:r>
        <w:rPr>
          <w:rFonts w:ascii="Arial" w:cs="Arial" w:eastAsia="Arial" w:hAnsi="Arial"/>
          <w:color w:val="2C2C2C"/>
          <w:sz w:val="22"/>
          <w:szCs w:val="22"/>
        </w:rPr>
        <w:t xml:space="preserve">Jede KI-Initiative produziert nicht nur Ergebnisse – sie produziert Wissen. Dieses Wissen beschleunigt die nächste Initiative. Unternehmen, die dieses Prinzip systematisch nutzen, sind nach drei Jahren nicht dreimal, sondern zehnmal weiter als bei Beginn. Das ist das KAIRON Compound-Prinzip.</w:t>
      </w:r>
    </w:p>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2. Die vier Prinzipien</w:t>
      </w:r>
    </w:p>
    <w:p>
      <w:pPr>
        <w:spacing w:after="100" w:before="80"/>
        <w:jc w:val="left"/>
      </w:pPr>
      <w:r>
        <w:rPr>
          <w:rFonts w:ascii="Arial" w:cs="Arial" w:eastAsia="Arial" w:hAnsi="Arial"/>
          <w:color w:val="2C2C2C"/>
          <w:sz w:val="22"/>
          <w:szCs w:val="22"/>
        </w:rPr>
        <w:t xml:space="preserve">Die vier Prinzipien des KAIRON OS sind operative Regeln, keine Werte. Die ersten drei steuern den laufenden Betrieb. Das vierte Prinzip – Compound – bestimmt, ob das System über Zeit besser wird. Nur wenn alle vier gleichzeitig erfüllt sind, läuft das System auf Höchstleistung.</w:t>
      </w:r>
    </w:p>
    <w:p>
      <w:pPr>
        <w:spacing w:after="10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40"/>
              <w:left w:type="dxa" w:w="220"/>
              <w:bottom w:type="dxa" w:w="140"/>
              <w:right w:type="dxa" w:w="220"/>
            </w:tcMar>
          </w:tcPr>
          <w:p>
            <w:r>
              <w:rPr>
                <w:rFonts w:ascii="Arial" w:cs="Arial" w:eastAsia="Arial" w:hAnsi="Arial"/>
                <w:b/>
                <w:bCs/>
                <w:color w:val="FFFFFF"/>
                <w:sz w:val="22"/>
                <w:szCs w:val="22"/>
              </w:rPr>
              <w:t xml:space="preserve">PRINZIP 1  —  OWNERSHIP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CF4" w:val="clear"/>
            <w:tcMar>
              <w:top w:type="dxa" w:w="140"/>
              <w:left w:type="dxa" w:w="220"/>
              <w:bottom w:type="dxa" w:w="140"/>
              <w:right w:type="dxa" w:w="220"/>
            </w:tcMar>
          </w:tcPr>
          <w:p>
            <w:r>
              <w:rPr>
                <w:rFonts w:ascii="Arial" w:cs="Arial" w:eastAsia="Arial" w:hAnsi="Arial"/>
                <w:b w:val="false"/>
                <w:bCs w:val="false"/>
                <w:color w:val="2C2C2C"/>
                <w:sz w:val="22"/>
                <w:szCs w:val="22"/>
              </w:rPr>
              <w:t xml:space="preserve">Jeder KI-Use-Case hat einen namentlich benannten AI Owner mit dokumentiertem Zeitbudget und klaren Entscheidungsrechten. Kein Owner → kein Use Case.</w:t>
            </w:r>
          </w:p>
        </w:tc>
      </w:tr>
    </w:tbl>
    <w:p>
      <w:pPr>
        <w:spacing w:after="8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Ein Use Case ohne Owner existiert im System nicht. Das ist keine rhetorische Verschärfung – es ist eine Prozessregel: Use Cases ohne Owner werden nicht in die AI Pipeline aufgenommen, erhalten keine Ressourcen und werden im AI Board nicht diskutiert.</w:t>
      </w:r>
    </w:p>
    <w:p>
      <w:pPr>
        <w:pStyle w:val="Heading3"/>
        <w:spacing w:after="80" w:before="220"/>
      </w:pPr>
      <w:r>
        <w:rPr>
          <w:rFonts w:ascii="Arial" w:cs="Arial" w:eastAsia="Arial" w:hAnsi="Arial"/>
          <w:b/>
          <w:bCs/>
          <w:color w:val="555555"/>
          <w:sz w:val="24"/>
          <w:szCs w:val="24"/>
        </w:rPr>
        <w:t xml:space="preserve">Der Owner-Test</w:t>
      </w:r>
    </w:p>
    <w:p>
      <w:pPr>
        <w:pStyle w:val="ListParagraph"/>
        <w:numPr>
          <w:ilvl w:val="0"/>
          <w:numId w:val="2"/>
        </w:numPr>
        <w:spacing w:after="50" w:before="40"/>
      </w:pPr>
      <w:r>
        <w:rPr>
          <w:rFonts w:ascii="Arial" w:cs="Arial" w:eastAsia="Arial" w:hAnsi="Arial"/>
          <w:color w:val="2C2C2C"/>
          <w:sz w:val="22"/>
          <w:szCs w:val="22"/>
        </w:rPr>
        <w:t xml:space="preserve">Sein Name steht schriftlich im Use-Case-Dokument – nicht sein Team, nicht seine Abteilung.</w:t>
      </w:r>
    </w:p>
    <w:p>
      <w:pPr>
        <w:pStyle w:val="ListParagraph"/>
        <w:numPr>
          <w:ilvl w:val="0"/>
          <w:numId w:val="2"/>
        </w:numPr>
        <w:spacing w:after="50" w:before="40"/>
      </w:pPr>
      <w:r>
        <w:rPr>
          <w:rFonts w:ascii="Arial" w:cs="Arial" w:eastAsia="Arial" w:hAnsi="Arial"/>
          <w:color w:val="2C2C2C"/>
          <w:sz w:val="22"/>
          <w:szCs w:val="22"/>
        </w:rPr>
        <w:t xml:space="preserve">Er hat ein dokumentiertes Zeitbudget für diesen Use Case, das er selbst einhalten kann.</w:t>
      </w:r>
    </w:p>
    <w:p>
      <w:pPr>
        <w:pStyle w:val="ListParagraph"/>
        <w:numPr>
          <w:ilvl w:val="0"/>
          <w:numId w:val="2"/>
        </w:numPr>
        <w:spacing w:after="50" w:before="40"/>
      </w:pPr>
      <w:r>
        <w:rPr>
          <w:rFonts w:ascii="Arial" w:cs="Arial" w:eastAsia="Arial" w:hAnsi="Arial"/>
          <w:color w:val="2C2C2C"/>
          <w:sz w:val="22"/>
          <w:szCs w:val="22"/>
        </w:rPr>
        <w:t xml:space="preserve">Er hat das Recht, bei Problemen Entscheidungen zu treffen, ohne jedes Mal eskalieren zu müssen.</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B2335" w:val="clear"/>
            <w:tcMar>
              <w:top w:type="dxa" w:w="100"/>
              <w:left w:type="dxa" w:w="220"/>
              <w:bottom w:type="dxa" w:w="100"/>
              <w:right w:type="dxa" w:w="220"/>
            </w:tcMar>
          </w:tcPr>
          <w:p>
            <w:r>
              <w:rPr>
                <w:rFonts w:ascii="Arial" w:cs="Arial" w:eastAsia="Arial" w:hAnsi="Arial"/>
                <w:b/>
                <w:bCs/>
                <w:caps/>
                <w:color w:val="FFFFFF"/>
                <w:sz w:val="20"/>
                <w:szCs w:val="20"/>
              </w:rPr>
              <w:t xml:space="preserve">Typisches Verletzungsmuster</w:t>
            </w:r>
          </w:p>
        </w:tc>
      </w:tr>
      <w:tr>
        <w:tc>
          <w:tcPr>
            <w:tcW w:type="dxa" w:w="9026"/>
            <w:tcBorders>
              <w:top w:val="none" w:color="FFFFFF" w:sz="0"/>
              <w:left w:val="none" w:color="FFFFFF" w:sz="0"/>
              <w:bottom w:val="single" w:color="CCCCCC" w:sz="1"/>
              <w:right w:val="none" w:color="FFFFFF" w:sz="0"/>
            </w:tcBorders>
            <w:shd w:fill="F9EAEC"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Ein Use Case „läuft im Vertrieb“. Gefragt, wer verantwortlich ist, wird die Vertriebsleitung genannt. Gefragt, wer konkret diese Woche den nächsten Schritt macht, wird es unklar. Ergebnis: Der Use Case versandet in drei bis sechs Monaten, ohne dass jemand sagen könnte, wann er gestoppt wurde.</w:t>
            </w:r>
          </w:p>
        </w:tc>
      </w:tr>
    </w:tbl>
    <w:p>
      <w:pPr>
        <w:spacing w:after="16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40"/>
              <w:left w:type="dxa" w:w="220"/>
              <w:bottom w:type="dxa" w:w="140"/>
              <w:right w:type="dxa" w:w="220"/>
            </w:tcMar>
          </w:tcPr>
          <w:p>
            <w:r>
              <w:rPr>
                <w:rFonts w:ascii="Arial" w:cs="Arial" w:eastAsia="Arial" w:hAnsi="Arial"/>
                <w:b/>
                <w:bCs/>
                <w:color w:val="FFFFFF"/>
                <w:sz w:val="22"/>
                <w:szCs w:val="22"/>
              </w:rPr>
              <w:t xml:space="preserve">PRINZIP 2  —  PIPELINE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CF4" w:val="clear"/>
            <w:tcMar>
              <w:top w:type="dxa" w:w="140"/>
              <w:left w:type="dxa" w:w="220"/>
              <w:bottom w:type="dxa" w:w="140"/>
              <w:right w:type="dxa" w:w="220"/>
            </w:tcMar>
          </w:tcPr>
          <w:p>
            <w:r>
              <w:rPr>
                <w:rFonts w:ascii="Arial" w:cs="Arial" w:eastAsia="Arial" w:hAnsi="Arial"/>
                <w:b w:val="false"/>
                <w:bCs w:val="false"/>
                <w:color w:val="2C2C2C"/>
                <w:sz w:val="22"/>
                <w:szCs w:val="22"/>
              </w:rPr>
              <w:t xml:space="preserve">Alle Use Cases leben in einer zentralen, priorisierten AI Pipeline. Nicht in der Pipeline → nicht in der Umsetzung.</w:t>
            </w:r>
          </w:p>
        </w:tc>
      </w:tr>
    </w:tbl>
    <w:p>
      <w:pPr>
        <w:spacing w:after="8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Die AI Pipeline ist die einzige Quelle der Wahrheit für alle KI-Initiativen im Unternehmen. Sie wird nicht befüllt, sondern aktiv gepflegt und priorisiert. Jeder Eintrag hat einen Owner, ein messbares Erfolgskriterium, einen Status und eine Risikobewertung.</w:t>
      </w:r>
    </w:p>
    <w:p>
      <w:pPr>
        <w:pStyle w:val="Heading3"/>
        <w:spacing w:after="80" w:before="220"/>
      </w:pPr>
      <w:r>
        <w:rPr>
          <w:rFonts w:ascii="Arial" w:cs="Arial" w:eastAsia="Arial" w:hAnsi="Arial"/>
          <w:b/>
          <w:bCs/>
          <w:color w:val="555555"/>
          <w:sz w:val="24"/>
          <w:szCs w:val="24"/>
        </w:rPr>
        <w:t xml:space="preserve">Der Pipeline-Test</w:t>
      </w:r>
    </w:p>
    <w:p>
      <w:pPr>
        <w:pStyle w:val="ListParagraph"/>
        <w:numPr>
          <w:ilvl w:val="0"/>
          <w:numId w:val="2"/>
        </w:numPr>
        <w:spacing w:after="50" w:before="40"/>
      </w:pPr>
      <w:r>
        <w:rPr>
          <w:rFonts w:ascii="Arial" w:cs="Arial" w:eastAsia="Arial" w:hAnsi="Arial"/>
          <w:color w:val="2C2C2C"/>
          <w:sz w:val="22"/>
          <w:szCs w:val="22"/>
        </w:rPr>
        <w:t xml:space="preserve">Zentral dokumentiert – nicht als PowerPoint in der Geschäftsführung, sondern als lebendes Dokument.</w:t>
      </w:r>
    </w:p>
    <w:p>
      <w:pPr>
        <w:pStyle w:val="ListParagraph"/>
        <w:numPr>
          <w:ilvl w:val="0"/>
          <w:numId w:val="2"/>
        </w:numPr>
        <w:spacing w:after="50" w:before="40"/>
      </w:pPr>
      <w:r>
        <w:rPr>
          <w:rFonts w:ascii="Arial" w:cs="Arial" w:eastAsia="Arial" w:hAnsi="Arial"/>
          <w:color w:val="2C2C2C"/>
          <w:sz w:val="22"/>
          <w:szCs w:val="22"/>
        </w:rPr>
        <w:t xml:space="preserve">Einheitliches Format: Use-Case-Titel, Owner, Impact Target, Status, Completion Gate, Risiko.</w:t>
      </w:r>
    </w:p>
    <w:p>
      <w:pPr>
        <w:pStyle w:val="ListParagraph"/>
        <w:numPr>
          <w:ilvl w:val="0"/>
          <w:numId w:val="2"/>
        </w:numPr>
        <w:spacing w:after="50" w:before="40"/>
      </w:pPr>
      <w:r>
        <w:rPr>
          <w:rFonts w:ascii="Arial" w:cs="Arial" w:eastAsia="Arial" w:hAnsi="Arial"/>
          <w:color w:val="2C2C2C"/>
          <w:sz w:val="22"/>
          <w:szCs w:val="22"/>
        </w:rPr>
        <w:t xml:space="preserve">Fester Aktualisierungsrhythmus – Pipeline-Stände älter als 30 Tage sind Pipeline-Leichen.</w:t>
      </w:r>
    </w:p>
    <w:p>
      <w:pPr>
        <w:pStyle w:val="ListParagraph"/>
        <w:numPr>
          <w:ilvl w:val="0"/>
          <w:numId w:val="2"/>
        </w:numPr>
        <w:spacing w:after="50" w:before="40"/>
      </w:pPr>
      <w:r>
        <w:rPr>
          <w:rFonts w:ascii="Arial" w:cs="Arial" w:eastAsia="Arial" w:hAnsi="Arial"/>
          <w:color w:val="2C2C2C"/>
          <w:sz w:val="22"/>
          <w:szCs w:val="22"/>
        </w:rPr>
        <w:t xml:space="preserve">Priorisiert, nicht nur befüllt – nicht alle Use Cases laufen parallel.</w:t>
      </w:r>
    </w:p>
    <w:p>
      <w:pPr>
        <w:pStyle w:val="ListParagraph"/>
        <w:numPr>
          <w:ilvl w:val="0"/>
          <w:numId w:val="2"/>
        </w:numPr>
        <w:spacing w:after="50" w:before="40"/>
      </w:pPr>
      <w:r>
        <w:rPr>
          <w:rFonts w:ascii="Arial" w:cs="Arial" w:eastAsia="Arial" w:hAnsi="Arial"/>
          <w:color w:val="2C2C2C"/>
          <w:sz w:val="22"/>
          <w:szCs w:val="22"/>
        </w:rPr>
        <w:t xml:space="preserve">Enthält auch gestoppte Use Cases – Stopps sind dokumentierte Lernquellen, keine Versagensspuren.</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B2335" w:val="clear"/>
            <w:tcMar>
              <w:top w:type="dxa" w:w="100"/>
              <w:left w:type="dxa" w:w="220"/>
              <w:bottom w:type="dxa" w:w="100"/>
              <w:right w:type="dxa" w:w="220"/>
            </w:tcMar>
          </w:tcPr>
          <w:p>
            <w:r>
              <w:rPr>
                <w:rFonts w:ascii="Arial" w:cs="Arial" w:eastAsia="Arial" w:hAnsi="Arial"/>
                <w:b/>
                <w:bCs/>
                <w:caps/>
                <w:color w:val="FFFFFF"/>
                <w:sz w:val="20"/>
                <w:szCs w:val="20"/>
              </w:rPr>
              <w:t xml:space="preserve">Typisches Verletzungsmuster</w:t>
            </w:r>
          </w:p>
        </w:tc>
      </w:tr>
      <w:tr>
        <w:tc>
          <w:tcPr>
            <w:tcW w:type="dxa" w:w="9026"/>
            <w:tcBorders>
              <w:top w:val="none" w:color="FFFFFF" w:sz="0"/>
              <w:left w:val="none" w:color="FFFFFF" w:sz="0"/>
              <w:bottom w:val="single" w:color="CCCCCC" w:sz="1"/>
              <w:right w:val="none" w:color="FFFFFF" w:sz="0"/>
            </w:tcBorders>
            <w:shd w:fill="F9EAEC"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Das Unternehmen hat acht bis zwölf „irgendwo laufende“ KI-Initiativen. Die Geschäftsführung nennt drei, die IT fünf, der Fachbereich vier. Keine dieser Zahlen ist vollständig. Ergebnis: mehr Ressourcen gebunden als sichtbar, keine Priorisierung möglich.</w:t>
            </w:r>
          </w:p>
        </w:tc>
      </w:tr>
    </w:tbl>
    <w:p>
      <w:pPr>
        <w:spacing w:after="16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40"/>
              <w:left w:type="dxa" w:w="220"/>
              <w:bottom w:type="dxa" w:w="140"/>
              <w:right w:type="dxa" w:w="220"/>
            </w:tcMar>
          </w:tcPr>
          <w:p>
            <w:r>
              <w:rPr>
                <w:rFonts w:ascii="Arial" w:cs="Arial" w:eastAsia="Arial" w:hAnsi="Arial"/>
                <w:b/>
                <w:bCs/>
                <w:color w:val="FFFFFF"/>
                <w:sz w:val="22"/>
                <w:szCs w:val="22"/>
              </w:rPr>
              <w:t xml:space="preserve">PRINZIP 3  —  IMPACT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CF4" w:val="clear"/>
            <w:tcMar>
              <w:top w:type="dxa" w:w="140"/>
              <w:left w:type="dxa" w:w="220"/>
              <w:bottom w:type="dxa" w:w="140"/>
              <w:right w:type="dxa" w:w="220"/>
            </w:tcMar>
          </w:tcPr>
          <w:p>
            <w:r>
              <w:rPr>
                <w:rFonts w:ascii="Arial" w:cs="Arial" w:eastAsia="Arial" w:hAnsi="Arial"/>
                <w:b w:val="false"/>
                <w:bCs w:val="false"/>
                <w:color w:val="2C2C2C"/>
                <w:sz w:val="22"/>
                <w:szCs w:val="22"/>
              </w:rPr>
              <w:t xml:space="preserve">Jeder Use Case liefert messbaren Business Impact – formuliert als Impact Target mit Baseline, Zielwert und Messmethode.</w:t>
            </w:r>
          </w:p>
        </w:tc>
      </w:tr>
    </w:tbl>
    <w:p>
      <w:pPr>
        <w:spacing w:after="8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Impact ist keine Spät-Phase-Frage. Bevor ein Use Case in die AI Pipeline aufgenommen wird, muss sein Impact Target definiert sein – in Euro, Stunden, Fehlerrate oder Durchlaufzeit. „Mitarbeiterzufriedenheit“ ist kein Impact Target im KAIRON OS.</w:t>
      </w:r>
    </w:p>
    <w:p>
      <w:pPr>
        <w:pStyle w:val="Heading3"/>
        <w:spacing w:after="80" w:before="220"/>
      </w:pPr>
      <w:r>
        <w:rPr>
          <w:rFonts w:ascii="Arial" w:cs="Arial" w:eastAsia="Arial" w:hAnsi="Arial"/>
          <w:b/>
          <w:bCs/>
          <w:color w:val="555555"/>
          <w:sz w:val="24"/>
          <w:szCs w:val="24"/>
        </w:rPr>
        <w:t xml:space="preserve">Der Impact-Test</w:t>
      </w:r>
    </w:p>
    <w:p>
      <w:pPr>
        <w:pStyle w:val="ListParagraph"/>
        <w:numPr>
          <w:ilvl w:val="0"/>
          <w:numId w:val="2"/>
        </w:numPr>
        <w:spacing w:after="50" w:before="40"/>
      </w:pPr>
      <w:r>
        <w:rPr>
          <w:rFonts w:ascii="Arial" w:cs="Arial" w:eastAsia="Arial" w:hAnsi="Arial"/>
          <w:color w:val="2C2C2C"/>
          <w:sz w:val="22"/>
          <w:szCs w:val="22"/>
        </w:rPr>
        <w:t xml:space="preserve">Quantifiziert – in einer konkreten Einheit, nicht in Adjektiven.</w:t>
      </w:r>
    </w:p>
    <w:p>
      <w:pPr>
        <w:pStyle w:val="ListParagraph"/>
        <w:numPr>
          <w:ilvl w:val="0"/>
          <w:numId w:val="2"/>
        </w:numPr>
        <w:spacing w:after="50" w:before="40"/>
      </w:pPr>
      <w:r>
        <w:rPr>
          <w:rFonts w:ascii="Arial" w:cs="Arial" w:eastAsia="Arial" w:hAnsi="Arial"/>
          <w:color w:val="2C2C2C"/>
          <w:sz w:val="22"/>
          <w:szCs w:val="22"/>
        </w:rPr>
        <w:t xml:space="preserve">Rückverfolgbar – jemand erhebt den Wert und weiß wie.</w:t>
      </w:r>
    </w:p>
    <w:p>
      <w:pPr>
        <w:pStyle w:val="ListParagraph"/>
        <w:numPr>
          <w:ilvl w:val="0"/>
          <w:numId w:val="2"/>
        </w:numPr>
        <w:spacing w:after="50" w:before="40"/>
      </w:pPr>
      <w:r>
        <w:rPr>
          <w:rFonts w:ascii="Arial" w:cs="Arial" w:eastAsia="Arial" w:hAnsi="Arial"/>
          <w:color w:val="2C2C2C"/>
          <w:sz w:val="22"/>
          <w:szCs w:val="22"/>
        </w:rPr>
        <w:t xml:space="preserve">Baseline-geankert – der Ausgangswert ist bekannt, nicht nur der Zielwert.</w:t>
      </w:r>
    </w:p>
    <w:p>
      <w:pPr>
        <w:pStyle w:val="ListParagraph"/>
        <w:numPr>
          <w:ilvl w:val="0"/>
          <w:numId w:val="2"/>
        </w:numPr>
        <w:spacing w:after="50" w:before="40"/>
      </w:pPr>
      <w:r>
        <w:rPr>
          <w:rFonts w:ascii="Arial" w:cs="Arial" w:eastAsia="Arial" w:hAnsi="Arial"/>
          <w:color w:val="2C2C2C"/>
          <w:sz w:val="22"/>
          <w:szCs w:val="22"/>
        </w:rPr>
        <w:t xml:space="preserve">Dem Unternehmensziel zurechenbar – für die Geschäftsführung relevant.</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5621B" w:val="clear"/>
            <w:tcMar>
              <w:top w:type="dxa" w:w="100"/>
              <w:left w:type="dxa" w:w="220"/>
              <w:bottom w:type="dxa" w:w="100"/>
              <w:right w:type="dxa" w:w="220"/>
            </w:tcMar>
          </w:tcPr>
          <w:p>
            <w:r>
              <w:rPr>
                <w:rFonts w:ascii="Arial" w:cs="Arial" w:eastAsia="Arial" w:hAnsi="Arial"/>
                <w:b/>
                <w:bCs/>
                <w:caps/>
                <w:color w:val="FFFFFF"/>
                <w:sz w:val="20"/>
                <w:szCs w:val="20"/>
              </w:rPr>
              <w:t xml:space="preserve">90-Tage-Stopp-Pflicht</w:t>
            </w:r>
          </w:p>
        </w:tc>
      </w:tr>
      <w:tr>
        <w:tc>
          <w:tcPr>
            <w:tcW w:type="dxa" w:w="9026"/>
            <w:tcBorders>
              <w:top w:val="none" w:color="FFFFFF" w:sz="0"/>
              <w:left w:val="none" w:color="FFFFFF" w:sz="0"/>
              <w:bottom w:val="single" w:color="CCCCCC" w:sz="1"/>
              <w:right w:val="none" w:color="FFFFFF" w:sz="0"/>
            </w:tcBorders>
            <w:shd w:fill="FDF3E4"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Jeder laufende Use Case muss innerhalb von 90 Tagen Evidenz für Impact liefern. Ohne Evidenz: Stopp. Ressourcen werden freigegeben. Das Ziel ist nicht Strenge – das Ziel ist Lerngeschwindigkeit.</w:t>
            </w:r>
          </w:p>
        </w:tc>
      </w:tr>
    </w:tbl>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B2335" w:val="clear"/>
            <w:tcMar>
              <w:top w:type="dxa" w:w="100"/>
              <w:left w:type="dxa" w:w="220"/>
              <w:bottom w:type="dxa" w:w="100"/>
              <w:right w:type="dxa" w:w="220"/>
            </w:tcMar>
          </w:tcPr>
          <w:p>
            <w:r>
              <w:rPr>
                <w:rFonts w:ascii="Arial" w:cs="Arial" w:eastAsia="Arial" w:hAnsi="Arial"/>
                <w:b/>
                <w:bCs/>
                <w:caps/>
                <w:color w:val="FFFFFF"/>
                <w:sz w:val="20"/>
                <w:szCs w:val="20"/>
              </w:rPr>
              <w:t xml:space="preserve">Typisches Verletzungsmuster</w:t>
            </w:r>
          </w:p>
        </w:tc>
      </w:tr>
      <w:tr>
        <w:tc>
          <w:tcPr>
            <w:tcW w:type="dxa" w:w="9026"/>
            <w:tcBorders>
              <w:top w:val="none" w:color="FFFFFF" w:sz="0"/>
              <w:left w:val="none" w:color="FFFFFF" w:sz="0"/>
              <w:bottom w:val="single" w:color="CCCCCC" w:sz="1"/>
              <w:right w:val="none" w:color="FFFFFF" w:sz="0"/>
            </w:tcBorders>
            <w:shd w:fill="F9EAEC"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Ein Unternehmen hat vier laufende Use Cases, alle seit sechs bis zwölf Monaten. Auf Nachfrage zum Business-Impact: „Läuft gut.“ „Mitarbeiter mögen es.“ „Hat uns viel gelehrt.“ Wenn man versucht, den ROI zu beziffern, versickert das Gespräch in Unschärfen. Das ist der Zustand, in dem ein Unternehmen jahrelang verbleiben kann, ohne es zu merken.</w:t>
            </w:r>
          </w:p>
        </w:tc>
      </w:tr>
    </w:tbl>
    <w:p>
      <w:pPr>
        <w:spacing w:after="16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6B3A" w:val="clear"/>
            <w:tcMar>
              <w:top w:type="dxa" w:w="140"/>
              <w:left w:type="dxa" w:w="220"/>
              <w:bottom w:type="dxa" w:w="140"/>
              <w:right w:type="dxa" w:w="220"/>
            </w:tcMar>
          </w:tcPr>
          <w:p>
            <w:r>
              <w:rPr>
                <w:rFonts w:ascii="Arial" w:cs="Arial" w:eastAsia="Arial" w:hAnsi="Arial"/>
                <w:b/>
                <w:bCs/>
                <w:color w:val="FFFFFF"/>
                <w:sz w:val="22"/>
                <w:szCs w:val="22"/>
              </w:rPr>
              <w:t xml:space="preserve">PRINZIP 4  —  COMPOUND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4EB" w:val="clear"/>
            <w:tcMar>
              <w:top w:type="dxa" w:w="140"/>
              <w:left w:type="dxa" w:w="220"/>
              <w:bottom w:type="dxa" w:w="140"/>
              <w:right w:type="dxa" w:w="220"/>
            </w:tcMar>
          </w:tcPr>
          <w:p>
            <w:r>
              <w:rPr>
                <w:rFonts w:ascii="Arial" w:cs="Arial" w:eastAsia="Arial" w:hAnsi="Arial"/>
                <w:b w:val="false"/>
                <w:bCs w:val="false"/>
                <w:color w:val="2C2C2C"/>
                <w:sz w:val="22"/>
                <w:szCs w:val="22"/>
              </w:rPr>
              <w:t xml:space="preserve">Jeder Sprint, jede Retrospective, jeder gestoppte Use Case produziert einen wiederverwendbaren Asset im AI Playbook. KI-Wert schichtet sich auf – nicht linear, sondern exponentiell.</w:t>
            </w:r>
          </w:p>
        </w:tc>
      </w:tr>
    </w:tbl>
    <w:p>
      <w:pPr>
        <w:spacing w:after="8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Compound ist das Prinzip, das die ersten drei überspannt. Ownership, Pipeline und Impact steuern den laufenden Betrieb. Compound bestimmt, ob das Unternehmen in Jahr 3 doppelt so schnell wie in Jahr 1 ist – mit denselben Ressourcen.</w:t>
      </w:r>
    </w:p>
    <w:p>
      <w:pPr>
        <w:spacing w:after="100" w:before="80"/>
        <w:jc w:val="left"/>
      </w:pPr>
      <w:r>
        <w:rPr>
          <w:rFonts w:ascii="Arial" w:cs="Arial" w:eastAsia="Arial" w:hAnsi="Arial"/>
          <w:color w:val="2C2C2C"/>
          <w:sz w:val="22"/>
          <w:szCs w:val="22"/>
        </w:rPr>
        <w:t xml:space="preserve">Das Compound-Prinzip basiert auf einer einfachen Beobachtung: Die teuersten Fehler in KI-Projekten sind die, die bereits ein anderes Team im selben Unternehmen gemacht hat. Das wertvollste Wissen ist das, das bereits existiert – aber niemand zugänglich ist.</w:t>
      </w:r>
    </w:p>
    <w:p>
      <w:pPr>
        <w:pStyle w:val="Heading3"/>
        <w:spacing w:after="80" w:before="220"/>
      </w:pPr>
      <w:r>
        <w:rPr>
          <w:rFonts w:ascii="Arial" w:cs="Arial" w:eastAsia="Arial" w:hAnsi="Arial"/>
          <w:b/>
          <w:bCs/>
          <w:color w:val="555555"/>
          <w:sz w:val="24"/>
          <w:szCs w:val="24"/>
        </w:rPr>
        <w:t xml:space="preserve">Der Compound-Test</w:t>
      </w:r>
    </w:p>
    <w:p>
      <w:pPr>
        <w:pStyle w:val="ListParagraph"/>
        <w:numPr>
          <w:ilvl w:val="0"/>
          <w:numId w:val="2"/>
        </w:numPr>
        <w:spacing w:after="50" w:before="40"/>
      </w:pPr>
      <w:r>
        <w:rPr>
          <w:rFonts w:ascii="Arial" w:cs="Arial" w:eastAsia="Arial" w:hAnsi="Arial"/>
          <w:color w:val="2C2C2C"/>
          <w:sz w:val="22"/>
          <w:szCs w:val="22"/>
        </w:rPr>
        <w:t xml:space="preserve">Gibt es für jeden beendeten oder gestoppten Use Case mindestens einen Playbook-Eintrag?</w:t>
      </w:r>
    </w:p>
    <w:p>
      <w:pPr>
        <w:pStyle w:val="ListParagraph"/>
        <w:numPr>
          <w:ilvl w:val="0"/>
          <w:numId w:val="2"/>
        </w:numPr>
        <w:spacing w:after="50" w:before="40"/>
      </w:pPr>
      <w:r>
        <w:rPr>
          <w:rFonts w:ascii="Arial" w:cs="Arial" w:eastAsia="Arial" w:hAnsi="Arial"/>
          <w:color w:val="2C2C2C"/>
          <w:sz w:val="22"/>
          <w:szCs w:val="22"/>
        </w:rPr>
        <w:t xml:space="preserve">Nutzen neue Owner das AI Playbook, bevor sie ihre Sprint Thesis formulieren?</w:t>
      </w:r>
    </w:p>
    <w:p>
      <w:pPr>
        <w:pStyle w:val="ListParagraph"/>
        <w:numPr>
          <w:ilvl w:val="0"/>
          <w:numId w:val="2"/>
        </w:numPr>
        <w:spacing w:after="50" w:before="40"/>
      </w:pPr>
      <w:r>
        <w:rPr>
          <w:rFonts w:ascii="Arial" w:cs="Arial" w:eastAsia="Arial" w:hAnsi="Arial"/>
          <w:color w:val="2C2C2C"/>
          <w:sz w:val="22"/>
          <w:szCs w:val="22"/>
        </w:rPr>
        <w:t xml:space="preserve">Sinkt die mediane Time-to-Value von Quartal zu Quartal?</w:t>
      </w:r>
    </w:p>
    <w:p>
      <w:pPr>
        <w:pStyle w:val="ListParagraph"/>
        <w:numPr>
          <w:ilvl w:val="0"/>
          <w:numId w:val="2"/>
        </w:numPr>
        <w:spacing w:after="50" w:before="40"/>
      </w:pPr>
      <w:r>
        <w:rPr>
          <w:rFonts w:ascii="Arial" w:cs="Arial" w:eastAsia="Arial" w:hAnsi="Arial"/>
          <w:color w:val="2C2C2C"/>
          <w:sz w:val="22"/>
          <w:szCs w:val="22"/>
        </w:rPr>
        <w:t xml:space="preserve">Wächst die Zahl der Practitioner und Champions im Unternehmen messbar?</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B2335" w:val="clear"/>
            <w:tcMar>
              <w:top w:type="dxa" w:w="100"/>
              <w:left w:type="dxa" w:w="220"/>
              <w:bottom w:type="dxa" w:w="100"/>
              <w:right w:type="dxa" w:w="220"/>
            </w:tcMar>
          </w:tcPr>
          <w:p>
            <w:r>
              <w:rPr>
                <w:rFonts w:ascii="Arial" w:cs="Arial" w:eastAsia="Arial" w:hAnsi="Arial"/>
                <w:b/>
                <w:bCs/>
                <w:caps/>
                <w:color w:val="FFFFFF"/>
                <w:sz w:val="20"/>
                <w:szCs w:val="20"/>
              </w:rPr>
              <w:t xml:space="preserve">Typisches Verletzungsmuster</w:t>
            </w:r>
          </w:p>
        </w:tc>
      </w:tr>
      <w:tr>
        <w:tc>
          <w:tcPr>
            <w:tcW w:type="dxa" w:w="9026"/>
            <w:tcBorders>
              <w:top w:val="none" w:color="FFFFFF" w:sz="0"/>
              <w:left w:val="none" w:color="FFFFFF" w:sz="0"/>
              <w:bottom w:val="single" w:color="CCCCCC" w:sz="1"/>
              <w:right w:val="none" w:color="FFFFFF" w:sz="0"/>
            </w:tcBorders>
            <w:shd w:fill="F9EAEC"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Das Unternehmen hat 24 Use Cases in 12 Monaten durchlaufen. Jeder Owner hat sein Projekt gut geführt. Niemand hat das Gelernte extrahiert. Der nächste Owner löst dieselben Probleme, macht dieselben Fehler, braucht dieselbe Zeit. Das Unternehmen ist produktiver – aber nicht klüger. Das ist das Compound-Verletzungsmuster.</w:t>
            </w:r>
          </w:p>
        </w:tc>
      </w:tr>
    </w:tbl>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3. Das Drei-Ebenen-Modell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4C75" w:val="clear"/>
            <w:tcMar>
              <w:top w:type="dxa" w:w="140"/>
              <w:left w:type="dxa" w:w="220"/>
              <w:bottom w:type="dxa" w:w="140"/>
              <w:right w:type="dxa" w:w="220"/>
            </w:tcMar>
          </w:tcPr>
          <w:p>
            <w:r>
              <w:rPr>
                <w:rFonts w:ascii="Arial" w:cs="Arial" w:eastAsia="Arial" w:hAnsi="Arial"/>
                <w:b/>
                <w:bCs/>
                <w:color w:val="FFFFFF"/>
                <w:sz w:val="22"/>
                <w:szCs w:val="22"/>
              </w:rPr>
              <w:t xml:space="preserve">Das Herzstück von KAIRON OS: Drei ineinandergreifende Ebenen, die gemeinsam ein lernendes Betriebssystem bilden.</w:t>
            </w:r>
          </w:p>
        </w:tc>
      </w:tr>
    </w:tbl>
    <w:p>
      <w:pPr>
        <w:spacing w:after="12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Das KAIRON OS läuft auf drei Ebenen gleichzeitig. Jede Ebene hat ihren eigenen Rhythmus, ihre eigenen Ceremonies und ihre eigenen Artefakte. Die Ebenen sind nicht unabhängig – sie verstärken sich gegenseitig.</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200"/>
        <w:gridCol w:w="1026"/>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Ebene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Rhythmus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Funktion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Kernfrage</w:t>
            </w:r>
          </w:p>
        </w:tc>
        <w:tc>
          <w:tcPr>
            <w:tcW w:type="dxa" w:w="10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Hauptartefakt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DIRECTION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Quartal (13 Wochen)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Strategische Ausrichtung und Ergebnis-Messung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Wohin wollen wir und haben wir es erreicht?</w:t>
            </w:r>
          </w:p>
        </w:tc>
        <w:tc>
          <w:tcPr>
            <w:tcW w:type="dxa" w:w="1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Goals + Impact Targets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SPRINT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14 Tage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Operative Umsetzung, Testen und Entscheiden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bauen wir, und beweist es Impact?</w:t>
            </w:r>
          </w:p>
        </w:tc>
        <w:tc>
          <w:tcPr>
            <w:tcW w:type="dxa" w:w="10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Focus + Impact Demo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COMPOUND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Kontinuierlich nach jedem Sprint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Wissensakkumulation und System-Reifung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lernen wir, das wir nie wieder neu lernen müssen?</w:t>
            </w:r>
          </w:p>
        </w:tc>
        <w:tc>
          <w:tcPr>
            <w:tcW w:type="dxa" w:w="1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Playbook-Beitrag</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Die acht KAIRON Ceremonies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1200"/>
        <w:gridCol w:w="900"/>
        <w:gridCol w:w="2726"/>
      </w:tblGrid>
      <w:tr>
        <w:tc>
          <w:tcPr>
            <w:tcW w:type="dxa" w:w="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Ceremony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Ebene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Rhythmus</w:t>
            </w:r>
          </w:p>
        </w:tc>
        <w:tc>
          <w:tcPr>
            <w:tcW w:type="dxa" w:w="9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Dauer</w:t>
            </w:r>
          </w:p>
        </w:tc>
        <w:tc>
          <w:tcPr>
            <w:tcW w:type="dxa" w:w="27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Kernentscheidung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Horizon 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DIRECTION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Quartal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2 h</w:t>
            </w:r>
          </w:p>
        </w:tc>
        <w:tc>
          <w:tcPr>
            <w:tcW w:type="dxa" w:w="2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Goals setzen, Impact Scores bewerten, Pipeline ausrichten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Board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DIRECTION</w:t>
            </w:r>
          </w:p>
        </w:tc>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Monatlich</w:t>
            </w:r>
          </w:p>
        </w:tc>
        <w:tc>
          <w:tcPr>
            <w:tcW w:type="dxa" w:w="9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90 Min.</w:t>
            </w:r>
          </w:p>
        </w:tc>
        <w:tc>
          <w:tcPr>
            <w:tcW w:type="dxa" w:w="27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Priorisierung, Stopps, Ressourcen-Freigaben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 Refinement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14-tägig</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30 Min.</w:t>
            </w:r>
          </w:p>
        </w:tc>
        <w:tc>
          <w:tcPr>
            <w:tcW w:type="dxa" w:w="2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Use Cases schärfen, bevor sie in den Sprint kommen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4</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Setup</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14-tägig</w:t>
            </w:r>
          </w:p>
        </w:tc>
        <w:tc>
          <w:tcPr>
            <w:tcW w:type="dxa" w:w="9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60 Min.</w:t>
            </w:r>
          </w:p>
        </w:tc>
        <w:tc>
          <w:tcPr>
            <w:tcW w:type="dxa" w:w="27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Focus definieren, Sprint Thesis formulieren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Daily Signal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Täglich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15 Min.</w:t>
            </w:r>
          </w:p>
        </w:tc>
        <w:tc>
          <w:tcPr>
            <w:tcW w:type="dxa" w:w="2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Blocker sofort sichtbar machen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6</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Demo</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14-tägig</w:t>
            </w:r>
          </w:p>
        </w:tc>
        <w:tc>
          <w:tcPr>
            <w:tcW w:type="dxa" w:w="9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45 Min.</w:t>
            </w:r>
          </w:p>
        </w:tc>
        <w:tc>
          <w:tcPr>
            <w:tcW w:type="dxa" w:w="27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Ergebnis zeigen, Thesis bewerten, Entscheidung treffen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Debrief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14-tägig</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30 Min.</w:t>
            </w:r>
          </w:p>
        </w:tc>
        <w:tc>
          <w:tcPr>
            <w:tcW w:type="dxa" w:w="27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ändern wir? Was extrahieren wir?</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8</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 Session</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COMPOUND</w:t>
            </w:r>
          </w:p>
        </w:tc>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Nach jedem Debrief</w:t>
            </w:r>
          </w:p>
        </w:tc>
        <w:tc>
          <w:tcPr>
            <w:tcW w:type="dxa" w:w="9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30 Min.</w:t>
            </w:r>
          </w:p>
        </w:tc>
        <w:tc>
          <w:tcPr>
            <w:tcW w:type="dxa" w:w="27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Wissen sichern, Playbook-Beitrag einpflegen</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Wie die drei Ebenen zusammenwirken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DIRECTION-Event</w:t>
            </w:r>
          </w:p>
        </w:tc>
        <w:tc>
          <w:tcPr>
            <w:tcW w:type="dxa" w:w="3000"/>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SPRINT-Konsequenz</w:t>
            </w:r>
          </w:p>
        </w:tc>
        <w:tc>
          <w:tcPr>
            <w:tcW w:type="dxa" w:w="3026"/>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COMPOUND-Ergebnis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Horizon Session: AI Goals gesetzt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Setup 1 startet mit Use Cases, die auf AI Goals einzahlen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 wird mit neuen Ziel-Kontexten angereichert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Board: Use Case priorisiert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 Refinement schärft Use Case für nächsten Sprint</w:t>
            </w:r>
          </w:p>
        </w:tc>
        <w:tc>
          <w:tcPr>
            <w:tcW w:type="dxa" w:w="30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Anti-Pattern-Log wächst um Priorisierungs-Lernkurve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Target zu 80 % erreicht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Nächster Sprint wird Skalierungs-Sprint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Workflow-Muster in Playbook dokumentiert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Goal gestoppt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Alle Use Cases unter diesem Goal pausiert, Ressourcen frei</w:t>
            </w:r>
          </w:p>
        </w:tc>
        <w:tc>
          <w:tcPr>
            <w:tcW w:type="dxa" w:w="30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Anti-Pattern + Impact-Benchmark im Playbook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Quarterly Review: Impact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Debrief wird zu Quarterly Debrief erhöht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Playbook-Versionierung, Literacy-Map aktualisiert</w:t>
            </w:r>
          </w:p>
        </w:tc>
      </w:tr>
    </w:tbl>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4. KAIRON DIRECTION</w:t>
      </w:r>
    </w:p>
    <w:p>
      <w:pPr>
        <w:spacing w:after="100" w:before="80"/>
        <w:jc w:val="left"/>
      </w:pPr>
      <w:r>
        <w:rPr>
          <w:rFonts w:ascii="Arial" w:cs="Arial" w:eastAsia="Arial" w:hAnsi="Arial"/>
          <w:color w:val="2C2C2C"/>
          <w:sz w:val="22"/>
          <w:szCs w:val="22"/>
        </w:rPr>
        <w:t xml:space="preserve">KAIRON DIRECTION ist die strategische Ebene des Systems. Sie läuft im Quartals-Rhythmus und stellt sicher, dass alle Use Cases auf nachvollziehbare Unternehmensziele einzahlen – und dass am Ende jedes Quartals ehrlich gemessen wird, was erreicht wurde.</w:t>
      </w:r>
    </w:p>
    <w:p>
      <w:pPr>
        <w:spacing w:after="12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Die KAIRON-Zielhierarchie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400"/>
        <w:gridCol w:w="2426"/>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Ebene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KAIRON-Begriff</w:t>
            </w:r>
          </w:p>
        </w:tc>
        <w:tc>
          <w:tcPr>
            <w:tcW w:type="dxa" w:w="3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Beschreibung</w:t>
            </w:r>
          </w:p>
        </w:tc>
        <w:tc>
          <w:tcPr>
            <w:tcW w:type="dxa" w:w="24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Beispiel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Strategisch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Goal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Richtungsweisendes Quartalsziel für KI-Einsatz im Unternehmen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Wir beschleunigen unseren Angebotsprozess durch KI um mindestens 40 %</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Operativ</w:t>
            </w:r>
          </w:p>
        </w:tc>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Target</w:t>
            </w:r>
          </w:p>
        </w:tc>
        <w:tc>
          <w:tcPr>
            <w:tcW w:type="dxa" w:w="3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Messbares Erfolgskriterium mit Baseline und Zielwert, direkt einem AI Goal zugeordnet</w:t>
            </w:r>
          </w:p>
        </w:tc>
        <w:tc>
          <w:tcPr>
            <w:tcW w:type="dxa" w:w="24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Angebotserstellungszeit sinkt von 4,5 h auf 2,5 h bis Quartalsende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Umsetzung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Use Case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Konkrete KI-Initiative in der AI Pipeline, die auf ein Impact Target einzahlt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KI-gestützter Angebotsgenerator für Standardpositionen</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Ceremony 1: AI Horizon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40"/>
              <w:left w:type="dxa" w:w="220"/>
              <w:bottom w:type="dxa" w:w="140"/>
              <w:right w:type="dxa" w:w="220"/>
            </w:tcMar>
          </w:tcPr>
          <w:p>
            <w:r>
              <w:rPr>
                <w:rFonts w:ascii="Arial" w:cs="Arial" w:eastAsia="Arial" w:hAnsi="Arial"/>
                <w:b/>
                <w:bCs/>
                <w:color w:val="FFFFFF"/>
                <w:sz w:val="22"/>
                <w:szCs w:val="22"/>
              </w:rPr>
              <w:t xml:space="preserve">Einmal pro Quartal, 2 Stunden. AI Goals setzen, Pipeline ausrichten, Impact Scores des letzten Quartals bewerten.</w:t>
            </w:r>
          </w:p>
        </w:tc>
      </w:tr>
    </w:tbl>
    <w:p>
      <w:pPr>
        <w:spacing w:after="100" w:before="0"/>
      </w:pPr>
      <w:r>
        <w:rPr>
          <w:rFonts w:ascii="Arial" w:cs="Arial" w:eastAsia="Arial" w:hAnsi="Arial"/>
          <w:color w:val="2C2C2C"/>
          <w:sz w:val="22"/>
          <w:szCs w:val="22"/>
        </w:rPr>
        <w:t xml:space="preserve"/>
      </w:r>
    </w:p>
    <w:p>
      <w:pPr>
        <w:pStyle w:val="Heading3"/>
        <w:spacing w:after="80" w:before="220"/>
      </w:pPr>
      <w:r>
        <w:rPr>
          <w:rFonts w:ascii="Arial" w:cs="Arial" w:eastAsia="Arial" w:hAnsi="Arial"/>
          <w:b/>
          <w:bCs/>
          <w:color w:val="555555"/>
          <w:sz w:val="24"/>
          <w:szCs w:val="24"/>
        </w:rPr>
        <w:t xml:space="preserve">Wer ist dabei?</w:t>
      </w:r>
    </w:p>
    <w:p>
      <w:pPr>
        <w:spacing w:after="100" w:before="80"/>
        <w:jc w:val="left"/>
      </w:pPr>
      <w:r>
        <w:rPr>
          <w:rFonts w:ascii="Arial" w:cs="Arial" w:eastAsia="Arial" w:hAnsi="Arial"/>
          <w:color w:val="2C2C2C"/>
          <w:sz w:val="22"/>
          <w:szCs w:val="22"/>
        </w:rPr>
        <w:t xml:space="preserve">AI Sponsor (Geschäftsführungsebene), AI Steward, alle aktiven AI Owner, AI Guardian. Optional: externe Markt-Referenz oder neue Tool-Einschätzung.</w:t>
      </w:r>
    </w:p>
    <w:p>
      <w:pPr>
        <w:pStyle w:val="Heading3"/>
        <w:spacing w:after="80" w:before="220"/>
      </w:pPr>
      <w:r>
        <w:rPr>
          <w:rFonts w:ascii="Arial" w:cs="Arial" w:eastAsia="Arial" w:hAnsi="Arial"/>
          <w:b/>
          <w:bCs/>
          <w:color w:val="555555"/>
          <w:sz w:val="24"/>
          <w:szCs w:val="24"/>
        </w:rPr>
        <w:t xml:space="preserve">Agenda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Zeit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Block</w:t>
            </w:r>
          </w:p>
        </w:tc>
        <w:tc>
          <w:tcPr>
            <w:tcW w:type="dxa" w:w="52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30 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Quarterly Review: Impact Scores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Score 0.0–1.0 je Use Case. Lessons Learned. Was wird gestoppt, was skaliert?</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40 Min.</w:t>
            </w:r>
          </w:p>
        </w:tc>
        <w:tc>
          <w:tcPr>
            <w:tcW w:type="dxa" w:w="2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Goals setzen</w:t>
            </w:r>
          </w:p>
        </w:tc>
        <w:tc>
          <w:tcPr>
            <w:tcW w:type="dxa" w:w="5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2–4 AI Goals für das neue Quartal. Jedes AI Goal hat 2–3 Impact Targets.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30 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 ausrichten</w:t>
            </w:r>
          </w:p>
        </w:tc>
        <w:tc>
          <w:tcPr>
            <w:tcW w:type="dxa" w:w="5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Pipeline bereinigen: alte Use Cases aus, neue ein. Priorisierung nach AI Goals.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20 Min.</w:t>
            </w:r>
          </w:p>
        </w:tc>
        <w:tc>
          <w:tcPr>
            <w:tcW w:type="dxa" w:w="2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Ressourcen committen</w:t>
            </w:r>
          </w:p>
        </w:tc>
        <w:tc>
          <w:tcPr>
            <w:tcW w:type="dxa" w:w="5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Wer ist Owner von welchem Use Case? Welche Use Cases starten in Sprint 1?</w:t>
            </w:r>
          </w:p>
        </w:tc>
      </w:tr>
    </w:tbl>
    <w:p>
      <w:pPr>
        <w:spacing w:after="120" w:before="0"/>
      </w:pPr>
      <w:r>
        <w:rPr>
          <w:rFonts w:ascii="Arial" w:cs="Arial" w:eastAsia="Arial" w:hAnsi="Arial"/>
          <w:color w:val="2C2C2C"/>
          <w:sz w:val="22"/>
          <w:szCs w:val="22"/>
        </w:rPr>
        <w:t xml:space="preserve"/>
      </w:r>
    </w:p>
    <w:p>
      <w:pPr>
        <w:pStyle w:val="Heading3"/>
        <w:spacing w:after="80" w:before="220"/>
      </w:pPr>
      <w:r>
        <w:rPr>
          <w:rFonts w:ascii="Arial" w:cs="Arial" w:eastAsia="Arial" w:hAnsi="Arial"/>
          <w:b/>
          <w:bCs/>
          <w:color w:val="555555"/>
          <w:sz w:val="24"/>
          <w:szCs w:val="24"/>
        </w:rPr>
        <w:t xml:space="preserve">Der Impact Score</w:t>
      </w:r>
    </w:p>
    <w:p>
      <w:pPr>
        <w:spacing w:after="100" w:before="80"/>
        <w:jc w:val="left"/>
      </w:pPr>
      <w:r>
        <w:rPr>
          <w:rFonts w:ascii="Arial" w:cs="Arial" w:eastAsia="Arial" w:hAnsi="Arial"/>
          <w:color w:val="2C2C2C"/>
          <w:sz w:val="22"/>
          <w:szCs w:val="22"/>
        </w:rPr>
        <w:t xml:space="preserve">Am Ende jedes Quartals wird jedes Impact Target auf einer Skala von 0.0 bis 1.0 bewertet. Der Impact Score ist kein Schulzeugnis – er ist ein Kalibrierungs-Instrument.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Score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Bedeutung</w:t>
            </w:r>
          </w:p>
        </w:tc>
        <w:tc>
          <w:tcPr>
            <w:tcW w:type="dxa" w:w="46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Konsequenz im 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0.0 – 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Kein messbarer Fortschritt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Use Case stoppen. AI Goal auf Relevanz prüfen. Anti-Pattern dokumentieren.</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0.4 – 0.6</w:t>
            </w:r>
          </w:p>
        </w:tc>
        <w:tc>
          <w:tcPr>
            <w:tcW w:type="dxa" w:w="3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Teilfortschritt, unter Erwartung</w:t>
            </w:r>
          </w:p>
        </w:tc>
        <w:tc>
          <w:tcPr>
            <w:tcW w:type="dxa" w:w="4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Analysieren: falscher Ansatz oder zu wenig Ressource? Sprint Thesis anpassen.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0.7 – 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Ziel erreicht oder fast erreicht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Skalieren oder nächstes AI Goal definieren. Workflow-Muster ins Playbook.</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&gt; 1.0</w:t>
            </w:r>
          </w:p>
        </w:tc>
        <w:tc>
          <w:tcPr>
            <w:tcW w:type="dxa" w:w="3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Ziel weit übertroffen</w:t>
            </w:r>
          </w:p>
        </w:tc>
        <w:tc>
          <w:tcPr>
            <w:tcW w:type="dxa" w:w="4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Prüfen ob AI Goal zu niedrig gesetzt war. Benchmark ins Playbook. Ziele schärfen.</w:t>
            </w:r>
          </w:p>
        </w:tc>
      </w:tr>
    </w:tbl>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00"/>
              <w:left w:type="dxa" w:w="220"/>
              <w:bottom w:type="dxa" w:w="100"/>
              <w:right w:type="dxa" w:w="220"/>
            </w:tcMar>
          </w:tcPr>
          <w:p>
            <w:r>
              <w:rPr>
                <w:rFonts w:ascii="Arial" w:cs="Arial" w:eastAsia="Arial" w:hAnsi="Arial"/>
                <w:b/>
                <w:bCs/>
                <w:caps/>
                <w:color w:val="FFFFFF"/>
                <w:sz w:val="20"/>
                <w:szCs w:val="20"/>
              </w:rPr>
              <w:t xml:space="preserve">Impact Score Faustregel</w:t>
            </w:r>
          </w:p>
        </w:tc>
      </w:tr>
      <w:tr>
        <w:tc>
          <w:tcPr>
            <w:tcW w:type="dxa" w:w="9026"/>
            <w:tcBorders>
              <w:top w:val="none" w:color="FFFFFF" w:sz="0"/>
              <w:left w:val="none" w:color="FFFFFF" w:sz="0"/>
              <w:bottom w:val="single" w:color="CCCCCC" w:sz="1"/>
              <w:right w:val="none" w:color="FFFFFF" w:sz="0"/>
            </w:tcBorders>
            <w:shd w:fill="E8ECF4"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Der ideale Quartalsscore liegt bei 0.6–0.8. Wer konsistent 1.0 erreicht, setzt zu einfache AI Goals. Wer konsistent unter 0.4 bleibt, hat entweder zu ambitionierte Ziele oder ein strukturelles Steuerungsproblem – letzteres löst das KAIRON OS.</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Ceremony 2: AI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40"/>
              <w:left w:type="dxa" w:w="220"/>
              <w:bottom w:type="dxa" w:w="140"/>
              <w:right w:type="dxa" w:w="220"/>
            </w:tcMar>
          </w:tcPr>
          <w:p>
            <w:r>
              <w:rPr>
                <w:rFonts w:ascii="Arial" w:cs="Arial" w:eastAsia="Arial" w:hAnsi="Arial"/>
                <w:b/>
                <w:bCs/>
                <w:color w:val="FFFFFF"/>
                <w:sz w:val="22"/>
                <w:szCs w:val="22"/>
              </w:rPr>
              <w:t xml:space="preserve">Monatlich, 90 Minuten. Fortschritt messen, priorisieren, entscheiden. Das laufende Steuerungsgremium.</w:t>
            </w:r>
          </w:p>
        </w:tc>
      </w:tr>
    </w:tbl>
    <w:p>
      <w:pPr>
        <w:spacing w:after="10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Das AI Board ist das monatliche Kontrollgremium. Es bewertet den Fortschritt der Impact Targets, priorisiert die AI Pipeline für den nächsten Monat und trifft Entscheidungen, die Owner nicht treffen können. Kein AI Board ohne AI Sponsor.</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Zeit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Block</w:t>
            </w:r>
          </w:p>
        </w:tc>
        <w:tc>
          <w:tcPr>
            <w:tcW w:type="dxa" w:w="54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Inhalt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15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Radar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Steward zeigt aktuellen Impact-Score-Fortschritt je AI Goal (Ampel: grün/gelb/rot). Keine Diskussion.</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25 Min.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Pipeline-Priorisierung</w:t>
            </w:r>
          </w:p>
        </w:tc>
        <w:tc>
          <w:tcPr>
            <w:tcW w:type="dxa" w:w="54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Welche Use Cases bekommen Sprint-Slots? Welche warten? Welche werden gestoppt?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20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Neuaufnahmen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Neue Use-Case-Kandidaten: Owner vorhanden? Impact Target definiert? AI Goal-Beitrag klar? Risiko geprüft?</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20 Min.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Blocker &amp; Eskalation</w:t>
            </w:r>
          </w:p>
        </w:tc>
        <w:tc>
          <w:tcPr>
            <w:tcW w:type="dxa" w:w="54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blockiert Use Cases, das nur der AI Sponsor lösen kann?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10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Protokoll &amp; Abschluss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Beschlüsse protokollieren, Pipeline aktualisieren, nächsten Board-Termin bestätigen.</w:t>
            </w:r>
          </w:p>
        </w:tc>
      </w:tr>
    </w:tbl>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9B2335" w:val="clear"/>
            <w:tcMar>
              <w:top w:type="dxa" w:w="100"/>
              <w:left w:type="dxa" w:w="220"/>
              <w:bottom w:type="dxa" w:w="100"/>
              <w:right w:type="dxa" w:w="220"/>
            </w:tcMar>
          </w:tcPr>
          <w:p>
            <w:r>
              <w:rPr>
                <w:rFonts w:ascii="Arial" w:cs="Arial" w:eastAsia="Arial" w:hAnsi="Arial"/>
                <w:b/>
                <w:bCs/>
                <w:caps/>
                <w:color w:val="FFFFFF"/>
                <w:sz w:val="20"/>
                <w:szCs w:val="20"/>
              </w:rPr>
              <w:t xml:space="preserve">Was das AI Board nicht ist</w:t>
            </w:r>
          </w:p>
        </w:tc>
      </w:tr>
      <w:tr>
        <w:tc>
          <w:tcPr>
            <w:tcW w:type="dxa" w:w="9026"/>
            <w:tcBorders>
              <w:top w:val="none" w:color="FFFFFF" w:sz="0"/>
              <w:left w:val="none" w:color="FFFFFF" w:sz="0"/>
              <w:bottom w:val="single" w:color="CCCCCC" w:sz="1"/>
              <w:right w:val="none" w:color="FFFFFF" w:sz="0"/>
            </w:tcBorders>
            <w:shd w:fill="F9EAEC"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Kein Status-Meeting: Der Impact Radar ist 15 Minuten, der Rest ist Entscheidung.</w:t>
            </w:r>
          </w:p>
          <w:p>
            <w:pPr>
              <w:spacing w:after="60" w:before="40"/>
            </w:pPr>
            <w:r>
              <w:rPr>
                <w:rFonts w:ascii="Arial" w:cs="Arial" w:eastAsia="Arial" w:hAnsi="Arial"/>
                <w:color w:val="2C2C2C"/>
                <w:sz w:val="22"/>
                <w:szCs w:val="22"/>
              </w:rPr>
              <w:t xml:space="preserve">Kein Technologie-Forum: Tool-Diskussionen gehören in Impact Demos, nicht ins Board.</w:t>
            </w:r>
          </w:p>
          <w:p>
            <w:pPr>
              <w:spacing w:after="60" w:before="40"/>
            </w:pPr>
            <w:r>
              <w:rPr>
                <w:rFonts w:ascii="Arial" w:cs="Arial" w:eastAsia="Arial" w:hAnsi="Arial"/>
                <w:color w:val="2C2C2C"/>
                <w:sz w:val="22"/>
                <w:szCs w:val="22"/>
              </w:rPr>
              <w:t xml:space="preserve">Kein Ort für Grundsatzdebatten: Diese werden vorbereitet eingebracht.</w:t>
            </w:r>
          </w:p>
        </w:tc>
      </w:tr>
    </w:tbl>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5. KAIRON SPRINT</w:t>
      </w:r>
    </w:p>
    <w:p>
      <w:pPr>
        <w:spacing w:after="100" w:before="80"/>
        <w:jc w:val="left"/>
      </w:pPr>
      <w:r>
        <w:rPr>
          <w:rFonts w:ascii="Arial" w:cs="Arial" w:eastAsia="Arial" w:hAnsi="Arial"/>
          <w:color w:val="2C2C2C"/>
          <w:sz w:val="22"/>
          <w:szCs w:val="22"/>
        </w:rPr>
        <w:t xml:space="preserve">KAIRON SPRINT ist die operative Ausführungsebene des Systems. Sie stellt sicher, dass Use Cases nicht in Konzept-Phasen versanden, sondern in 14-Tage-Zyklen tatsächlich gebaut, getestet und bewertet werden. Jeder Sprint endet mit einer Entscheidung.</w:t>
      </w:r>
    </w:p>
    <w:p>
      <w:pPr>
        <w:spacing w:after="12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Die AI Pipeline</w:t>
      </w:r>
    </w:p>
    <w:p>
      <w:pPr>
        <w:spacing w:after="100" w:before="80"/>
        <w:jc w:val="left"/>
      </w:pPr>
      <w:r>
        <w:rPr>
          <w:rFonts w:ascii="Arial" w:cs="Arial" w:eastAsia="Arial" w:hAnsi="Arial"/>
          <w:color w:val="2C2C2C"/>
          <w:sz w:val="22"/>
          <w:szCs w:val="22"/>
        </w:rPr>
        <w:t xml:space="preserve">Die AI Pipeline ist das zentrale Steuerungs-Artefakt des KAIRON OS. Sie ist die einzige Quelle der Wahrheit für alle KI-Initiativen.</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62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Pipeline-Feld</w:t>
            </w:r>
          </w:p>
        </w:tc>
        <w:tc>
          <w:tcPr>
            <w:tcW w:type="dxa" w:w="10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Pflicht?</w:t>
            </w:r>
          </w:p>
        </w:tc>
        <w:tc>
          <w:tcPr>
            <w:tcW w:type="dxa" w:w="56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Inhalt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Use-Case-Titel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Ja</w:t>
            </w:r>
          </w:p>
        </w:tc>
        <w:tc>
          <w:tcPr>
            <w:tcW w:type="dxa" w:w="5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Handlungsorientierter Name. Nicht: „KI im Vertrieb“. Richtig: „Automatische Angebotsgenerierung für Standardprodukte“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Goal-Zuordnung</w:t>
            </w:r>
          </w:p>
        </w:tc>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Ja</w:t>
            </w:r>
          </w:p>
        </w:tc>
        <w:tc>
          <w:tcPr>
            <w:tcW w:type="dxa" w:w="5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Auf welches Quartalsziel zahlt dieser Use Case ein?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Owner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Ja</w:t>
            </w:r>
          </w:p>
        </w:tc>
        <w:tc>
          <w:tcPr>
            <w:tcW w:type="dxa" w:w="5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Namentlich. Kein Owner = kein Pipeline-Eintrag.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Target</w:t>
            </w:r>
          </w:p>
        </w:tc>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Ja</w:t>
            </w:r>
          </w:p>
        </w:tc>
        <w:tc>
          <w:tcPr>
            <w:tcW w:type="dxa" w:w="5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Messbares Erfolgskriterium mit Baseline und Zielwert.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Completion Gate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Ja</w:t>
            </w:r>
          </w:p>
        </w:tc>
        <w:tc>
          <w:tcPr>
            <w:tcW w:type="dxa" w:w="5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Wann ist dieser Use Case abgeschlossen? Konkret und prüfbar. Inkl. Playbook-Session.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Status</w:t>
            </w:r>
          </w:p>
        </w:tc>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Ja</w:t>
            </w:r>
          </w:p>
        </w:tc>
        <w:tc>
          <w:tcPr>
            <w:tcW w:type="dxa" w:w="5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 / In Sprint / Impact Demo / Abgeschlossen / Gestoppt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Risiko (Guardian)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Ja</w:t>
            </w:r>
          </w:p>
        </w:tc>
        <w:tc>
          <w:tcPr>
            <w:tcW w:type="dxa" w:w="5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Risikoklasse nach EU AI Act. Vom AI Guardian ausgefüllt.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Sprint-History</w:t>
            </w:r>
          </w:p>
        </w:tc>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Nein</w:t>
            </w:r>
          </w:p>
        </w:tc>
        <w:tc>
          <w:tcPr>
            <w:tcW w:type="dxa" w:w="5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Protokoll vergangener Sprints für Lernzwecke.</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Das Completion Gate</w:t>
      </w:r>
    </w:p>
    <w:p>
      <w:pPr>
        <w:spacing w:after="100" w:before="80"/>
        <w:jc w:val="left"/>
      </w:pPr>
      <w:r>
        <w:rPr>
          <w:rFonts w:ascii="Arial" w:cs="Arial" w:eastAsia="Arial" w:hAnsi="Arial"/>
          <w:color w:val="2C2C2C"/>
          <w:sz w:val="22"/>
          <w:szCs w:val="22"/>
        </w:rPr>
        <w:t xml:space="preserve">Das Completion Gate ist das schärfste Werkzeug gegen Endlos-Piloten. Ein Use Case ist erst dann abgeschlossen, wenn alle Gate-Kriterien erfüllt sind – nicht früher.</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6B3A" w:val="clear"/>
            <w:tcMar>
              <w:top w:type="dxa" w:w="100"/>
              <w:left w:type="dxa" w:w="220"/>
              <w:bottom w:type="dxa" w:w="100"/>
              <w:right w:type="dxa" w:w="220"/>
            </w:tcMar>
          </w:tcPr>
          <w:p>
            <w:r>
              <w:rPr>
                <w:rFonts w:ascii="Arial" w:cs="Arial" w:eastAsia="Arial" w:hAnsi="Arial"/>
                <w:b/>
                <w:bCs/>
                <w:caps/>
                <w:color w:val="FFFFFF"/>
                <w:sz w:val="20"/>
                <w:szCs w:val="20"/>
              </w:rPr>
              <w:t xml:space="preserve">Standard Completion Gate im KAIRON OS</w:t>
            </w:r>
          </w:p>
        </w:tc>
      </w:tr>
      <w:tr>
        <w:tc>
          <w:tcPr>
            <w:tcW w:type="dxa" w:w="9026"/>
            <w:tcBorders>
              <w:top w:val="none" w:color="FFFFFF" w:sz="0"/>
              <w:left w:val="none" w:color="FFFFFF" w:sz="0"/>
              <w:bottom w:val="single" w:color="CCCCCC" w:sz="1"/>
              <w:right w:val="none" w:color="FFFFFF" w:sz="0"/>
            </w:tcBorders>
            <w:shd w:fill="E6F4EB"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1. Das Impact Target wurde in produktivem Betrieb gemessen (kein Testumfeld).</w:t>
            </w:r>
          </w:p>
          <w:p>
            <w:pPr>
              <w:spacing w:after="60" w:before="40"/>
            </w:pPr>
            <w:r>
              <w:rPr>
                <w:rFonts w:ascii="Arial" w:cs="Arial" w:eastAsia="Arial" w:hAnsi="Arial"/>
                <w:color w:val="2C2C2C"/>
                <w:sz w:val="22"/>
                <w:szCs w:val="22"/>
              </w:rPr>
              <w:t xml:space="preserve">2. Die Baseline ist dokumentiert und der Delta-Wert ist belegt.</w:t>
            </w:r>
          </w:p>
          <w:p>
            <w:pPr>
              <w:spacing w:after="60" w:before="40"/>
            </w:pPr>
            <w:r>
              <w:rPr>
                <w:rFonts w:ascii="Arial" w:cs="Arial" w:eastAsia="Arial" w:hAnsi="Arial"/>
                <w:color w:val="2C2C2C"/>
                <w:sz w:val="22"/>
                <w:szCs w:val="22"/>
              </w:rPr>
              <w:t xml:space="preserve">3. Mindestens 3 Endnutzer haben den Use Case produktiv verwendet.</w:t>
            </w:r>
          </w:p>
          <w:p>
            <w:pPr>
              <w:spacing w:after="60" w:before="40"/>
            </w:pPr>
            <w:r>
              <w:rPr>
                <w:rFonts w:ascii="Arial" w:cs="Arial" w:eastAsia="Arial" w:hAnsi="Arial"/>
                <w:color w:val="2C2C2C"/>
                <w:sz w:val="22"/>
                <w:szCs w:val="22"/>
              </w:rPr>
              <w:t xml:space="preserve">4. Der AI Guardian hat die Governance-Prüfung abgeschlossen.</w:t>
            </w:r>
          </w:p>
          <w:p>
            <w:pPr>
              <w:spacing w:after="60" w:before="40"/>
            </w:pPr>
            <w:r>
              <w:rPr>
                <w:rFonts w:ascii="Arial" w:cs="Arial" w:eastAsia="Arial" w:hAnsi="Arial"/>
                <w:color w:val="2C2C2C"/>
                <w:sz w:val="22"/>
                <w:szCs w:val="22"/>
              </w:rPr>
              <w:t xml:space="preserve">5. Sprint Debrief und Playbook Session sind protokolliert.</w:t>
            </w:r>
          </w:p>
          <w:p>
            <w:pPr>
              <w:spacing w:after="60" w:before="40"/>
            </w:pPr>
            <w:r>
              <w:rPr>
                <w:rFonts w:ascii="Arial" w:cs="Arial" w:eastAsia="Arial" w:hAnsi="Arial"/>
                <w:color w:val="2C2C2C"/>
                <w:sz w:val="22"/>
                <w:szCs w:val="22"/>
              </w:rPr>
              <w:t xml:space="preserve">6. Der AI Steward hat den Status in der Pipeline auf „Abgeschlossen“ gesetzt.</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Ceremony 3: Pipeline Refinement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4C75" w:val="clear"/>
            <w:tcMar>
              <w:top w:type="dxa" w:w="140"/>
              <w:left w:type="dxa" w:w="220"/>
              <w:bottom w:type="dxa" w:w="140"/>
              <w:right w:type="dxa" w:w="220"/>
            </w:tcMar>
          </w:tcPr>
          <w:p>
            <w:r>
              <w:rPr>
                <w:rFonts w:ascii="Arial" w:cs="Arial" w:eastAsia="Arial" w:hAnsi="Arial"/>
                <w:b/>
                <w:bCs/>
                <w:color w:val="FFFFFF"/>
                <w:sz w:val="22"/>
                <w:szCs w:val="22"/>
              </w:rPr>
              <w:t xml:space="preserve">14-täglich, 30 Minuten. Use Cases schärfen, bevor sie in den Sprint kommen.</w:t>
            </w:r>
          </w:p>
        </w:tc>
      </w:tr>
    </w:tbl>
    <w:p>
      <w:pPr>
        <w:spacing w:after="10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Use Cases, die kein vollständiges Impact Target haben, kommen nicht ins Refinement. Use Cases ohne Completion Gate kommen nicht ins Sprint Setup. Diese Sequenz ist nicht verhandelbar.</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c>
          <w:tcPr>
            <w:tcW w:type="dxa" w:w="1400"/>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Schritt</w:t>
            </w:r>
          </w:p>
        </w:tc>
        <w:tc>
          <w:tcPr>
            <w:tcW w:type="dxa" w:w="3800"/>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Frage</w:t>
            </w:r>
          </w:p>
        </w:tc>
        <w:tc>
          <w:tcPr>
            <w:tcW w:type="dxa" w:w="3826"/>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Ergebnis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 Relevanz</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Zahlt dieser Use Case auf ein aktives AI Goal ein?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Ja → weiter. Nein → auf Eis bis nächster AI Horizon Session.</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 Schärfung</w:t>
            </w:r>
          </w:p>
        </w:tc>
        <w:tc>
          <w:tcPr>
            <w:tcW w:type="dxa" w:w="3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Ist das Impact Target konkret genug? Baseline bekannt?</w:t>
            </w:r>
          </w:p>
        </w:tc>
        <w:tc>
          <w:tcPr>
            <w:tcW w:type="dxa" w:w="3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Target wird präzisiert oder Use Case zurückgestellt.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 Gate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Ist das Completion Gate formuliert und inkl. Playbook-Session?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Ohne Gate: kein Sprint Setup.</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4. Risiko</w:t>
            </w:r>
          </w:p>
        </w:tc>
        <w:tc>
          <w:tcPr>
            <w:tcW w:type="dxa" w:w="3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Hat der AI Guardian den Use Case risikoklassifiziert?</w:t>
            </w:r>
          </w:p>
        </w:tc>
        <w:tc>
          <w:tcPr>
            <w:tcW w:type="dxa" w:w="3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Guardian-Freigabe als Voraussetzung.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5. Schätzung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Wie viele Sprints braucht dieser Use Case realistisch?</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Grob: 1–6 Sprints. Über 6 Sprints: Use Case aufteilen.</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Ceremony 4: Sprint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4C75" w:val="clear"/>
            <w:tcMar>
              <w:top w:type="dxa" w:w="140"/>
              <w:left w:type="dxa" w:w="220"/>
              <w:bottom w:type="dxa" w:w="140"/>
              <w:right w:type="dxa" w:w="220"/>
            </w:tcMar>
          </w:tcPr>
          <w:p>
            <w:r>
              <w:rPr>
                <w:rFonts w:ascii="Arial" w:cs="Arial" w:eastAsia="Arial" w:hAnsi="Arial"/>
                <w:b/>
                <w:bCs/>
                <w:color w:val="FFFFFF"/>
                <w:sz w:val="22"/>
                <w:szCs w:val="22"/>
              </w:rPr>
              <w:t xml:space="preserve">14-täglich, 60 Minuten. Sprint Focus definieren. Sprint Thesis formulieren.</w:t>
            </w:r>
          </w:p>
        </w:tc>
      </w:tr>
    </w:tbl>
    <w:p>
      <w:pPr>
        <w:spacing w:after="10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Jeder Sprint beginnt mit einer Sprint Thesis. Nicht „Wir bauen Feature X“, sondern „Wenn wir X tun, dann wird Impact Target Y um Z verändert.“ Diese Thesis ist der Prüfstein für die Impact Demo.</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c>
          <w:tcPr>
            <w:tcW w:type="dxa" w:w="2000"/>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Element</w:t>
            </w:r>
          </w:p>
        </w:tc>
        <w:tc>
          <w:tcPr>
            <w:tcW w:type="dxa" w:w="4200"/>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Inhalt</w:t>
            </w:r>
          </w:p>
        </w:tc>
        <w:tc>
          <w:tcPr>
            <w:tcW w:type="dxa" w:w="2826"/>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Thesis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Wenn wir [Maßnahme], dann [Wirkung auf Impact Target] um [messbarer Wert].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 formuliert, Team bestätigt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Focus</w:t>
            </w:r>
          </w:p>
        </w:tc>
        <w:tc>
          <w:tcPr>
            <w:tcW w:type="dxa" w:w="4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Konkrete Tasks für die nächsten 14 Tage</w:t>
            </w:r>
          </w:p>
        </w:tc>
        <w:tc>
          <w:tcPr>
            <w:tcW w:type="dxa" w:w="2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Builder listet auf, Owner priorisiert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Done-Kriterium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Wann ist dieser Sprint abgeschlossen? (Teil-Completion-Gate)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 definiert, Team akzeptiert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Kapazitäts-Check</w:t>
            </w:r>
          </w:p>
        </w:tc>
        <w:tc>
          <w:tcPr>
            <w:tcW w:type="dxa" w:w="4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Wie viele Stunden hat das Team verfügbar? Realistisch.</w:t>
            </w:r>
          </w:p>
        </w:tc>
        <w:tc>
          <w:tcPr>
            <w:tcW w:type="dxa" w:w="2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Builder meldet selbst</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Ceremony 5: Daily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4C75" w:val="clear"/>
            <w:tcMar>
              <w:top w:type="dxa" w:w="140"/>
              <w:left w:type="dxa" w:w="220"/>
              <w:bottom w:type="dxa" w:w="140"/>
              <w:right w:type="dxa" w:w="220"/>
            </w:tcMar>
          </w:tcPr>
          <w:p>
            <w:r>
              <w:rPr>
                <w:rFonts w:ascii="Arial" w:cs="Arial" w:eastAsia="Arial" w:hAnsi="Arial"/>
                <w:b/>
                <w:bCs/>
                <w:color w:val="FFFFFF"/>
                <w:sz w:val="22"/>
                <w:szCs w:val="22"/>
              </w:rPr>
              <w:t xml:space="preserve">Täglich, 15 Minuten, asynchron. Drei Fragen. Blocker sofort sichtbar.</w:t>
            </w:r>
          </w:p>
        </w:tc>
      </w:tr>
    </w:tbl>
    <w:p>
      <w:pPr>
        <w:spacing w:after="10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Jeder AI Builder beantwortet täglich drei Fragen in einem definierten Kanal. Kein Meeting, kein Live-Call. Der AI Steward liest und eskaliert Blocker direkt an den AI Owner.</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Frage</w:t>
            </w:r>
          </w:p>
        </w:tc>
        <w:tc>
          <w:tcPr>
            <w:tcW w:type="dxa" w:w="4826"/>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Ziel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habe ich gestern für den Use Case getan?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Transparenz über Fortschritt.</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plane ich heute zu tun?</w:t>
            </w:r>
          </w:p>
        </w:tc>
        <w:tc>
          <w:tcPr>
            <w:tcW w:type="dxa" w:w="4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Commitment gegenüber dem Team.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blockiert mich?</w:t>
            </w:r>
          </w:p>
        </w:tc>
        <w:tc>
          <w:tcPr>
            <w:tcW w:type="dxa" w:w="4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Blocker sofort sichtbar, nicht erst in der Impact Demo.</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Ceremony 6: Impact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4C75" w:val="clear"/>
            <w:tcMar>
              <w:top w:type="dxa" w:w="140"/>
              <w:left w:type="dxa" w:w="220"/>
              <w:bottom w:type="dxa" w:w="140"/>
              <w:right w:type="dxa" w:w="220"/>
            </w:tcMar>
          </w:tcPr>
          <w:p>
            <w:r>
              <w:rPr>
                <w:rFonts w:ascii="Arial" w:cs="Arial" w:eastAsia="Arial" w:hAnsi="Arial"/>
                <w:b/>
                <w:bCs/>
                <w:color w:val="FFFFFF"/>
                <w:sz w:val="22"/>
                <w:szCs w:val="22"/>
              </w:rPr>
              <w:t xml:space="preserve">14-täglich, 45 Minuten. Ergebnis zeigen. Sprint Thesis bewerten. Entscheidung treffen.</w:t>
            </w:r>
          </w:p>
        </w:tc>
      </w:tr>
    </w:tbl>
    <w:p>
      <w:pPr>
        <w:spacing w:after="10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Die Impact Demo ist kein Status-Bericht. Es ist eine Live-Demonstration des tatsächlich erzeugten Ergebnisses und eine Bewertung der Sprint Thesis. Kein Demo → kein Review. Diese Regel hält die Qualität des Ergebnisses hoch.</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Entscheidung</w:t>
            </w:r>
          </w:p>
        </w:tc>
        <w:tc>
          <w:tcPr>
            <w:tcW w:type="dxa" w:w="3600"/>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Kriterium</w:t>
            </w:r>
          </w:p>
        </w:tc>
        <w:tc>
          <w:tcPr>
            <w:tcW w:type="dxa" w:w="3626"/>
            <w:tcBorders>
              <w:top w:val="single" w:color="CCCCCC" w:sz="1"/>
              <w:left w:val="single" w:color="CCCCCC" w:sz="1"/>
              <w:bottom w:val="single" w:color="CCCCCC" w:sz="1"/>
              <w:right w:val="single" w:color="CCCCCC" w:sz="1"/>
            </w:tcBorders>
            <w:shd w:fill="0F4C75" w:val="clear"/>
            <w:tcMar>
              <w:top w:type="dxa" w:w="80"/>
              <w:left w:type="dxa" w:w="130"/>
              <w:bottom w:type="dxa" w:w="80"/>
              <w:right w:type="dxa" w:w="130"/>
            </w:tcMar>
          </w:tcPr>
          <w:p>
            <w:r>
              <w:rPr>
                <w:rFonts w:ascii="Arial" w:cs="Arial" w:eastAsia="Arial" w:hAnsi="Arial"/>
                <w:b/>
                <w:bCs/>
                <w:color w:val="FFFFFF"/>
                <w:sz w:val="20"/>
                <w:szCs w:val="20"/>
              </w:rPr>
              <w:t xml:space="preserve">Nächster Schritt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WEITER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Thesis bestätigt, Ergebnis liefert messbaren Impact-Beitrag.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Nächster Sprint mit neuer Thesis.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PIVOTIEREN</w:t>
            </w:r>
          </w:p>
        </w:tc>
        <w:tc>
          <w:tcPr>
            <w:tcW w:type="dxa" w:w="3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Ergebnis hat Wert, aber Richtung stimmt nicht.</w:t>
            </w:r>
          </w:p>
        </w:tc>
        <w:tc>
          <w:tcPr>
            <w:tcW w:type="dxa" w:w="3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 Refinement: Use Case schärfen, Thesis neu formulieren.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STOPPEN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Keine Impact-Evidenz nach 2 Sprints (28 Tage).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Dokumentierter Stopp. Sprint Debrief. Anti-Pattern ins Playbook.</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Ceremony 7: Sprint Debrief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235A" w:val="clear"/>
            <w:tcMar>
              <w:top w:type="dxa" w:w="140"/>
              <w:left w:type="dxa" w:w="220"/>
              <w:bottom w:type="dxa" w:w="140"/>
              <w:right w:type="dxa" w:w="220"/>
            </w:tcMar>
          </w:tcPr>
          <w:p>
            <w:r>
              <w:rPr>
                <w:rFonts w:ascii="Arial" w:cs="Arial" w:eastAsia="Arial" w:hAnsi="Arial"/>
                <w:b/>
                <w:bCs/>
                <w:color w:val="FFFFFF"/>
                <w:sz w:val="22"/>
                <w:szCs w:val="22"/>
              </w:rPr>
              <w:t xml:space="preserve">14-täglich, 30 Minuten. Was ändern wir? Unmittelbar gefolgt von der Playbook Session.</w:t>
            </w:r>
          </w:p>
        </w:tc>
      </w:tr>
    </w:tbl>
    <w:p>
      <w:pPr>
        <w:spacing w:after="10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Der Sprint Debrief ist das Lern-Format des Systems. Er stellt drei Fragen – und die Antworten fließen direkt in den nächsten Sprint und in das AI Playbook ein.</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CCCCCC" w:sz="1"/>
              <w:left w:val="single" w:color="CCCCCC" w:sz="1"/>
              <w:bottom w:val="single" w:color="CCCCCC" w:sz="1"/>
              <w:right w:val="single" w:color="CCCCCC" w:sz="1"/>
            </w:tcBorders>
            <w:shd w:fill="4A235A" w:val="clear"/>
            <w:tcMar>
              <w:top w:type="dxa" w:w="80"/>
              <w:left w:type="dxa" w:w="130"/>
              <w:bottom w:type="dxa" w:w="80"/>
              <w:right w:type="dxa" w:w="130"/>
            </w:tcMar>
          </w:tcPr>
          <w:p>
            <w:r>
              <w:rPr>
                <w:rFonts w:ascii="Arial" w:cs="Arial" w:eastAsia="Arial" w:hAnsi="Arial"/>
                <w:b/>
                <w:bCs/>
                <w:color w:val="FFFFFF"/>
                <w:sz w:val="20"/>
                <w:szCs w:val="20"/>
              </w:rPr>
              <w:t xml:space="preserve">Frage</w:t>
            </w:r>
          </w:p>
        </w:tc>
        <w:tc>
          <w:tcPr>
            <w:tcW w:type="dxa" w:w="2400"/>
            <w:tcBorders>
              <w:top w:val="single" w:color="CCCCCC" w:sz="1"/>
              <w:left w:val="single" w:color="CCCCCC" w:sz="1"/>
              <w:bottom w:val="single" w:color="CCCCCC" w:sz="1"/>
              <w:right w:val="single" w:color="CCCCCC" w:sz="1"/>
            </w:tcBorders>
            <w:shd w:fill="4A235A" w:val="clear"/>
            <w:tcMar>
              <w:top w:type="dxa" w:w="80"/>
              <w:left w:type="dxa" w:w="130"/>
              <w:bottom w:type="dxa" w:w="80"/>
              <w:right w:type="dxa" w:w="130"/>
            </w:tcMar>
          </w:tcPr>
          <w:p>
            <w:r>
              <w:rPr>
                <w:rFonts w:ascii="Arial" w:cs="Arial" w:eastAsia="Arial" w:hAnsi="Arial"/>
                <w:b/>
                <w:bCs/>
                <w:color w:val="FFFFFF"/>
                <w:sz w:val="20"/>
                <w:szCs w:val="20"/>
              </w:rPr>
              <w:t xml:space="preserve">Format</w:t>
            </w:r>
          </w:p>
        </w:tc>
        <w:tc>
          <w:tcPr>
            <w:tcW w:type="dxa" w:w="4026"/>
            <w:tcBorders>
              <w:top w:val="single" w:color="CCCCCC" w:sz="1"/>
              <w:left w:val="single" w:color="CCCCCC" w:sz="1"/>
              <w:bottom w:val="single" w:color="CCCCCC" w:sz="1"/>
              <w:right w:val="single" w:color="CCCCCC" w:sz="1"/>
            </w:tcBorders>
            <w:shd w:fill="4A235A" w:val="clear"/>
            <w:tcMar>
              <w:top w:type="dxa" w:w="80"/>
              <w:left w:type="dxa" w:w="130"/>
              <w:bottom w:type="dxa" w:w="80"/>
              <w:right w:type="dxa" w:w="130"/>
            </w:tcMar>
          </w:tcPr>
          <w:p>
            <w:r>
              <w:rPr>
                <w:rFonts w:ascii="Arial" w:cs="Arial" w:eastAsia="Arial" w:hAnsi="Arial"/>
                <w:b/>
                <w:bCs/>
                <w:color w:val="FFFFFF"/>
                <w:sz w:val="20"/>
                <w:szCs w:val="20"/>
              </w:rPr>
              <w:t xml:space="preserve">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hat funktioniert? (Beibehalten)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Jeder nennt 1–2 Dinge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Liste der Praktiken, die fortgeführt werden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hat nicht funktioniert? (Stoppen)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Jeder nennt 1–2 Dinge</w:t>
            </w:r>
          </w:p>
        </w:tc>
        <w:tc>
          <w:tcPr>
            <w:tcW w:type="dxa" w:w="40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Liste der Praktiken, die beendet werden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probieren wir im nächsten Sprint? (Experimentieren)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Team einigt sich auf 1 Maßnahme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Konkreter, messbarer Experiment-Task für Sprint n+1</w:t>
            </w:r>
          </w:p>
        </w:tc>
      </w:tr>
    </w:tbl>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235A" w:val="clear"/>
            <w:tcMar>
              <w:top w:type="dxa" w:w="100"/>
              <w:left w:type="dxa" w:w="220"/>
              <w:bottom w:type="dxa" w:w="100"/>
              <w:right w:type="dxa" w:w="220"/>
            </w:tcMar>
          </w:tcPr>
          <w:p>
            <w:r>
              <w:rPr>
                <w:rFonts w:ascii="Arial" w:cs="Arial" w:eastAsia="Arial" w:hAnsi="Arial"/>
                <w:b/>
                <w:bCs/>
                <w:caps/>
                <w:color w:val="FFFFFF"/>
                <w:sz w:val="20"/>
                <w:szCs w:val="20"/>
              </w:rPr>
              <w:t xml:space="preserve">Quarterly Debrief</w:t>
            </w:r>
          </w:p>
        </w:tc>
      </w:tr>
      <w:tr>
        <w:tc>
          <w:tcPr>
            <w:tcW w:type="dxa" w:w="9026"/>
            <w:tcBorders>
              <w:top w:val="none" w:color="FFFFFF" w:sz="0"/>
              <w:left w:val="none" w:color="FFFFFF" w:sz="0"/>
              <w:bottom w:val="single" w:color="CCCCCC" w:sz="1"/>
              <w:right w:val="none" w:color="FFFFFF" w:sz="0"/>
            </w:tcBorders>
            <w:shd w:fill="F3EAF7"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Am Ende jedes Quartals (während der AI Horizon Session) wird ein erweiterter Debrief durchgeführt: 60 Minuten, alle Owner + Steward. Die drei Fragen bleiben dieselben – auf Quartalsniveau. Ergebnis fließt direkt in die neuen AI Goals ein.</w:t>
            </w:r>
          </w:p>
        </w:tc>
      </w:tr>
    </w:tbl>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6. KAIRON COMPOUND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6B3A" w:val="clear"/>
            <w:tcMar>
              <w:top w:type="dxa" w:w="140"/>
              <w:left w:type="dxa" w:w="220"/>
              <w:bottom w:type="dxa" w:w="140"/>
              <w:right w:type="dxa" w:w="220"/>
            </w:tcMar>
          </w:tcPr>
          <w:p>
            <w:r>
              <w:rPr>
                <w:rFonts w:ascii="Arial" w:cs="Arial" w:eastAsia="Arial" w:hAnsi="Arial"/>
                <w:b/>
                <w:bCs/>
                <w:color w:val="FFFFFF"/>
                <w:sz w:val="22"/>
                <w:szCs w:val="22"/>
              </w:rPr>
              <w:t xml:space="preserve">Das vierte Prinzip in der Praxis: Jeder Sprint macht das System klüger.</w:t>
            </w:r>
          </w:p>
        </w:tc>
      </w:tr>
    </w:tbl>
    <w:p>
      <w:pPr>
        <w:spacing w:after="12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Compound Interest ist das mächtigste Prinzip in der Finanzwelt: Kapital, das Rendite erzeugt, die ihrerseits Rendite erzeugt. KAIRON COMPOUND überträgt dieses Prinzip auf KI-Governance. Jede Initiative baut einen Asset auf, der die nächste Initiative schneller und wirkungsvoller macht.</w:t>
      </w:r>
    </w:p>
    <w:p>
      <w:pPr>
        <w:spacing w:after="100" w:before="80"/>
        <w:jc w:val="left"/>
      </w:pPr>
      <w:r>
        <w:rPr>
          <w:rFonts w:ascii="Arial" w:cs="Arial" w:eastAsia="Arial" w:hAnsi="Arial"/>
          <w:color w:val="2C2C2C"/>
          <w:sz w:val="22"/>
          <w:szCs w:val="22"/>
        </w:rPr>
        <w:t xml:space="preserve">Ohne COMPOUND: Jeder neue AI Owner fängt bei null an. Jeder Sprint erfindet Lösungen, die das Unternehmen bereits kennt. Jeder gestoppte Use Case hinterlässt kein Wissen.</w:t>
      </w:r>
    </w:p>
    <w:p>
      <w:pPr>
        <w:spacing w:after="100" w:before="80"/>
        <w:jc w:val="left"/>
      </w:pPr>
      <w:r>
        <w:rPr>
          <w:rFonts w:ascii="Arial" w:cs="Arial" w:eastAsia="Arial" w:hAnsi="Arial"/>
          <w:color w:val="2C2C2C"/>
          <w:sz w:val="22"/>
          <w:szCs w:val="22"/>
        </w:rPr>
        <w:t xml:space="preserve">Mit COMPOUND: Das Unternehmen baut über Zeit einen strategischen KI-Asset auf, den kein Wettbewerber kaufen kann. Year 1 ist langsamer als Year 2 – Year 3 ist exponentiell besser als Year 1.</w:t>
      </w:r>
    </w:p>
    <w:p>
      <w:pPr>
        <w:spacing w:after="12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Die drei Phasen des Compound Loops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426"/>
      </w:tblGrid>
      <w:tr>
        <w:tc>
          <w:tcPr>
            <w:tcW w:type="dxa" w:w="1200"/>
            <w:tcBorders>
              <w:top w:val="single" w:color="CCCCCC" w:sz="1"/>
              <w:left w:val="single" w:color="CCCCCC" w:sz="1"/>
              <w:bottom w:val="single" w:color="CCCCCC" w:sz="1"/>
              <w:right w:val="single" w:color="CCCCCC" w:sz="1"/>
            </w:tcBorders>
            <w:shd w:fill="1A6B3A" w:val="clear"/>
            <w:tcMar>
              <w:top w:type="dxa" w:w="80"/>
              <w:left w:type="dxa" w:w="130"/>
              <w:bottom w:type="dxa" w:w="80"/>
              <w:right w:type="dxa" w:w="130"/>
            </w:tcMar>
          </w:tcPr>
          <w:p>
            <w:r>
              <w:rPr>
                <w:rFonts w:ascii="Arial" w:cs="Arial" w:eastAsia="Arial" w:hAnsi="Arial"/>
                <w:b/>
                <w:bCs/>
                <w:color w:val="FFFFFF"/>
                <w:sz w:val="20"/>
                <w:szCs w:val="20"/>
              </w:rPr>
              <w:t xml:space="preserve">Phase</w:t>
            </w:r>
          </w:p>
        </w:tc>
        <w:tc>
          <w:tcPr>
            <w:tcW w:type="dxa" w:w="4400"/>
            <w:tcBorders>
              <w:top w:val="single" w:color="CCCCCC" w:sz="1"/>
              <w:left w:val="single" w:color="CCCCCC" w:sz="1"/>
              <w:bottom w:val="single" w:color="CCCCCC" w:sz="1"/>
              <w:right w:val="single" w:color="CCCCCC" w:sz="1"/>
            </w:tcBorders>
            <w:shd w:fill="1A6B3A" w:val="clear"/>
            <w:tcMar>
              <w:top w:type="dxa" w:w="80"/>
              <w:left w:type="dxa" w:w="130"/>
              <w:bottom w:type="dxa" w:w="80"/>
              <w:right w:type="dxa" w:w="130"/>
            </w:tcMar>
          </w:tcPr>
          <w:p>
            <w:r>
              <w:rPr>
                <w:rFonts w:ascii="Arial" w:cs="Arial" w:eastAsia="Arial" w:hAnsi="Arial"/>
                <w:b/>
                <w:bCs/>
                <w:color w:val="FFFFFF"/>
                <w:sz w:val="20"/>
                <w:szCs w:val="20"/>
              </w:rPr>
              <w:t xml:space="preserve">Was passiert</w:t>
            </w:r>
          </w:p>
        </w:tc>
        <w:tc>
          <w:tcPr>
            <w:tcW w:type="dxa" w:w="3426"/>
            <w:tcBorders>
              <w:top w:val="single" w:color="CCCCCC" w:sz="1"/>
              <w:left w:val="single" w:color="CCCCCC" w:sz="1"/>
              <w:bottom w:val="single" w:color="CCCCCC" w:sz="1"/>
              <w:right w:val="single" w:color="CCCCCC" w:sz="1"/>
            </w:tcBorders>
            <w:shd w:fill="1A6B3A" w:val="clear"/>
            <w:tcMar>
              <w:top w:type="dxa" w:w="80"/>
              <w:left w:type="dxa" w:w="130"/>
              <w:bottom w:type="dxa" w:w="80"/>
              <w:right w:type="dxa" w:w="13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 PRODUCE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läuft. Use Case wird gebaut, getestet, gemessen. Impact Demo liefert Ergebnis.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Ergebnis + Impact-Messung</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 EXTRACT</w:t>
            </w:r>
          </w:p>
        </w:tc>
        <w:tc>
          <w:tcPr>
            <w:tcW w:type="dxa" w:w="4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 Session (30 Min. nach jedem Sprint Debrief). Was ist wiederverwendbar?</w:t>
            </w:r>
          </w:p>
        </w:tc>
        <w:tc>
          <w:tcPr>
            <w:tcW w:type="dxa" w:w="34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Playbook-Beitrag: Prompt, Template, Anti-Pattern oder Benchmark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 COMPOUND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Nächster Owner startet nicht bei null, sondern auf Basis der Playbook-Assets. Bessere Thesis, schnellere Validierung.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Höherer Start-Level + kürzere Time-to-Value</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Was Compounding konkret bedeutet: Beispiele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A6B3A" w:val="clear"/>
            <w:tcMar>
              <w:top w:type="dxa" w:w="80"/>
              <w:left w:type="dxa" w:w="130"/>
              <w:bottom w:type="dxa" w:w="80"/>
              <w:right w:type="dxa" w:w="130"/>
            </w:tcMar>
          </w:tcPr>
          <w:p>
            <w:r>
              <w:rPr>
                <w:rFonts w:ascii="Arial" w:cs="Arial" w:eastAsia="Arial" w:hAnsi="Arial"/>
                <w:b/>
                <w:bCs/>
                <w:color w:val="FFFFFF"/>
                <w:sz w:val="20"/>
                <w:szCs w:val="20"/>
              </w:rPr>
              <w:t xml:space="preserve">Sprint X</w:t>
            </w:r>
          </w:p>
        </w:tc>
        <w:tc>
          <w:tcPr>
            <w:tcW w:type="dxa" w:w="3000"/>
            <w:tcBorders>
              <w:top w:val="single" w:color="CCCCCC" w:sz="1"/>
              <w:left w:val="single" w:color="CCCCCC" w:sz="1"/>
              <w:bottom w:val="single" w:color="CCCCCC" w:sz="1"/>
              <w:right w:val="single" w:color="CCCCCC" w:sz="1"/>
            </w:tcBorders>
            <w:shd w:fill="1A6B3A" w:val="clear"/>
            <w:tcMar>
              <w:top w:type="dxa" w:w="80"/>
              <w:left w:type="dxa" w:w="130"/>
              <w:bottom w:type="dxa" w:w="80"/>
              <w:right w:type="dxa" w:w="130"/>
            </w:tcMar>
          </w:tcPr>
          <w:p>
            <w:r>
              <w:rPr>
                <w:rFonts w:ascii="Arial" w:cs="Arial" w:eastAsia="Arial" w:hAnsi="Arial"/>
                <w:b/>
                <w:bCs/>
                <w:color w:val="FFFFFF"/>
                <w:sz w:val="20"/>
                <w:szCs w:val="20"/>
              </w:rPr>
              <w:t xml:space="preserve">Was wird extrahiert</w:t>
            </w:r>
          </w:p>
        </w:tc>
        <w:tc>
          <w:tcPr>
            <w:tcW w:type="dxa" w:w="4026"/>
            <w:tcBorders>
              <w:top w:val="single" w:color="CCCCCC" w:sz="1"/>
              <w:left w:val="single" w:color="CCCCCC" w:sz="1"/>
              <w:bottom w:val="single" w:color="CCCCCC" w:sz="1"/>
              <w:right w:val="single" w:color="CCCCCC" w:sz="1"/>
            </w:tcBorders>
            <w:shd w:fill="1A6B3A" w:val="clear"/>
            <w:tcMar>
              <w:top w:type="dxa" w:w="80"/>
              <w:left w:type="dxa" w:w="130"/>
              <w:bottom w:type="dxa" w:w="80"/>
              <w:right w:type="dxa" w:w="130"/>
            </w:tcMar>
          </w:tcPr>
          <w:p>
            <w:r>
              <w:rPr>
                <w:rFonts w:ascii="Arial" w:cs="Arial" w:eastAsia="Arial" w:hAnsi="Arial"/>
                <w:b/>
                <w:bCs/>
                <w:color w:val="FFFFFF"/>
                <w:sz w:val="20"/>
                <w:szCs w:val="20"/>
              </w:rPr>
              <w:t xml:space="preserve">Wie Sprint X+3 davon profitiert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Use Case: Angebotsgenerator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Prompt-Template für strukturierte Datenextraktion aus CRM-Feldern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Nächster Owner im Einkauf nutzt dasselbe Template. Setup: 2 Tage statt 2 Wochen.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Use Case: Meeting-Protokoll (gestoppt)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Anti-Pattern: KI-Output ohne Review-Gate senkt Qualität. Review-Gate als Standard-Gate-Kriterium.</w:t>
            </w:r>
          </w:p>
        </w:tc>
        <w:tc>
          <w:tcPr>
            <w:tcW w:type="dxa" w:w="40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Alle folgenden Output-Use-Cases haben Review-Gate als Standard-Completion-Gate.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Use Case: Rechnungsprüfung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Impact-Benchmark: Dokumentenverarbeitung erzielt 60–80 % Zeitersparnis im Piloten.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Nächste Owner setzen realistischere Impact Targets. Bessere Impact Scores.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Use Case: HR-Stellenausschreibung</w:t>
            </w:r>
          </w:p>
        </w:tc>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Prompt-Pattern: Rollenbeschreibung + 3 Negativ-Beispiele = messbar bessere Outputs.</w:t>
            </w:r>
          </w:p>
        </w:tc>
        <w:tc>
          <w:tcPr>
            <w:tcW w:type="dxa" w:w="40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Prompt-Qualität steigt systemweit. Jeder Builder kennt das Prinzip aus dem Playbook.</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Die KAIRON Literacy-Kurve</w:t>
      </w:r>
    </w:p>
    <w:p>
      <w:pPr>
        <w:spacing w:after="100" w:before="80"/>
        <w:jc w:val="left"/>
      </w:pPr>
      <w:r>
        <w:rPr>
          <w:rFonts w:ascii="Arial" w:cs="Arial" w:eastAsia="Arial" w:hAnsi="Arial"/>
          <w:color w:val="2C2C2C"/>
          <w:sz w:val="22"/>
          <w:szCs w:val="22"/>
        </w:rPr>
        <w:t xml:space="preserve">COMPOUND passiert nicht nur auf Use-Case-Ebene. Es passiert auch auf Personenebene. Jeder Mitarbeiter, der einen Sprint miterlebt, ist beim nächsten besser. Das System misst das aktiv.</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00"/>
        <w:gridCol w:w="2326"/>
      </w:tblGrid>
      <w:tr>
        <w:tc>
          <w:tcPr>
            <w:tcW w:type="dxa" w:w="1800"/>
            <w:tcBorders>
              <w:top w:val="single" w:color="CCCCCC" w:sz="1"/>
              <w:left w:val="single" w:color="CCCCCC" w:sz="1"/>
              <w:bottom w:val="single" w:color="CCCCCC" w:sz="1"/>
              <w:right w:val="single" w:color="CCCCCC" w:sz="1"/>
            </w:tcBorders>
            <w:shd w:fill="1A6B3A" w:val="clear"/>
            <w:tcMar>
              <w:top w:type="dxa" w:w="80"/>
              <w:left w:type="dxa" w:w="130"/>
              <w:bottom w:type="dxa" w:w="80"/>
              <w:right w:type="dxa" w:w="130"/>
            </w:tcMar>
          </w:tcPr>
          <w:p>
            <w:r>
              <w:rPr>
                <w:rFonts w:ascii="Arial" w:cs="Arial" w:eastAsia="Arial" w:hAnsi="Arial"/>
                <w:b/>
                <w:bCs/>
                <w:color w:val="FFFFFF"/>
                <w:sz w:val="20"/>
                <w:szCs w:val="20"/>
              </w:rPr>
              <w:t xml:space="preserve">Literacy-Level</w:t>
            </w:r>
          </w:p>
        </w:tc>
        <w:tc>
          <w:tcPr>
            <w:tcW w:type="dxa" w:w="2400"/>
            <w:tcBorders>
              <w:top w:val="single" w:color="CCCCCC" w:sz="1"/>
              <w:left w:val="single" w:color="CCCCCC" w:sz="1"/>
              <w:bottom w:val="single" w:color="CCCCCC" w:sz="1"/>
              <w:right w:val="single" w:color="CCCCCC" w:sz="1"/>
            </w:tcBorders>
            <w:shd w:fill="1A6B3A" w:val="clear"/>
            <w:tcMar>
              <w:top w:type="dxa" w:w="80"/>
              <w:left w:type="dxa" w:w="130"/>
              <w:bottom w:type="dxa" w:w="80"/>
              <w:right w:type="dxa" w:w="130"/>
            </w:tcMar>
          </w:tcPr>
          <w:p>
            <w:r>
              <w:rPr>
                <w:rFonts w:ascii="Arial" w:cs="Arial" w:eastAsia="Arial" w:hAnsi="Arial"/>
                <w:b/>
                <w:bCs/>
                <w:color w:val="FFFFFF"/>
                <w:sz w:val="20"/>
                <w:szCs w:val="20"/>
              </w:rPr>
              <w:t xml:space="preserve">Beschreibung</w:t>
            </w:r>
          </w:p>
        </w:tc>
        <w:tc>
          <w:tcPr>
            <w:tcW w:type="dxa" w:w="2500"/>
            <w:tcBorders>
              <w:top w:val="single" w:color="CCCCCC" w:sz="1"/>
              <w:left w:val="single" w:color="CCCCCC" w:sz="1"/>
              <w:bottom w:val="single" w:color="CCCCCC" w:sz="1"/>
              <w:right w:val="single" w:color="CCCCCC" w:sz="1"/>
            </w:tcBorders>
            <w:shd w:fill="1A6B3A" w:val="clear"/>
            <w:tcMar>
              <w:top w:type="dxa" w:w="80"/>
              <w:left w:type="dxa" w:w="130"/>
              <w:bottom w:type="dxa" w:w="80"/>
              <w:right w:type="dxa" w:w="130"/>
            </w:tcMar>
          </w:tcPr>
          <w:p>
            <w:r>
              <w:rPr>
                <w:rFonts w:ascii="Arial" w:cs="Arial" w:eastAsia="Arial" w:hAnsi="Arial"/>
                <w:b/>
                <w:bCs/>
                <w:color w:val="FFFFFF"/>
                <w:sz w:val="20"/>
                <w:szCs w:val="20"/>
              </w:rPr>
              <w:t xml:space="preserve">Woran erkennbar</w:t>
            </w:r>
          </w:p>
        </w:tc>
        <w:tc>
          <w:tcPr>
            <w:tcW w:type="dxa" w:w="2326"/>
            <w:tcBorders>
              <w:top w:val="single" w:color="CCCCCC" w:sz="1"/>
              <w:left w:val="single" w:color="CCCCCC" w:sz="1"/>
              <w:bottom w:val="single" w:color="CCCCCC" w:sz="1"/>
              <w:right w:val="single" w:color="CCCCCC" w:sz="1"/>
            </w:tcBorders>
            <w:shd w:fill="1A6B3A" w:val="clear"/>
            <w:tcMar>
              <w:top w:type="dxa" w:w="80"/>
              <w:left w:type="dxa" w:w="130"/>
              <w:bottom w:type="dxa" w:w="80"/>
              <w:right w:type="dxa" w:w="130"/>
            </w:tcMar>
          </w:tcPr>
          <w:p>
            <w:r>
              <w:rPr>
                <w:rFonts w:ascii="Arial" w:cs="Arial" w:eastAsia="Arial" w:hAnsi="Arial"/>
                <w:b/>
                <w:bCs/>
                <w:color w:val="FFFFFF"/>
                <w:sz w:val="20"/>
                <w:szCs w:val="20"/>
              </w:rPr>
              <w:t xml:space="preserve">Zielquote nach 12 Monaten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Level 1: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Nutzt KI-Tools produktiv im Alltag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Aktive Tool-Nutzung, kein eigener Prompt-Aufbau</w:t>
            </w:r>
          </w:p>
        </w:tc>
        <w:tc>
          <w:tcPr>
            <w:tcW w:type="dxa" w:w="2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&gt; 80 % aller Mitarbeiter</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Level 2: Practitioner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Entwirft eigene Prompts und Impact Theses</w:t>
            </w:r>
          </w:p>
        </w:tc>
        <w:tc>
          <w:tcPr>
            <w:tcW w:type="dxa" w:w="25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Kann Impact Target formulieren, Sprint Setup teilnehmen</w:t>
            </w:r>
          </w:p>
        </w:tc>
        <w:tc>
          <w:tcPr>
            <w:tcW w:type="dxa" w:w="23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20–40 % aller Mitarbeiter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Level 3: Champion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Trainiert andere. Trägt aktiv zum Playbook bei.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Playbook-Beiträge, mentort neue Owner/Builder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3–5 % aller Mitarbeiter</w:t>
            </w:r>
          </w:p>
        </w:tc>
      </w:tr>
    </w:tbl>
    <w:p>
      <w:pPr>
        <w:spacing w:after="12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6B3A" w:val="clear"/>
            <w:tcMar>
              <w:top w:type="dxa" w:w="100"/>
              <w:left w:type="dxa" w:w="220"/>
              <w:bottom w:type="dxa" w:w="100"/>
              <w:right w:type="dxa" w:w="220"/>
            </w:tcMar>
          </w:tcPr>
          <w:p>
            <w:r>
              <w:rPr>
                <w:rFonts w:ascii="Arial" w:cs="Arial" w:eastAsia="Arial" w:hAnsi="Arial"/>
                <w:b/>
                <w:bCs/>
                <w:caps/>
                <w:color w:val="FFFFFF"/>
                <w:sz w:val="20"/>
                <w:szCs w:val="20"/>
              </w:rPr>
              <w:t xml:space="preserve">Die Compound-Kennzahl</w:t>
            </w:r>
          </w:p>
        </w:tc>
      </w:tr>
      <w:tr>
        <w:tc>
          <w:tcPr>
            <w:tcW w:type="dxa" w:w="9026"/>
            <w:tcBorders>
              <w:top w:val="none" w:color="FFFFFF" w:sz="0"/>
              <w:left w:val="none" w:color="FFFFFF" w:sz="0"/>
              <w:bottom w:val="single" w:color="CCCCCC" w:sz="1"/>
              <w:right w:val="none" w:color="FFFFFF" w:sz="0"/>
            </w:tcBorders>
            <w:shd w:fill="E6F4EB"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Jahr 1: Mediane Time-to-Value eines neuen Use Cases = 28 Tage.</w:t>
            </w:r>
          </w:p>
          <w:p>
            <w:pPr>
              <w:spacing w:after="60" w:before="40"/>
            </w:pPr>
            <w:r>
              <w:rPr>
                <w:rFonts w:ascii="Arial" w:cs="Arial" w:eastAsia="Arial" w:hAnsi="Arial"/>
                <w:color w:val="2C2C2C"/>
                <w:sz w:val="22"/>
                <w:szCs w:val="22"/>
              </w:rPr>
              <w:t xml:space="preserve">Jahr 2: Mediane Time-to-Value = 18 Tage (Playbook verkürzt Setup und Thesis-Findung).</w:t>
            </w:r>
          </w:p>
          <w:p>
            <w:pPr>
              <w:spacing w:after="60" w:before="40"/>
            </w:pPr>
            <w:r>
              <w:rPr>
                <w:rFonts w:ascii="Arial" w:cs="Arial" w:eastAsia="Arial" w:hAnsi="Arial"/>
                <w:color w:val="2C2C2C"/>
                <w:sz w:val="22"/>
                <w:szCs w:val="22"/>
              </w:rPr>
              <w:t xml:space="preserve">Jahr 3: Mediane Time-to-Value = 10 Tage. Gleiche Ressourcen, dreifache Geschwindigkeit.</w:t>
            </w:r>
          </w:p>
          <w:p>
            <w:pPr>
              <w:spacing w:after="60" w:before="40"/>
            </w:pPr>
            <w:r>
              <w:rPr>
                <w:rFonts w:ascii="Arial" w:cs="Arial" w:eastAsia="Arial" w:hAnsi="Arial"/>
                <w:color w:val="2C2C2C"/>
                <w:sz w:val="22"/>
                <w:szCs w:val="22"/>
              </w:rPr>
              <w:t xml:space="preserve">Das ist COMPOUND: nicht durch mehr Aufwand, sondern durch akkumuliertes Wissen.</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Ceremony 8: Playbook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A235A" w:val="clear"/>
            <w:tcMar>
              <w:top w:type="dxa" w:w="140"/>
              <w:left w:type="dxa" w:w="220"/>
              <w:bottom w:type="dxa" w:w="140"/>
              <w:right w:type="dxa" w:w="220"/>
            </w:tcMar>
          </w:tcPr>
          <w:p>
            <w:r>
              <w:rPr>
                <w:rFonts w:ascii="Arial" w:cs="Arial" w:eastAsia="Arial" w:hAnsi="Arial"/>
                <w:b/>
                <w:bCs/>
                <w:color w:val="FFFFFF"/>
                <w:sz w:val="22"/>
                <w:szCs w:val="22"/>
              </w:rPr>
              <w:t xml:space="preserve">30 Minuten, nach jedem Sprint Debrief. Was geht ins Playbook?</w:t>
            </w:r>
          </w:p>
        </w:tc>
      </w:tr>
    </w:tbl>
    <w:p>
      <w:pPr>
        <w:spacing w:after="10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Die Playbook Session läuft direkt im Anschluss an den Sprint Debrief. Sie hat eine einzige Frage: Was aus diesem Sprint ist so wertvoll, dass wir es nie wieder neu erfinden sollten?</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800"/>
        <w:gridCol w:w="2626"/>
      </w:tblGrid>
      <w:tr>
        <w:tc>
          <w:tcPr>
            <w:tcW w:type="dxa" w:w="1000"/>
            <w:tcBorders>
              <w:top w:val="single" w:color="CCCCCC" w:sz="1"/>
              <w:left w:val="single" w:color="CCCCCC" w:sz="1"/>
              <w:bottom w:val="single" w:color="CCCCCC" w:sz="1"/>
              <w:right w:val="single" w:color="CCCCCC" w:sz="1"/>
            </w:tcBorders>
            <w:shd w:fill="4A235A" w:val="clear"/>
            <w:tcMar>
              <w:top w:type="dxa" w:w="80"/>
              <w:left w:type="dxa" w:w="130"/>
              <w:bottom w:type="dxa" w:w="80"/>
              <w:right w:type="dxa" w:w="130"/>
            </w:tcMar>
          </w:tcPr>
          <w:p>
            <w:r>
              <w:rPr>
                <w:rFonts w:ascii="Arial" w:cs="Arial" w:eastAsia="Arial" w:hAnsi="Arial"/>
                <w:b/>
                <w:bCs/>
                <w:color w:val="FFFFFF"/>
                <w:sz w:val="20"/>
                <w:szCs w:val="20"/>
              </w:rPr>
              <w:t xml:space="preserve">Schritt</w:t>
            </w:r>
          </w:p>
        </w:tc>
        <w:tc>
          <w:tcPr>
            <w:tcW w:type="dxa" w:w="3600"/>
            <w:tcBorders>
              <w:top w:val="single" w:color="CCCCCC" w:sz="1"/>
              <w:left w:val="single" w:color="CCCCCC" w:sz="1"/>
              <w:bottom w:val="single" w:color="CCCCCC" w:sz="1"/>
              <w:right w:val="single" w:color="CCCCCC" w:sz="1"/>
            </w:tcBorders>
            <w:shd w:fill="4A235A" w:val="clear"/>
            <w:tcMar>
              <w:top w:type="dxa" w:w="80"/>
              <w:left w:type="dxa" w:w="130"/>
              <w:bottom w:type="dxa" w:w="80"/>
              <w:right w:type="dxa" w:w="130"/>
            </w:tcMar>
          </w:tcPr>
          <w:p>
            <w:r>
              <w:rPr>
                <w:rFonts w:ascii="Arial" w:cs="Arial" w:eastAsia="Arial" w:hAnsi="Arial"/>
                <w:b/>
                <w:bCs/>
                <w:color w:val="FFFFFF"/>
                <w:sz w:val="20"/>
                <w:szCs w:val="20"/>
              </w:rPr>
              <w:t xml:space="preserve">Frage</w:t>
            </w:r>
          </w:p>
        </w:tc>
        <w:tc>
          <w:tcPr>
            <w:tcW w:type="dxa" w:w="1800"/>
            <w:tcBorders>
              <w:top w:val="single" w:color="CCCCCC" w:sz="1"/>
              <w:left w:val="single" w:color="CCCCCC" w:sz="1"/>
              <w:bottom w:val="single" w:color="CCCCCC" w:sz="1"/>
              <w:right w:val="single" w:color="CCCCCC" w:sz="1"/>
            </w:tcBorders>
            <w:shd w:fill="4A235A" w:val="clear"/>
            <w:tcMar>
              <w:top w:type="dxa" w:w="80"/>
              <w:left w:type="dxa" w:w="130"/>
              <w:bottom w:type="dxa" w:w="80"/>
              <w:right w:type="dxa" w:w="130"/>
            </w:tcMar>
          </w:tcPr>
          <w:p>
            <w:r>
              <w:rPr>
                <w:rFonts w:ascii="Arial" w:cs="Arial" w:eastAsia="Arial" w:hAnsi="Arial"/>
                <w:b/>
                <w:bCs/>
                <w:color w:val="FFFFFF"/>
                <w:sz w:val="20"/>
                <w:szCs w:val="20"/>
              </w:rPr>
              <w:t xml:space="preserve">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 Scan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haben wir gelernt, das auch andere betrifft?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Kandidatenliste</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 Bewerten</w:t>
            </w:r>
          </w:p>
        </w:tc>
        <w:tc>
          <w:tcPr>
            <w:tcW w:type="dxa" w:w="3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Ist das wiederverwendbar? In welchem Kontext?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Ja/Nein pro Kandidat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 Extrahieren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Wie beschreiben wir das so, dass ein fremder Owner es sofort nutzen kann?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Playbook-Beitrag (Draft)</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4. Einpflegen</w:t>
            </w:r>
          </w:p>
        </w:tc>
        <w:tc>
          <w:tcPr>
            <w:tcW w:type="dxa" w:w="3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Steward trägt ein, taggt Kategorie, verlinkt mit Use Case in Pipeline.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 aktualisiert</w:t>
            </w:r>
          </w:p>
        </w:tc>
      </w:tr>
    </w:tbl>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7. Das AI Playbook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6B3A" w:val="clear"/>
            <w:tcMar>
              <w:top w:type="dxa" w:w="140"/>
              <w:left w:type="dxa" w:w="220"/>
              <w:bottom w:type="dxa" w:w="140"/>
              <w:right w:type="dxa" w:w="220"/>
            </w:tcMar>
          </w:tcPr>
          <w:p>
            <w:r>
              <w:rPr>
                <w:rFonts w:ascii="Arial" w:cs="Arial" w:eastAsia="Arial" w:hAnsi="Arial"/>
                <w:b/>
                <w:bCs/>
                <w:color w:val="FFFFFF"/>
                <w:sz w:val="22"/>
                <w:szCs w:val="22"/>
              </w:rPr>
              <w:t xml:space="preserve">Das organisationale Gedächtnis des KAIRON OS. Vier Sektionen. Ein wachsender strategischer Asset.</w:t>
            </w:r>
          </w:p>
        </w:tc>
      </w:tr>
    </w:tbl>
    <w:p>
      <w:pPr>
        <w:spacing w:after="12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Das AI Playbook ist das zentrale Wissens-Artefakt des KAIRON OS. Es ist nicht das Projekt-Archiv – es ist der wachsende strategische Asset. Wo die AI Pipeline fragt „Was tun wir als nächstes?“, antwortet das Playbook auf „Was wissen wir bereits?“</w:t>
      </w:r>
    </w:p>
    <w:p>
      <w:pPr>
        <w:spacing w:after="100" w:before="80"/>
        <w:jc w:val="left"/>
      </w:pPr>
      <w:r>
        <w:rPr>
          <w:rFonts w:ascii="Arial" w:cs="Arial" w:eastAsia="Arial" w:hAnsi="Arial"/>
          <w:color w:val="2C2C2C"/>
          <w:sz w:val="22"/>
          <w:szCs w:val="22"/>
        </w:rPr>
        <w:t xml:space="preserve">Das Playbook gehört der Organisation, nicht dem Steward. Es ist für alle Owner und Builder zugänglich. Es wird nach jeder Playbook Session aktualisiert und nach jeder AI Horizon Session versioniert.</w:t>
      </w:r>
    </w:p>
    <w:p>
      <w:pPr>
        <w:spacing w:after="12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Die vier Sektionen des AI Playbooks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500"/>
        <w:gridCol w:w="1926"/>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Sektion</w:t>
            </w:r>
          </w:p>
        </w:tc>
        <w:tc>
          <w:tcPr>
            <w:tcW w:type="dxa" w:w="3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Inhalt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Wer pflegt</w:t>
            </w:r>
          </w:p>
        </w:tc>
        <w:tc>
          <w:tcPr>
            <w:tcW w:type="dxa" w:w="19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Update-Rhythmus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 Prompt-Bibliothek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Getestete Prompt-Templates kategorisiert nach Einsatzfeld (Dokumentenverarbeitung, Kommunikation, Analyse, Codierung)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Builder + Steward</w:t>
            </w:r>
          </w:p>
        </w:tc>
        <w:tc>
          <w:tcPr>
            <w:tcW w:type="dxa" w:w="1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Nach jeder Playbook Session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 Workflow-Muster</w:t>
            </w:r>
          </w:p>
        </w:tc>
        <w:tc>
          <w:tcPr>
            <w:tcW w:type="dxa" w:w="3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Beschriebene Prozessabläufe, in denen KI nachweislich Impact erzeugt. Mit Impact-Belegen.</w:t>
            </w:r>
          </w:p>
        </w:tc>
        <w:tc>
          <w:tcPr>
            <w:tcW w:type="dxa" w:w="15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Owner + Steward</w:t>
            </w:r>
          </w:p>
        </w:tc>
        <w:tc>
          <w:tcPr>
            <w:tcW w:type="dxa" w:w="19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Nach jedem abgeschlossenen 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 Anti-Pattern-Log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Was nicht funktioniert hat und warum. Jeder gestoppte Use Case liefert mindestens einen Eintrag.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Steward</w:t>
            </w:r>
          </w:p>
        </w:tc>
        <w:tc>
          <w:tcPr>
            <w:tcW w:type="dxa" w:w="1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Nach jedem Stopp</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4. Impact-Benchmarks</w:t>
            </w:r>
          </w:p>
        </w:tc>
        <w:tc>
          <w:tcPr>
            <w:tcW w:type="dxa" w:w="3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Belegte Richtwerte: Welcher Use-Case-Typ erzielt wie viel Impact in welchem Zeitraum.</w:t>
            </w:r>
          </w:p>
        </w:tc>
        <w:tc>
          <w:tcPr>
            <w:tcW w:type="dxa" w:w="15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Steward + Controlling</w:t>
            </w:r>
          </w:p>
        </w:tc>
        <w:tc>
          <w:tcPr>
            <w:tcW w:type="dxa" w:w="19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Quartal</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Warum gestoppte Use Cases das Wertvollste sind</w:t>
      </w:r>
    </w:p>
    <w:p>
      <w:pPr>
        <w:spacing w:after="100" w:before="80"/>
        <w:jc w:val="left"/>
      </w:pPr>
      <w:r>
        <w:rPr>
          <w:rFonts w:ascii="Arial" w:cs="Arial" w:eastAsia="Arial" w:hAnsi="Arial"/>
          <w:color w:val="2C2C2C"/>
          <w:sz w:val="22"/>
          <w:szCs w:val="22"/>
        </w:rPr>
        <w:t xml:space="preserve">Der Anti-Pattern-Log ist die am meisten unterschätzte Sektion. Gestoppte Use Cases fühlen sich wie Misserfolge an – aber sie sind das Gegenteil: Sie sind die schnellste Form des Lernens.</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Anti-Pattern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Ursache</w:t>
            </w:r>
          </w:p>
        </w:tc>
        <w:tc>
          <w:tcPr>
            <w:tcW w:type="dxa" w:w="38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Systemische Konsequenz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KI-Output ohne Review-Gate eingesetzt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Vertrauen in Qualität ohne Validierung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Review-Gate als Standard-Completion-Gate-Kriterium für alle Output-Use-Cases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Use Case mit zu breitem Scope gestartet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Owner-Ehrgeiz &gt; Sprint-Realität</w:t>
            </w:r>
          </w:p>
        </w:tc>
        <w:tc>
          <w:tcPr>
            <w:tcW w:type="dxa" w:w="3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Setup: Use Cases über 3 Sprints werden vorher aufgeteilt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Builder ohne Fachkontext eingesetzt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Tool-Kompetenz ≠ Domänen-Kompetenz</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Builder-Auswahl: Domänen-Verständnis ist Muss, Tool-Kenntnisse sind lernbar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Target ohne Baseline gestartet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Messung ohne Ausgangswert</w:t>
            </w:r>
          </w:p>
        </w:tc>
        <w:tc>
          <w:tcPr>
            <w:tcW w:type="dxa" w:w="3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 Refinement: Baseline ist Aufnahme-Voraussetzung</w:t>
            </w:r>
          </w:p>
        </w:tc>
      </w:tr>
    </w:tbl>
    <w:p>
      <w:pPr>
        <w:spacing w:after="16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00"/>
              <w:left w:type="dxa" w:w="220"/>
              <w:bottom w:type="dxa" w:w="100"/>
              <w:right w:type="dxa" w:w="220"/>
            </w:tcMar>
          </w:tcPr>
          <w:p>
            <w:r>
              <w:rPr>
                <w:rFonts w:ascii="Arial" w:cs="Arial" w:eastAsia="Arial" w:hAnsi="Arial"/>
                <w:b/>
                <w:bCs/>
                <w:caps/>
                <w:color w:val="FFFFFF"/>
                <w:sz w:val="20"/>
                <w:szCs w:val="20"/>
              </w:rPr>
              <w:t xml:space="preserve">Der Playbook-Wert-Rechner</w:t>
            </w:r>
          </w:p>
        </w:tc>
      </w:tr>
      <w:tr>
        <w:tc>
          <w:tcPr>
            <w:tcW w:type="dxa" w:w="9026"/>
            <w:tcBorders>
              <w:top w:val="none" w:color="FFFFFF" w:sz="0"/>
              <w:left w:val="none" w:color="FFFFFF" w:sz="0"/>
              <w:bottom w:val="single" w:color="CCCCCC" w:sz="1"/>
              <w:right w:val="none" w:color="FFFFFF" w:sz="0"/>
            </w:tcBorders>
            <w:shd w:fill="E8ECF4"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Annahme: Jeder Playbook-Eintrag spart beim nächsten Use Case 3 Tage Builder-Zeit à € 400.</w:t>
            </w:r>
          </w:p>
          <w:p>
            <w:pPr>
              <w:spacing w:after="60" w:before="40"/>
            </w:pPr>
            <w:r>
              <w:rPr>
                <w:rFonts w:ascii="Arial" w:cs="Arial" w:eastAsia="Arial" w:hAnsi="Arial"/>
                <w:color w:val="2C2C2C"/>
                <w:sz w:val="22"/>
                <w:szCs w:val="22"/>
              </w:rPr>
              <w:t xml:space="preserve">Nach 12 Monaten: 30 Einträge × 3 Tage × € 400 = € 36.000 eingesparte Entwicklungszeit pro Jahr.</w:t>
            </w:r>
          </w:p>
          <w:p>
            <w:pPr>
              <w:spacing w:after="60" w:before="40"/>
            </w:pPr>
            <w:r>
              <w:rPr>
                <w:rFonts w:ascii="Arial" w:cs="Arial" w:eastAsia="Arial" w:hAnsi="Arial"/>
                <w:color w:val="2C2C2C"/>
                <w:sz w:val="22"/>
                <w:szCs w:val="22"/>
              </w:rPr>
              <w:t xml:space="preserve">Diese Zahl wächst, weil die Einträge mehrfach genutzt werden. Das ist COMPOUND in Euro.</w:t>
            </w:r>
          </w:p>
        </w:tc>
      </w:tr>
    </w:tbl>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8. Die Rollenarchitektur</w:t>
      </w:r>
    </w:p>
    <w:p>
      <w:pPr>
        <w:spacing w:after="100" w:before="80"/>
        <w:jc w:val="left"/>
      </w:pPr>
      <w:r>
        <w:rPr>
          <w:rFonts w:ascii="Arial" w:cs="Arial" w:eastAsia="Arial" w:hAnsi="Arial"/>
          <w:color w:val="2C2C2C"/>
          <w:sz w:val="22"/>
          <w:szCs w:val="22"/>
        </w:rPr>
        <w:t xml:space="preserve">Das KAIRON OS kennt fünf Rollen. Alle fünf sind notwendig – fehlt eine, funktioniert das System nicht vollständig. Die Rollen sind nicht identisch mit Stellenbeschreibungen: Eine Person kann mehrere Rollen tragen, aber jede Rolle muss eindeutig zugeordnet sein.</w:t>
      </w:r>
    </w:p>
    <w:p>
      <w:pPr>
        <w:spacing w:after="10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1826"/>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KAIRON-Rolle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Kernaufgabe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Typisch besetzt durch</w:t>
            </w:r>
          </w:p>
        </w:tc>
        <w:tc>
          <w:tcPr>
            <w:tcW w:type="dxa" w:w="18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Zeitaufwand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Sponsor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Strategische Patenschaft, Ressourcen-Entscheidungen, Eskalationsinstanz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Geschäftsführer oder Bereichsvorstand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2–4 h/Monat</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Steward</w:t>
            </w:r>
          </w:p>
        </w:tc>
        <w:tc>
          <w:tcPr>
            <w:tcW w:type="dxa" w:w="3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Operatives Zentrum: AI Pipeline führen, Ceremonies moderieren, Compound sicherstellen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IT-/Digital-Leitung oder KAIRON-zertifizierte Stabsrolle</w:t>
            </w:r>
          </w:p>
        </w:tc>
        <w:tc>
          <w:tcPr>
            <w:tcW w:type="dxa" w:w="1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4–6 h/Woche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Owner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Verantwortung für einzelne Use Cases: Sprint-Steuerung, Impact-Messung, Playbook-Beitrag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Fachbereichs-Führungskräfte mit Zeitbudget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4–8 h/Woche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Builder</w:t>
            </w:r>
          </w:p>
        </w:tc>
        <w:tc>
          <w:tcPr>
            <w:tcW w:type="dxa" w:w="3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Operative Umsetzung in Sprints, Prompt-Entwicklung, Playbook-Beiträge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Fachliche Mitarbeiter mit KI-Affinität und Domänen-Verständnis</w:t>
            </w:r>
          </w:p>
        </w:tc>
        <w:tc>
          <w:tcPr>
            <w:tcW w:type="dxa" w:w="1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5–15 h/Woche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Guardian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Governance, EU AI Act, Risikoprüfung, Schatten-IT-Monitoring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Datenschutz, Compliance oder Legal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2–4 h/Woche</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AI Steward: Das operative Herz</w:t>
      </w:r>
    </w:p>
    <w:p>
      <w:pPr>
        <w:spacing w:after="100" w:before="80"/>
        <w:jc w:val="left"/>
      </w:pPr>
      <w:r>
        <w:rPr>
          <w:rFonts w:ascii="Arial" w:cs="Arial" w:eastAsia="Arial" w:hAnsi="Arial"/>
          <w:color w:val="2C2C2C"/>
          <w:sz w:val="22"/>
          <w:szCs w:val="22"/>
        </w:rPr>
        <w:t xml:space="preserve">Der AI Steward trägt alle drei Ebenen gleichzeitig: Er führt die DIRECTION-Ceremonies (AI Board vorbereiten und moderieren, Impact Scores erheben), leitet den SPRINT-Betrieb (Pipeline Refinement, Sprint Setup, Impact Demo moderieren) und sichert den COMPOUND-Layer (Playbook-Sessions führen, Playbook pflegen, Literacy-Kurve messen).</w:t>
      </w:r>
    </w:p>
    <w:p>
      <w:pPr>
        <w:spacing w:after="8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00"/>
              <w:left w:type="dxa" w:w="220"/>
              <w:bottom w:type="dxa" w:w="100"/>
              <w:right w:type="dxa" w:w="220"/>
            </w:tcMar>
          </w:tcPr>
          <w:p>
            <w:r>
              <w:rPr>
                <w:rFonts w:ascii="Arial" w:cs="Arial" w:eastAsia="Arial" w:hAnsi="Arial"/>
                <w:b/>
                <w:bCs/>
                <w:caps/>
                <w:color w:val="FFFFFF"/>
                <w:sz w:val="20"/>
                <w:szCs w:val="20"/>
              </w:rPr>
              <w:t xml:space="preserve">Zeitaufwand AI Steward: realistisch</w:t>
            </w:r>
          </w:p>
        </w:tc>
      </w:tr>
      <w:tr>
        <w:tc>
          <w:tcPr>
            <w:tcW w:type="dxa" w:w="9026"/>
            <w:tcBorders>
              <w:top w:val="none" w:color="FFFFFF" w:sz="0"/>
              <w:left w:val="none" w:color="FFFFFF" w:sz="0"/>
              <w:bottom w:val="single" w:color="CCCCCC" w:sz="1"/>
              <w:right w:val="none" w:color="FFFFFF" w:sz="0"/>
            </w:tcBorders>
            <w:shd w:fill="E8ECF4"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4–6 Stunden pro Woche bei aktiver Installation; 3–4 Stunden pro Woche im laufenden Betrieb.</w:t>
            </w:r>
          </w:p>
          <w:p>
            <w:pPr>
              <w:spacing w:after="60" w:before="40"/>
            </w:pPr>
            <w:r>
              <w:rPr>
                <w:rFonts w:ascii="Arial" w:cs="Arial" w:eastAsia="Arial" w:hAnsi="Arial"/>
                <w:color w:val="2C2C2C"/>
                <w:sz w:val="22"/>
                <w:szCs w:val="22"/>
              </w:rPr>
              <w:t xml:space="preserve">Die Rolle ist mit einem strukturierten Wochenplaybook führbar – sie braucht keine neue Stelle, sondern eine KCAS-zertifizierte Person mit klarem Mandat.</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AI Owner: Impact-Verantwortung, nicht Projekt-Management</w:t>
      </w:r>
    </w:p>
    <w:p>
      <w:pPr>
        <w:spacing w:after="100" w:before="80"/>
        <w:jc w:val="left"/>
      </w:pPr>
      <w:r>
        <w:rPr>
          <w:rFonts w:ascii="Arial" w:cs="Arial" w:eastAsia="Arial" w:hAnsi="Arial"/>
          <w:color w:val="2C2C2C"/>
          <w:sz w:val="22"/>
          <w:szCs w:val="22"/>
        </w:rPr>
        <w:t xml:space="preserve">Der AI Owner entscheidet, was in seinen Sprint kommt und was nicht. Er formuliert die Sprint Thesis. Er akzeptiert oder verwirft Ergebnisse in der Impact Demo. Er trifft die Stopp-Entscheidung. Er trägt die Verantwortung für den Playbook-Beitrag nach jedem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00"/>
              <w:left w:type="dxa" w:w="220"/>
              <w:bottom w:type="dxa" w:w="100"/>
              <w:right w:type="dxa" w:w="220"/>
            </w:tcMar>
          </w:tcPr>
          <w:p>
            <w:r>
              <w:rPr>
                <w:rFonts w:ascii="Arial" w:cs="Arial" w:eastAsia="Arial" w:hAnsi="Arial"/>
                <w:b/>
                <w:bCs/>
                <w:caps/>
                <w:color w:val="FFFFFF"/>
                <w:sz w:val="20"/>
                <w:szCs w:val="20"/>
              </w:rPr>
              <w:t xml:space="preserve">Der entscheidende Unterschied zum klassischen Projektleiter</w:t>
            </w:r>
          </w:p>
        </w:tc>
      </w:tr>
      <w:tr>
        <w:tc>
          <w:tcPr>
            <w:tcW w:type="dxa" w:w="9026"/>
            <w:tcBorders>
              <w:top w:val="none" w:color="FFFFFF" w:sz="0"/>
              <w:left w:val="none" w:color="FFFFFF" w:sz="0"/>
              <w:bottom w:val="single" w:color="CCCCCC" w:sz="1"/>
              <w:right w:val="none" w:color="FFFFFF" w:sz="0"/>
            </w:tcBorders>
            <w:shd w:fill="E8ECF4" w:val="clear"/>
            <w:tcMar>
              <w:top w:type="dxa" w:w="120"/>
              <w:left w:type="dxa" w:w="220"/>
              <w:bottom w:type="dxa" w:w="120"/>
              <w:right w:type="dxa" w:w="220"/>
            </w:tcMar>
          </w:tcPr>
          <w:p>
            <w:pPr>
              <w:spacing w:after="60" w:before="40"/>
            </w:pPr>
            <w:r>
              <w:rPr>
                <w:rFonts w:ascii="Arial" w:cs="Arial" w:eastAsia="Arial" w:hAnsi="Arial"/>
                <w:color w:val="2C2C2C"/>
                <w:sz w:val="22"/>
                <w:szCs w:val="22"/>
              </w:rPr>
              <w:t xml:space="preserve">Ein klassischer Projektleiter managt Aktivitäten. Der AI Owner managt Impact. Er fragt nicht: „Haben wir die Aufgaben erledigt?“ – er fragt: „Haben wir das Impact Target messbarer erreicht?“ Das macht die Rolle anspruchsvoller, aber auch klarer.</w:t>
            </w:r>
          </w:p>
        </w:tc>
      </w:tr>
    </w:tbl>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9. Governance-Integration</w:t>
      </w:r>
    </w:p>
    <w:p>
      <w:pPr>
        <w:spacing w:after="100" w:before="80"/>
        <w:jc w:val="left"/>
      </w:pPr>
      <w:r>
        <w:rPr>
          <w:rFonts w:ascii="Arial" w:cs="Arial" w:eastAsia="Arial" w:hAnsi="Arial"/>
          <w:color w:val="2C2C2C"/>
          <w:sz w:val="22"/>
          <w:szCs w:val="22"/>
        </w:rPr>
        <w:t xml:space="preserve">Im KAIRON OS ist Governance kein Sonderprozess – sie ist in die Ceremonies integriert. Der AI Guardian läuft mit dem System, nicht neben ihm. Jeder Use Case durchläuft Governance-Prüfung als Teil der Pipeline-Aufnahme – nicht als zusätzlichen Prozess.</w:t>
      </w:r>
    </w:p>
    <w:p>
      <w:pPr>
        <w:spacing w:after="12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02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Checkpoint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Wann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Wer</w:t>
            </w:r>
          </w:p>
        </w:tc>
        <w:tc>
          <w:tcPr>
            <w:tcW w:type="dxa" w:w="30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Risikoklassifizierung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 Refinement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Guardian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Risikoklasse nach EU AI Act im Pipeline-Eintrag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Sprint-Freigabe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Setup</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Guardian</w:t>
            </w:r>
          </w:p>
        </w:tc>
        <w:tc>
          <w:tcPr>
            <w:tcW w:type="dxa" w:w="30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Freigabe für Sprint-Start (1-Tages-Check)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Pre-Production-Review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Demo (vor Go-Live)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Guardian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Formales Review vor produktivem Einsatz</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Quarterly Compliance-Check</w:t>
            </w:r>
          </w:p>
        </w:tc>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Horizon Session</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Guardian</w:t>
            </w:r>
          </w:p>
        </w:tc>
        <w:tc>
          <w:tcPr>
            <w:tcW w:type="dxa" w:w="30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Alle produktiven Use Cases auf Audit-Readiness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Jährliches Audit-Readiness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Jahresdurchgang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Guardian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Vollständiger Compliance-Report für Geschäftsführung</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Schatten-IT: Sichtbar machen, nicht eliminieren</w:t>
      </w:r>
    </w:p>
    <w:p>
      <w:pPr>
        <w:pStyle w:val="ListParagraph"/>
        <w:numPr>
          <w:ilvl w:val="0"/>
          <w:numId w:val="2"/>
        </w:numPr>
        <w:spacing w:after="50" w:before="40"/>
      </w:pPr>
      <w:r>
        <w:rPr>
          <w:rFonts w:ascii="Arial" w:cs="Arial" w:eastAsia="Arial" w:hAnsi="Arial"/>
          <w:color w:val="2C2C2C"/>
          <w:sz w:val="22"/>
          <w:szCs w:val="22"/>
        </w:rPr>
        <w:t xml:space="preserve">Amnestie-Fenster bei KAIRON-Start: Mitarbeiter können inoffizielle Tools offen nennen – ohne Konsequenz.</w:t>
      </w:r>
    </w:p>
    <w:p>
      <w:pPr>
        <w:pStyle w:val="ListParagraph"/>
        <w:numPr>
          <w:ilvl w:val="0"/>
          <w:numId w:val="2"/>
        </w:numPr>
        <w:spacing w:after="50" w:before="40"/>
      </w:pPr>
      <w:r>
        <w:rPr>
          <w:rFonts w:ascii="Arial" w:cs="Arial" w:eastAsia="Arial" w:hAnsi="Arial"/>
          <w:color w:val="2C2C2C"/>
          <w:sz w:val="22"/>
          <w:szCs w:val="22"/>
        </w:rPr>
        <w:t xml:space="preserve">Monitoring: IT-seitiges Monitoring verbotener Tool-Aufrufe, monatlicher Report an den AI Guardian.</w:t>
      </w:r>
    </w:p>
    <w:p>
      <w:pPr>
        <w:pStyle w:val="ListParagraph"/>
        <w:numPr>
          <w:ilvl w:val="0"/>
          <w:numId w:val="2"/>
        </w:numPr>
        <w:spacing w:after="50" w:before="40"/>
      </w:pPr>
      <w:r>
        <w:rPr>
          <w:rFonts w:ascii="Arial" w:cs="Arial" w:eastAsia="Arial" w:hAnsi="Arial"/>
          <w:color w:val="2C2C2C"/>
          <w:sz w:val="22"/>
          <w:szCs w:val="22"/>
        </w:rPr>
        <w:t xml:space="preserve">5-Tage-Freigabepfad: Wenn ein inoffizielles Tool genehmigt werden könnte, wird es in 5 Tagen offiziell. Schatten-IT wird zu offizieller Nutzung.</w:t>
      </w:r>
    </w:p>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10. Das System im Unternehmensalltag</w:t>
      </w:r>
    </w:p>
    <w:p>
      <w:pPr>
        <w:pStyle w:val="Heading2"/>
        <w:spacing w:after="120" w:before="340"/>
      </w:pPr>
      <w:r>
        <w:rPr>
          <w:rFonts w:ascii="Arial" w:cs="Arial" w:eastAsia="Arial" w:hAnsi="Arial"/>
          <w:b/>
          <w:bCs/>
          <w:color w:val="16213E"/>
          <w:sz w:val="30"/>
          <w:szCs w:val="30"/>
        </w:rPr>
        <w:t xml:space="preserve">Der KAIRON-Quartalskalender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400"/>
        <w:gridCol w:w="1000"/>
        <w:gridCol w:w="2826"/>
      </w:tblGrid>
      <w:tr>
        <w:tc>
          <w:tcPr>
            <w:tcW w:type="dxa" w:w="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Woche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Ceremony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Ebene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Dauer</w:t>
            </w:r>
          </w:p>
        </w:tc>
        <w:tc>
          <w:tcPr>
            <w:tcW w:type="dxa" w:w="28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Teilnehmer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Horizon Session (inkl. Quarterly Debrief)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DIRECTION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2 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Sponsor, Steward, Owner, Guardian</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1</w:t>
            </w:r>
          </w:p>
        </w:tc>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Setup (Sprint 1)</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w:t>
            </w:r>
          </w:p>
        </w:tc>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60 Min.</w:t>
            </w:r>
          </w:p>
        </w:tc>
        <w:tc>
          <w:tcPr>
            <w:tcW w:type="dxa" w:w="2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 Builder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 Refinement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30 Min.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Steward, Owner</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w:t>
            </w:r>
          </w:p>
        </w:tc>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Demo (Sprint 1)</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w:t>
            </w:r>
          </w:p>
        </w:tc>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45 Min.</w:t>
            </w:r>
          </w:p>
        </w:tc>
        <w:tc>
          <w:tcPr>
            <w:tcW w:type="dxa" w:w="2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 Builder, Steward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Debrief + Playbook Session (S1)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SPRINT/COMPOUND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60 Min.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 Builder</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3</w:t>
            </w:r>
          </w:p>
        </w:tc>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Setup (Sprint 2)</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w:t>
            </w:r>
          </w:p>
        </w:tc>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60 Min.</w:t>
            </w:r>
          </w:p>
        </w:tc>
        <w:tc>
          <w:tcPr>
            <w:tcW w:type="dxa" w:w="2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 Builder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DIRECTION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90 Min.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Sponsor, Steward, Owner</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4</w:t>
            </w:r>
          </w:p>
        </w:tc>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Demo (Sprint 2)</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w:t>
            </w:r>
          </w:p>
        </w:tc>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45 Min.</w:t>
            </w:r>
          </w:p>
        </w:tc>
        <w:tc>
          <w:tcPr>
            <w:tcW w:type="dxa" w:w="2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 Builder, Steward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Debrief + Playbook Session (S2)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SPRINT/COMPOUND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60 Min.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 Builder</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5–10</w:t>
            </w:r>
          </w:p>
        </w:tc>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Sprints 3–5 inkl. Debriefs + Playbook Sessions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Alle Ebenen</w:t>
            </w:r>
          </w:p>
        </w:tc>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w:t>
            </w:r>
          </w:p>
        </w:tc>
        <w:tc>
          <w:tcPr>
            <w:tcW w:type="dxa" w:w="2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 Builder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Board (2. Monat)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DIRECTION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90 Min.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Sponsor, Steward, Owner</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12</w:t>
            </w:r>
          </w:p>
        </w:tc>
        <w:tc>
          <w:tcPr>
            <w:tcW w:type="dxa" w:w="3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Board (3. Monat)</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DIRECTION</w:t>
            </w:r>
          </w:p>
        </w:tc>
        <w:tc>
          <w:tcPr>
            <w:tcW w:type="dxa" w:w="1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90 Min.</w:t>
            </w:r>
          </w:p>
        </w:tc>
        <w:tc>
          <w:tcPr>
            <w:tcW w:type="dxa" w:w="28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Sponsor, Steward, Owner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Horizon Session vorbereiten: Impact Scores, Playbook-Versionierung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DIRECTION/COMPOUND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 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Steward</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Das Steward-Wochenplaybook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26"/>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Tag</w:t>
            </w:r>
          </w:p>
        </w:tc>
        <w:tc>
          <w:tcPr>
            <w:tcW w:type="dxa" w:w="5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Aufgabe</w:t>
            </w:r>
          </w:p>
        </w:tc>
        <w:tc>
          <w:tcPr>
            <w:tcW w:type="dxa" w:w="26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Zeitaufwand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Montag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Pipeline-Überblick: Sind alle Use Cases auf Stand? Gibt es Blocker aus den Daily Signals?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45 Min.</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Mittwoch</w:t>
            </w:r>
          </w:p>
        </w:tc>
        <w:tc>
          <w:tcPr>
            <w:tcW w:type="dxa" w:w="5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Owner-Check-in (asynchron per Kanal): Was läuft, was stockt? Eskalation bei Bedarf.</w:t>
            </w:r>
          </w:p>
        </w:tc>
        <w:tc>
          <w:tcPr>
            <w:tcW w:type="dxa" w:w="2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30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Freitag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Focus aktualisieren. Debrief-Protokolle sammeln. Playbook-Einträge reviewen. Vorbereitung nächste Ceremony.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60 Min.</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KAIRON-Momentum: Die Systemkennzahlen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2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Kennzahl</w:t>
            </w:r>
          </w:p>
        </w:tc>
        <w:tc>
          <w:tcPr>
            <w:tcW w:type="dxa" w:w="2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Definition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Gesunder Wert</w:t>
            </w:r>
          </w:p>
        </w:tc>
        <w:tc>
          <w:tcPr>
            <w:tcW w:type="dxa" w:w="22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Warnsignal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Sprint-Momentum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Use Cases, die Completion Gate erfüllen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2–3 / Monat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&lt; 1 / Monat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Time-to-Value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Tage von Pipeline bis erstem produktivem Test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&lt; 28 Tage</w:t>
            </w:r>
          </w:p>
        </w:tc>
        <w:tc>
          <w:tcPr>
            <w:tcW w:type="dxa" w:w="2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&gt; 45 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Compound TtV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Mediane TtV Q1 vs. Q3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 30 % in 6 Mo.</w:t>
            </w:r>
          </w:p>
        </w:tc>
        <w:tc>
          <w:tcPr>
            <w:tcW w:type="dxa" w:w="2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&lt; – 10 % in 6 Mo.</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Stopp-Quote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Gestoppte / gestartete Use Cases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20–40 %</w:t>
            </w:r>
          </w:p>
        </w:tc>
        <w:tc>
          <w:tcPr>
            <w:tcW w:type="dxa" w:w="2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&lt; 10 % oder &gt; 60 %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Durchschnitt aller Quartalsziele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0.6–0.8</w:t>
            </w:r>
          </w:p>
        </w:tc>
        <w:tc>
          <w:tcPr>
            <w:tcW w:type="dxa" w:w="2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&lt; 0.4 oder &gt; 0.9</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Playbook-Wachstum</w:t>
            </w:r>
          </w:p>
        </w:tc>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Neue Einträge pro Quartal</w:t>
            </w:r>
          </w:p>
        </w:tc>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&gt; 8 / Quartal</w:t>
            </w:r>
          </w:p>
        </w:tc>
        <w:tc>
          <w:tcPr>
            <w:tcW w:type="dxa" w:w="2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&lt; 3 / Quartal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Playbook-Nutzung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Owner, die Playbook vor Sprint Setup nutzen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&gt; 80 %</w:t>
            </w:r>
          </w:p>
        </w:tc>
        <w:tc>
          <w:tcPr>
            <w:tcW w:type="dxa" w:w="2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&lt; 50 %</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Literacy Practitioner</w:t>
            </w:r>
          </w:p>
        </w:tc>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Anteil Mitarbeiter auf Level 2+</w:t>
            </w:r>
          </w:p>
        </w:tc>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&gt; 20 % nach 12 Mo.</w:t>
            </w:r>
          </w:p>
        </w:tc>
        <w:tc>
          <w:tcPr>
            <w:tcW w:type="dxa" w:w="2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&lt; 10 %</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Wie das System in bestehende Routinen passt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Bestehende Routine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KAIRON-Integration</w:t>
            </w:r>
          </w:p>
        </w:tc>
        <w:tc>
          <w:tcPr>
            <w:tcW w:type="dxa" w:w="32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Was wegfällt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Monatliches Führungskräfte-Meeting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Board als 90-Min.-Slot direkt im Anschluss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Ad-hoc-KI-Diskussionen ohne Entscheidungsrahmen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Quartals-Planung / Strategy Day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Horizon Session als fester Block</w:t>
            </w:r>
          </w:p>
        </w:tc>
        <w:tc>
          <w:tcPr>
            <w:tcW w:type="dxa" w:w="3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Separate KI-Strategie-Meetings ohne Beschluss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Projekt-Jour-Fixe Fachbereich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Demo als fester 14-Tage-Abschluss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„Wie läuft das KI-Ding?“-Fragen ad hoc</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Controlling / BI-Reporting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Targets + Scores fließen in Controlling ein</w:t>
            </w:r>
          </w:p>
        </w:tc>
        <w:tc>
          <w:tcPr>
            <w:tcW w:type="dxa" w:w="3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Separate KI-ROI-Reportings ohne Datenbasis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Jahres-Budgetplanung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 + Impact Score als Budget-Inputdokument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Spontane KI-Budgetanträge ohne Evidenz</w:t>
            </w:r>
          </w:p>
        </w:tc>
      </w:tr>
    </w:tbl>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11. KAIRON Certified AI Steward (KCAS)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40"/>
              <w:left w:type="dxa" w:w="220"/>
              <w:bottom w:type="dxa" w:w="140"/>
              <w:right w:type="dxa" w:w="220"/>
            </w:tcMar>
          </w:tcPr>
          <w:p>
            <w:r>
              <w:rPr>
                <w:rFonts w:ascii="Arial" w:cs="Arial" w:eastAsia="Arial" w:hAnsi="Arial"/>
                <w:b/>
                <w:bCs/>
                <w:color w:val="FFFFFF"/>
                <w:sz w:val="22"/>
                <w:szCs w:val="22"/>
              </w:rPr>
              <w:t xml:space="preserve">Das Zertifizierungsmodell für interne AI Stewards. Alle drei Ebenen in einem Zertifikat.</w:t>
            </w:r>
          </w:p>
        </w:tc>
      </w:tr>
    </w:tbl>
    <w:p>
      <w:pPr>
        <w:spacing w:after="120" w:before="0"/>
      </w:pPr>
      <w:r>
        <w:rPr>
          <w:rFonts w:ascii="Arial" w:cs="Arial" w:eastAsia="Arial" w:hAnsi="Arial"/>
          <w:color w:val="2C2C2C"/>
          <w:sz w:val="22"/>
          <w:szCs w:val="22"/>
        </w:rPr>
        <w:t xml:space="preserve"/>
      </w:r>
    </w:p>
    <w:p>
      <w:pPr>
        <w:spacing w:after="100" w:before="80"/>
        <w:jc w:val="left"/>
      </w:pPr>
      <w:r>
        <w:rPr>
          <w:rFonts w:ascii="Arial" w:cs="Arial" w:eastAsia="Arial" w:hAnsi="Arial"/>
          <w:color w:val="2C2C2C"/>
          <w:sz w:val="22"/>
          <w:szCs w:val="22"/>
        </w:rPr>
        <w:t xml:space="preserve">Der AI Steward trägt alle drei Ebenen gleichzeitig. Das KCAS-Programm zertifiziert ihn in allen drei: DIRECTION-Facilitation für den Quartals-Rhythmus, SPRINT-Steuerung für den 14-Tage-Betrieb und COMPOUND-Management für das AI Playbook.</w:t>
      </w:r>
    </w:p>
    <w:p>
      <w:pPr>
        <w:spacing w:after="100" w:before="80"/>
        <w:jc w:val="left"/>
      </w:pPr>
      <w:r>
        <w:rPr>
          <w:rFonts w:ascii="Arial" w:cs="Arial" w:eastAsia="Arial" w:hAnsi="Arial"/>
          <w:color w:val="2C2C2C"/>
          <w:sz w:val="22"/>
          <w:szCs w:val="22"/>
        </w:rPr>
        <w:t xml:space="preserve">Das KCAS-Modell folgt dem Prinzip erfolgreicher interner Zertifizierungsprogramme: Die Rolle ist keine neue Stelle – sie ist eine neue Identität für eine bestehende Person. Mit einem Mandat, einem Playbook und einem Zertifikat, das intern wie extern zählt.</w:t>
      </w:r>
    </w:p>
    <w:p>
      <w:pPr>
        <w:spacing w:after="12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Das KCAS-Bootcamp: 2 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Block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Tag</w:t>
            </w:r>
          </w:p>
        </w:tc>
        <w:tc>
          <w:tcPr>
            <w:tcW w:type="dxa" w:w="50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Inhalt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DIRECTION-Ebene: Ceremonies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Tag 1 Vm.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Horizon Session und AI Board als Simulation. Kandidat moderiert Impact Score Review und Goal-Setting mit echten Unternehmensdaten.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SPRINT-Ebene: Sprint-Betrieb</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Tag 1 Nm.</w:t>
            </w:r>
          </w:p>
        </w:tc>
        <w:tc>
          <w:tcPr>
            <w:tcW w:type="dxa" w:w="50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 Refinement, Sprint Setup, Impact Demo und Sprint Debrief simulieren. Kandidat moderiert als Steward, nicht als Teilnehmer.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COMPOUND-Ebene: Playbook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Tag 2 Vm.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 Session durchführen. Playbook aufbauen. Literacy-Kurve messen. Schwierige Situationen: Owner liefert nicht, AI Board wird abgesagt, Use Case wird politisch.</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Certification Board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Tag 2 Nm.</w:t>
            </w:r>
          </w:p>
        </w:tc>
        <w:tc>
          <w:tcPr>
            <w:tcW w:type="dxa" w:w="50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Kandidat moderiert ein echtes AI Board mit Assessor und realen Stakeholdern. Erfolgreich = KCAS-Zertifikat.</w:t>
            </w:r>
          </w:p>
        </w:tc>
      </w:tr>
    </w:tbl>
    <w:p>
      <w:pPr>
        <w:spacing w:after="12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KCAS-Variante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Preis</w:t>
            </w:r>
          </w:p>
        </w:tc>
        <w:tc>
          <w:tcPr>
            <w:tcW w:type="dxa" w:w="44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Inhalt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KCAS als Teil der Installation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Im Preis enthalten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Bootcamp für 1 Steward ist Bestandteil der 90-Tage-Installation.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KCAS Standalone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€ 2.900 / Person</w:t>
            </w:r>
          </w:p>
        </w:tc>
        <w:tc>
          <w:tcPr>
            <w:tcW w:type="dxa" w:w="44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Für Unternehmen mit bestehendem System, die einen zertifizierten Steward brauchen.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KCAS Annual Update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€ 890 / Person / Jahr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1-Tages-Update: neue Governance-Anforderungen, Playbook-Best-Practices, Community-Austausch.</w:t>
            </w:r>
          </w:p>
        </w:tc>
      </w:tr>
    </w:tbl>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12. Die Produktfamilie</w:t>
      </w:r>
    </w:p>
    <w:p>
      <w:pPr>
        <w:spacing w:after="100" w:before="80"/>
        <w:jc w:val="left"/>
      </w:pPr>
      <w:r>
        <w:rPr>
          <w:rFonts w:ascii="Arial" w:cs="Arial" w:eastAsia="Arial" w:hAnsi="Arial"/>
          <w:color w:val="2C2C2C"/>
          <w:sz w:val="22"/>
          <w:szCs w:val="22"/>
        </w:rPr>
        <w:t xml:space="preserve">Das KAIRON OS wird über sechs gestufte Produkte verkauft. Jedes Produkt hat einen klaren Auftrag, einen definierten Preis und eine Conversion-Logik in das nächste.</w:t>
      </w:r>
    </w:p>
    <w:p>
      <w:pPr>
        <w:spacing w:after="12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3426"/>
      </w:tblGrid>
      <w:tr>
        <w:tc>
          <w:tcPr>
            <w:tcW w:type="dxa" w:w="6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Stufe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Produkt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Preis</w:t>
            </w:r>
          </w:p>
        </w:tc>
        <w:tc>
          <w:tcPr>
            <w:tcW w:type="dxa" w:w="34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Zielgruppe &amp; Kernauftrag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0a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Reality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€ 997</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Reifegrad 1–2. Ist-Zustand feststellen, Problem-Bewusstsein erzeugen, Kaufentscheidung auslösen.</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0b</w:t>
            </w:r>
          </w:p>
        </w:tc>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OS Retrofit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€ 4.900</w:t>
            </w:r>
          </w:p>
        </w:tc>
        <w:tc>
          <w:tcPr>
            <w:tcW w:type="dxa" w:w="34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Reifegrad 3+. OS-Gap-Analyse in 3 Wochen. Alle vier Ebenen geprüft.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OS Installation (90 Tage)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€ 20.000–60.000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Vollständige Installation: Pipeline, alle 8 Ceremonies, AI Playbook-Aufbau, KCAS-Bootcamp.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1b</w:t>
            </w:r>
          </w:p>
        </w:tc>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OS Retrofit-Installation (60 Tage)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€ 12.000–25.000</w:t>
            </w:r>
          </w:p>
        </w:tc>
        <w:tc>
          <w:tcPr>
            <w:tcW w:type="dxa" w:w="34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Gezieltes Nachinstallieren der identifizierten Lücken nach Retrofit.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Operating Partner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€ 3.000–10.000/Mon.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Moderation aller Ceremonies, Playbook-Entwicklung, Compound-Sicherung.</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Q</w:t>
            </w:r>
          </w:p>
        </w:tc>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KCAS Standalone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€ 2.900 / Person</w:t>
            </w:r>
          </w:p>
        </w:tc>
        <w:tc>
          <w:tcPr>
            <w:tcW w:type="dxa" w:w="34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Zertifizierungsprogramm für interne AI Stewards. Jederzeit buchbar.</w:t>
            </w:r>
          </w:p>
        </w:tc>
      </w:tr>
    </w:tbl>
    <w:p>
      <w:pPr>
        <w:spacing w:after="160" w:before="0"/>
      </w:pPr>
      <w:r>
        <w:rPr>
          <w:rFonts w:ascii="Arial" w:cs="Arial" w:eastAsia="Arial" w:hAnsi="Arial"/>
          <w:color w:val="2C2C2C"/>
          <w:sz w:val="22"/>
          <w:szCs w:val="22"/>
        </w:rPr>
        <w:t xml:space="preserve"/>
      </w:r>
    </w:p>
    <w:p>
      <w:pPr>
        <w:pStyle w:val="Heading2"/>
        <w:spacing w:after="120" w:before="340"/>
      </w:pPr>
      <w:r>
        <w:rPr>
          <w:rFonts w:ascii="Arial" w:cs="Arial" w:eastAsia="Arial" w:hAnsi="Arial"/>
          <w:b/>
          <w:bCs/>
          <w:color w:val="16213E"/>
          <w:sz w:val="30"/>
          <w:szCs w:val="30"/>
        </w:rPr>
        <w:t xml:space="preserve">Preis-Differenzierung nach Unternehmensgröße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626"/>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Größe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Installation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Retrofit-Installation</w:t>
            </w:r>
          </w:p>
        </w:tc>
        <w:tc>
          <w:tcPr>
            <w:tcW w:type="dxa" w:w="26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Operating Partner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50–150 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€ 20–30k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€ 12–18k</w:t>
            </w:r>
          </w:p>
        </w:tc>
        <w:tc>
          <w:tcPr>
            <w:tcW w:type="dxa" w:w="2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€ 3–5k/Mon.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150–300 MA</w:t>
            </w:r>
          </w:p>
        </w:tc>
        <w:tc>
          <w:tcPr>
            <w:tcW w:type="dxa" w:w="20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€ 30–45k</w:t>
            </w:r>
          </w:p>
        </w:tc>
        <w:tc>
          <w:tcPr>
            <w:tcW w:type="dxa" w:w="24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€ 18–22k</w:t>
            </w:r>
          </w:p>
        </w:tc>
        <w:tc>
          <w:tcPr>
            <w:tcW w:type="dxa" w:w="26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€ 5–7k/Mon.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300–500 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€ 45–60k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€ 22–25k</w:t>
            </w:r>
          </w:p>
        </w:tc>
        <w:tc>
          <w:tcPr>
            <w:tcW w:type="dxa" w:w="26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€ 7–10k/Mon.</w:t>
            </w:r>
          </w:p>
        </w:tc>
      </w:tr>
    </w:tbl>
    <w:p>
      <w:r>
        <w:br w:type="page"/>
      </w:r>
    </w:p>
    <w:p>
      <w:pPr>
        <w:pStyle w:val="Heading1"/>
        <w:pBdr>
          <w:bottom w:val="single" w:color="1A1A2E" w:sz="10" w:space="4"/>
        </w:pBdr>
        <w:spacing w:after="160" w:before="480"/>
      </w:pPr>
      <w:r>
        <w:rPr>
          <w:rFonts w:ascii="Arial" w:cs="Arial" w:eastAsia="Arial" w:hAnsi="Arial"/>
          <w:b/>
          <w:bCs/>
          <w:color w:val="1A1A2E"/>
          <w:sz w:val="42"/>
          <w:szCs w:val="42"/>
        </w:rPr>
        <w:t xml:space="preserve">13. Glossar</w:t>
      </w:r>
    </w:p>
    <w:p>
      <w:pPr>
        <w:spacing w:after="100" w:before="80"/>
        <w:jc w:val="left"/>
      </w:pPr>
      <w:r>
        <w:rPr>
          <w:rFonts w:ascii="Arial" w:cs="Arial" w:eastAsia="Arial" w:hAnsi="Arial"/>
          <w:color w:val="2C2C2C"/>
          <w:sz w:val="22"/>
          <w:szCs w:val="22"/>
        </w:rPr>
        <w:t xml:space="preserve">Ein System lebt von einheitlicher Sprache. Die folgenden Begriffe sind im KAIRON-Kontext exakt so zu verwenden, wie hier definiert.</w:t>
      </w:r>
    </w:p>
    <w:p>
      <w:pPr>
        <w:spacing w:after="100" w:before="0"/>
      </w:pPr>
      <w:r>
        <w:rPr>
          <w:rFonts w:ascii="Arial" w:cs="Arial" w:eastAsia="Arial" w:hAnsi="Arial"/>
          <w:color w:val="2C2C2C"/>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Begriff</w:t>
            </w:r>
          </w:p>
        </w:tc>
        <w:tc>
          <w:tcPr>
            <w:tcW w:type="dxa" w:w="6226"/>
            <w:tcBorders>
              <w:top w:val="single" w:color="CCCCCC" w:sz="1"/>
              <w:left w:val="single" w:color="CCCCCC" w:sz="1"/>
              <w:bottom w:val="single" w:color="CCCCCC" w:sz="1"/>
              <w:right w:val="single" w:color="CCCCCC" w:sz="1"/>
            </w:tcBorders>
            <w:shd w:fill="1A1A2E" w:val="clear"/>
            <w:tcMar>
              <w:top w:type="dxa" w:w="80"/>
              <w:left w:type="dxa" w:w="130"/>
              <w:bottom w:type="dxa" w:w="80"/>
              <w:right w:type="dxa" w:w="130"/>
            </w:tcMar>
          </w:tcPr>
          <w:p>
            <w:r>
              <w:rPr>
                <w:rFonts w:ascii="Arial" w:cs="Arial" w:eastAsia="Arial" w:hAnsi="Arial"/>
                <w:b/>
                <w:bCs/>
                <w:color w:val="FFFFFF"/>
                <w:sz w:val="20"/>
                <w:szCs w:val="20"/>
              </w:rPr>
              <w:t xml:space="preserve">Definition im KAIRON-Kontext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Board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Monatliches 90-Min.-Gremium. DIRECTION-Ceremony. Priorisierung, Stopps, Ressourcen. Kein Status-Meeting.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Builder</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Operative Umsetzung in Sprints. Domänen-Verständnis ist Pflicht. Trägt aktiv zum Playbook bei.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Goal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Strategisches KI-Quartalsziel. Gerichtet auf Unternehmens-Impact. 2–4 AI Goals pro Quartal.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Guardian</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Governance-Rolle: EU AI Act, Risiko-Prüfung, Schatten-IT. Ermöglicher, nicht Bremser.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Horizon Session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Quartalliche 2-h-Ceremony. AI Goals setzen, Impact Scores bewerten, Pipeline ausrichten, Debrief.</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Owner</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Namentlich benannter Use-Case-Verantwortlicher mit Zeitbudget, Entscheidungsrecht und Playbook-Pflicht.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Pipeline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Zentrale, priorisierte Liste aller Use Cases. Einzige Quelle der Wahrheit. Früher: Backlog.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Playbook</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Das organisationale Gedächtnis. Vier Sektionen: Prompt-Bibliothek, Workflow-Muster, Anti-Pattern-Log, Benchmarks.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Reality Check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Einstiegsprodukt (€ 997) für Reifegrad 1–2. Erzeugt den „Oh shit“-Moment.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AI Sponsor</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GF-Level. 2–4 h/Monat. Ohne Sponsor: kein AI Board, kein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AI Steward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Operatives Herz aller drei Ebenen. KCAS-zertifiziert. 4–6 h/Woche.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Anti-Pattern-Log</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Sektion 3 des AI Playbooks. Jeder Stopp liefert mindestens einen Eintrag. Wertvollste Sektion.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Completion Gate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Konkrete, prüfbare Abschlusskriterien für jeden Use Case. Inkl. Playbook-Session als letztem Punkt.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Compound</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Prinzip 4. Jeder Sprint produziert einen Playbook-Asset. KI-Wert schichtet sich auf wie Zinseszins.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Compound TtV</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Mediane TtV Q1 vs. Q3. Misst Lerngeschwindigkeit. Ziel: – 30 % in 6 Monaten.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Daily Signal</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Täglich, 15 Min., asynchron. Drei Fragen: gestern, heute, Blocker.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Demo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14-tägliche 45-Min.-SPRINT-Ceremony. Demo-Pflicht. Entscheidung: Weiter, Pivotieren, Stoppen.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Score</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Bewertung eines Impact Targets auf Skala 0.0–1.0 am Quartalsende. Kalibrierungs-Instrument.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Impact Target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Messbares Erfolgskriterium mit Baseline und Zielwert. Pro Use Case ein Target.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COMPOUND</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Dritte Ebene des Systems. Kontinuierlich. Wissensakkumulation via Playbook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DIRECTION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Erste Ebene des Systems. Quartals-Rhythmus. Ceremonies: AI Horizon Session + AI Board.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Momentum</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Systemkennzahl-Set: Sprint-Momentum, TtV, Compound TtV, Stopp-Quote, Impact Score, Playbook-Wachstum.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SPRINT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Zweite Ebene des Systems. 14-Tage-Rhythmus. 5 Ceremonies: Refinement, Setup, Signal, Demo, Debrief.</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KCAS</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Certified AI Steward. 2-tägiges Zertifizierungsprogramm. Alle drei Ebenen in einem Zertifikat.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KAIRON 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Das Betriebssystem: 4 Prinzipien + 3 Ebenen + 8 Ceremonies + 5 Rollen + AI Playbook + Governance.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Literacy-Kurve</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Messung des KI-Kompetenz-Wachstums. Level 1: User, Level 2: Practitioner, Level 3: Champion.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Operating Partner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Retainer-Phase (€ 3–10k/Mon.). Moderation aller Ceremonies + Playbook-Entwicklung.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OS Retrofit</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Einstiegsprodukt (€ 4.900) für Reifegrad-3-Unternehmen. Gap-Analyse in 3 Wochen.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Pipeline Refinement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14-tägliche 30-Min.-SPRINT-Ceremony. Use Cases schärfen vor Sprint Setup.</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Playbook Session</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Ceremony 8. 30 Min. nach jedem Sprint Debrief. COMPOUND-Ceremony. Wissen sichern.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Debrief</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14-tägliche 30-Min.-SPRINT-Ceremony. Beibehalten-Stoppen-Experimentieren.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Focus</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Task-Liste für einen 14-Tage-Sprint. Im Sprint Setup aus der AI Pipeline destilliert.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Setup</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14-tägliche 60-Min.-SPRINT-Ceremony. Sprint Thesis formulieren, Sprint Focus definieren.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Sprint Thesis</w:t>
            </w:r>
          </w:p>
        </w:tc>
        <w:tc>
          <w:tcPr>
            <w:tcW w:type="dxa" w:w="6226"/>
            <w:tcBorders>
              <w:top w:val="single" w:color="CCCCCC" w:sz="1"/>
              <w:left w:val="single" w:color="CCCCCC" w:sz="1"/>
              <w:bottom w:val="single" w:color="CCCCCC" w:sz="1"/>
              <w:right w:val="single" w:color="CCCCCC" w:sz="1"/>
            </w:tcBorders>
            <w:shd w:fill="F4F4F4" w:val="clear"/>
            <w:tcMar>
              <w:top w:type="dxa" w:w="80"/>
              <w:left w:type="dxa" w:w="130"/>
              <w:bottom w:type="dxa" w:w="80"/>
              <w:right w:type="dxa" w:w="130"/>
            </w:tcMar>
          </w:tcPr>
          <w:p>
            <w:r>
              <w:rPr>
                <w:rFonts w:ascii="Arial" w:cs="Arial" w:eastAsia="Arial" w:hAnsi="Arial"/>
                <w:b w:val="false"/>
                <w:bCs w:val="false"/>
                <w:color w:val="2C2C2C"/>
                <w:sz w:val="22"/>
                <w:szCs w:val="22"/>
              </w:rPr>
              <w:t xml:space="preserve">Wenn [Maßnahme], dann [Wirkung auf Impact Target] um [Wert]. Prüfstein für Impact Demo.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Use Case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C2C2C"/>
                <w:sz w:val="22"/>
                <w:szCs w:val="22"/>
              </w:rPr>
              <w:t xml:space="preserve">Konkrete KI-Initiative in der AI Pipeline. Hat Owner, Impact Target, Completion Gate, Risiko-Rating.</w:t>
            </w:r>
          </w:p>
        </w:tc>
      </w:tr>
    </w:tbl>
    <w:p>
      <w:pPr>
        <w:spacing w:after="200" w:before="0"/>
      </w:pPr>
      <w:r>
        <w:rPr>
          <w:rFonts w:ascii="Arial" w:cs="Arial" w:eastAsia="Arial" w:hAnsi="Arial"/>
          <w:color w:val="2C2C2C"/>
          <w:sz w:val="22"/>
          <w:szCs w:val="22"/>
        </w:rPr>
        <w:t xml:space="preserve"/>
      </w:r>
    </w:p>
    <w:p>
      <w:pPr>
        <w:pBdr>
          <w:top w:val="single" w:color="1A1A2E" w:sz="8" w:space="8"/>
        </w:pBdr>
        <w:spacing w:after="60" w:before="200"/>
      </w:pPr>
      <w:r>
        <w:rPr>
          <w:rFonts w:ascii="Arial" w:cs="Arial" w:eastAsia="Arial" w:hAnsi="Arial"/>
          <w:color w:val="555555"/>
          <w:sz w:val="18"/>
          <w:szCs w:val="18"/>
        </w:rPr>
        <w:t xml:space="preserve">KAIRON OS  ·  System-Handbuch  ·  Version 5.0  ·  Intern  ·  Vertraulich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00"/>
    </w:pPr>
    <w:r>
      <w:rPr>
        <w:rFonts w:ascii="Arial" w:cs="Arial" w:eastAsia="Arial" w:hAnsi="Arial"/>
        <w:color w:val="555555"/>
        <w:sz w:val="18"/>
        <w:szCs w:val="18"/>
      </w:rPr>
      <w:t xml:space="preserve">Intern · Vertraulich</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4"/>
      </w:pBdr>
      <w:tabs>
        <w:tab w:val="right" w:pos="9026"/>
      </w:tabs>
      <w:spacing w:after="120"/>
    </w:pPr>
    <w:r>
      <w:rPr>
        <w:rFonts w:ascii="Arial" w:cs="Arial" w:eastAsia="Arial" w:hAnsi="Arial"/>
        <w:b/>
        <w:bCs/>
        <w:color w:val="1A1A2E"/>
        <w:sz w:val="18"/>
        <w:szCs w:val="18"/>
      </w:rPr>
      <w:t xml:space="preserve">KAIRON OS</w:t>
    </w:r>
    <w:r>
      <w:rPr>
        <w:rFonts w:ascii="Arial" w:cs="Arial" w:eastAsia="Arial" w:hAnsi="Arial"/>
        <w:color w:val="555555"/>
        <w:sz w:val="18"/>
        <w:szCs w:val="18"/>
      </w:rPr>
      <w:t xml:space="preserve">	System-Handbuch · Version 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42"/>
      <w:szCs w:val="42"/>
    </w:rPr>
  </w:style>
  <w:style w:type="paragraph" w:styleId="Heading2">
    <w:name w:val="Heading 2"/>
    <w:basedOn w:val="Normal"/>
    <w:next w:val="Normal"/>
    <w:qFormat/>
    <w:pPr>
      <w:spacing w:after="120" w:before="340"/>
      <w:outlineLvl w:val="1"/>
    </w:pPr>
    <w:rPr>
      <w:rFonts w:ascii="Arial" w:cs="Arial" w:eastAsia="Arial" w:hAnsi="Arial"/>
      <w:b/>
      <w:bCs/>
      <w:color w:val="16213E"/>
      <w:sz w:val="30"/>
      <w:szCs w:val="30"/>
    </w:rPr>
  </w:style>
  <w:style w:type="paragraph" w:styleId="Heading3">
    <w:name w:val="Heading 3"/>
    <w:basedOn w:val="Normal"/>
    <w:next w:val="Normal"/>
    <w:qFormat/>
    <w:pPr>
      <w:spacing w:after="80" w:before="2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2026-04-17T18:49:17.270Z</dcterms:created>
  <dcterms:modified xsi:type="dcterms:W3CDTF">2026-04-17T18:49:17.272Z</dcterms:modified>
</cp:coreProperties>
</file>

<file path=docProps/custom.xml><?xml version="1.0" encoding="utf-8"?>
<Properties xmlns="http://schemas.openxmlformats.org/officeDocument/2006/custom-properties" xmlns:vt="http://schemas.openxmlformats.org/officeDocument/2006/docPropsVTypes"/>
</file>