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2025-05-14</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bookmarkStart w:id="22" w:name="climate-justice"/>
    <w:p>
      <w:pPr>
        <w:pStyle w:val="Overskrift2"/>
      </w:pPr>
      <w:r>
        <w:t xml:space="preserve">1.1 Climate justice</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End w:id="22"/>
    <w:bookmarkStart w:id="23" w:name="scope"/>
    <w:p>
      <w:pPr>
        <w:pStyle w:val="Overskrift2"/>
      </w:pPr>
      <w:r>
        <w:t xml:space="preserve">1.2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3"/>
    <w:bookmarkStart w:id="24" w:name="disposition"/>
    <w:p>
      <w:pPr>
        <w:pStyle w:val="Overskrift2"/>
      </w:pPr>
      <w:r>
        <w:t xml:space="preserve">1.3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4"/>
    <w:bookmarkEnd w:id="25"/>
    <w:bookmarkStart w:id="31" w:name="sec-context"/>
    <w:p>
      <w:pPr>
        <w:pStyle w:val="Overskrift1"/>
      </w:pPr>
      <w:r>
        <w:t xml:space="preserve">2. Context</w:t>
      </w:r>
    </w:p>
    <w:bookmarkStart w:id="26" w:name="climate-governance"/>
    <w:p>
      <w:pPr>
        <w:pStyle w:val="Overskrift2"/>
      </w:pPr>
      <w:r>
        <w:t xml:space="preserve">2.1 Climate governance</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End w:id="26"/>
    <w:bookmarkStart w:id="27" w:name="mitigation"/>
    <w:p>
      <w:pPr>
        <w:pStyle w:val="Overskrift2"/>
      </w:pPr>
      <w:r>
        <w:t xml:space="preserve">2.2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7"/>
    <w:bookmarkStart w:id="28" w:name="adaptation"/>
    <w:p>
      <w:pPr>
        <w:pStyle w:val="Overskrift2"/>
      </w:pPr>
      <w:r>
        <w:t xml:space="preserve">2.3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8"/>
    <w:bookmarkStart w:id="29" w:name="loss-and-damage"/>
    <w:p>
      <w:pPr>
        <w:pStyle w:val="Overskrift2"/>
      </w:pPr>
      <w:r>
        <w:t xml:space="preserve">2.4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9"/>
    <w:bookmarkStart w:id="30" w:name="unfccc-negotiations"/>
    <w:p>
      <w:pPr>
        <w:pStyle w:val="Overskrift2"/>
      </w:pPr>
      <w:r>
        <w:t xml:space="preserve">2.5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30"/>
    <w:bookmarkEnd w:id="31"/>
    <w:bookmarkStart w:id="34"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p>
      <w:pPr>
        <w:pStyle w:val="Brdtekst"/>
      </w:pPr>
      <w:r>
        <w:t xml:space="preserve">These competing approaches to adaptation reflect deeper epistemological and ontological differences in how vulnerability is understood and addressed. Before exploring these approaches in detail, we first examine how they manifest in UNFCCC negotiations, where adaptation governance is formalized and institutionalized.</w:t>
      </w:r>
    </w:p>
    <w:bookmarkStart w:id="32" w:name="adaptation-nexus"/>
    <w:p>
      <w:pPr>
        <w:pStyle w:val="Overskrift2"/>
      </w:pPr>
      <w:r>
        <w:t xml:space="preserve">3.1 Adaptation Nexus</w:t>
      </w:r>
    </w:p>
    <w:p>
      <w:pPr>
        <w:pStyle w:val="Bloktekst"/>
      </w:pPr>
      <w:r>
        <w:t xml:space="preserve">The adaptation nexus approach builds on participatory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2"/>
    <w:bookmarkStart w:id="33"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Michel Foucault,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The seminal pieces here are Escobar’s</w:t>
      </w:r>
      <w:r>
        <w:t xml:space="preserve"> </w:t>
      </w:r>
      <w:r>
        <w:t xml:space="preserve">(Escobar, 1995)</w:t>
      </w:r>
      <w:r>
        <w:t xml:space="preserve"> </w:t>
      </w:r>
      <w:r>
        <w:t xml:space="preserve">deconstruction of the development discourse in Latin America and the start of a post-development field of study and Ferguson’s</w:t>
      </w:r>
      <w:r>
        <w:t xml:space="preserve"> </w:t>
      </w:r>
      <w:r>
        <w:t xml:space="preserve">(Ferguson, 1994)</w:t>
      </w:r>
      <w:r>
        <w:t xml:space="preserve"> </w:t>
      </w:r>
      <w:r>
        <w:t xml:space="preserve">deconstruction of development projects,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 Agrawal</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w:t>
      </w:r>
      <w:r>
        <w:t xml:space="preserve"> </w:t>
      </w: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(Scoville-Simonds et al., 2020)</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3"/>
    <w:bookmarkEnd w:id="34"/>
    <w:bookmarkStart w:id="39" w:name="sec-theory"/>
    <w:p>
      <w:pPr>
        <w:pStyle w:val="Overskrift1"/>
      </w:pPr>
      <w:r>
        <w:t xml:space="preserve">4. Theory</w:t>
      </w:r>
    </w:p>
    <w:bookmarkStart w:id="35" w:name="development-ontology"/>
    <w:p>
      <w:pPr>
        <w:pStyle w:val="Overskrift2"/>
      </w:pPr>
      <w:r>
        <w:t xml:space="preserve">4.1 Development Ontology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End w:id="35"/>
    <w:bookmarkStart w:id="36" w:name="epistemologies-of-the-south"/>
    <w:p>
      <w:pPr>
        <w:pStyle w:val="Overskrift2"/>
      </w:pPr>
      <w:r>
        <w:t xml:space="preserve">4.2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6"/>
    <w:bookmarkStart w:id="37" w:name="future-making"/>
    <w:p>
      <w:pPr>
        <w:pStyle w:val="Overskrift2"/>
      </w:pPr>
      <w:r>
        <w:t xml:space="preserve">4.3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7"/>
    <w:bookmarkStart w:id="38" w:name="discourse-centralization"/>
    <w:p>
      <w:pPr>
        <w:pStyle w:val="Overskrift2"/>
      </w:pPr>
      <w:r>
        <w:t xml:space="preserve">4.4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8"/>
    <w:bookmarkEnd w:id="39"/>
    <w:bookmarkStart w:id="44" w:name="sec-methods"/>
    <w:p>
      <w:pPr>
        <w:pStyle w:val="Overskrift1"/>
      </w:pPr>
      <w:r>
        <w:t xml:space="preserve">5. Methods: Dominance Index</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This approach does not capture all elements of discourse such as rhetorical structures, implicit assumptions, or visual elements that might not be reflected in word co-occurrence patterns</w:t>
      </w:r>
      <w:r>
        <w:t xml:space="preserve"> </w:t>
      </w:r>
      <w:r>
        <w:t xml:space="preserve">(M. E. Roberts et al., 2019)</w:t>
      </w:r>
      <w:r>
        <w:t xml:space="preserve">.</w:t>
      </w:r>
    </w:p>
    <w:p>
      <w:pPr>
        <w:pStyle w:val="Brdtekst"/>
      </w:pPr>
      <w:r>
        <w:t xml:space="preserve">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40" w:name="corpus-collection-and-preparation"/>
    <w:p>
      <w:pPr>
        <w:pStyle w:val="Overskrift2"/>
      </w:pPr>
      <w:r>
        <w:t xml:space="preserve">5.1 Corpus Collection and Preparation</w:t>
      </w:r>
    </w:p>
    <w:p>
      <w:pPr>
        <w:pStyle w:val="Bloktekst"/>
      </w:pPr>
      <w:r>
        <w:t xml:space="preserve">National Adaptation Plans provide a revealing window into adaptation discourse, requiring systematic processing to transform official policy documents into data suitable for computational analysis.</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reduces dimensionality and improves the signal-to-noise ratio in the data.</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40"/>
    <w:bookmarkStart w:id="41" w:name="structural-topic-modeling"/>
    <w:p>
      <w:pPr>
        <w:pStyle w:val="Overskrift2"/>
      </w:pPr>
      <w:r>
        <w:t xml:space="preserve">5.2 Structural Topic Modeling</w:t>
      </w:r>
    </w:p>
    <w:p>
      <w:pPr>
        <w:pStyle w:val="Bloktekst"/>
      </w:pPr>
      <w:r>
        <w:t xml:space="preserve">Structural topic modeling identifies latent patterns in adaptation discourse and examines how topic prevalence varies across different document characteristics, allowing for systematic comparison while acknowledging the interpretive nature of topic identification.</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simultaneously estimates topic content (the words associated with each topic) and topic prevalence (the proportion of each document devoted to each topic) using a variational expectation-maximization algorithm.</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 Roberts et al. (2019),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 resulting topic model provides several outputs for analysis: topic-word distributions, which help interpret what each topic represents; document-topic proportions, which form the basis for the Dominance Index; metadata correlations, which help identify patterns across different contexts; and a topic correlation matrix, which reveals broader thematic clusters within the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Bloktekst"/>
      </w:pPr>
      <w:r>
        <w:t xml:space="preserve">The Dominance Index quantifies discourse centralization by measuring the concentration of top topics across different document groups, enabling systematic comparison of adaptation discourses across regions and income levels.</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mathematical formula for the Dominance Index (DI) can be expressed as:</w:t>
      </w:r>
    </w:p>
    <w:p>
      <w:pPr>
        <w:pStyle w:val="Brdtekst"/>
      </w:pPr>
      <w:r>
        <w:t xml:space="preserve">DI = (sum of proportions for top 3 topics - minimum possible sum) / (maximum possible sum - minimum possible sum)</w:t>
      </w:r>
    </w:p>
    <w:p>
      <w:pPr>
        <w:pStyle w:val="Brdtekst"/>
      </w:pPr>
      <w:r>
        <w:t xml:space="preserve">Where the minimum possible sum would be 3 * (1/15) = 0.2 in a perfectly even distribution across all 15 topics, and the maximum possible sum would be 1 (if all discourse were concentrated in a single topic). This normalization ensures that the Dominance Index is comparable across different groupings and contexts.</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 Roberts and colleagues (2020) employ a similar approach in their analysis of text-based causal inference, demonstrating the utility of focused metrics that capture specific aspects of textual distributions.</w:t>
      </w:r>
    </w:p>
    <w:p>
      <w:pPr>
        <w:pStyle w:val="Brdtekst"/>
      </w:pPr>
      <w:r>
        <w:t xml:space="preserve">To ensure robustness, I implement several controls in the Dominance Index calculation. Document length normalization calculates topic proportions as fractions of each document, controlling for differences in document length. Jackknife resampling for groups with more than five documents assesses the stability of the Dominance Index and calculates confidence intervals. Sample size thresholds flag results from very small groups (fewer than three documents) as potentially less reliable, encouraging cautious interpretation. These controls help ensure that the Dominance Index reflects genuine patterns of discourse centralization rather than artifacts of corpus composition or document length variation.</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bookmarkEnd w:id="42"/>
    <w:bookmarkStart w:id="43" w:name="interpretation"/>
    <w:p>
      <w:pPr>
        <w:pStyle w:val="Overskrift2"/>
      </w:pPr>
      <w:r>
        <w:t xml:space="preserve">5.4 Interpretation</w:t>
      </w:r>
    </w:p>
    <w:p>
      <w:pPr>
        <w:pStyle w:val="Bloktekst"/>
      </w:pPr>
      <w:r>
        <w:t xml:space="preserve">The analytical framework for interpreting Dominance Index results focuses on identifying which dimensions best explain variation in discourse centralization, connecting statistical patterns to their theoretical implications for adaptation governance.</w:t>
      </w:r>
    </w:p>
    <w:p>
      <w:pPr>
        <w:pStyle w:val="FirstParagraph"/>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p>
      <w:pPr>
        <w:pStyle w:val="Brdtekst"/>
      </w:pPr>
      <w:r>
        <w:t xml:space="preserve">To complement the variance decomposition approach, the analysis also examines the specific topics that dominate in different contexts, connecting the quantitative patterns to qualitative differences in discourse content. This helps determine whether differences in Dominance Index values reflect substantively different approaches to adaptation or merely variations in emphasis within a broadly similar framework.</w:t>
      </w:r>
    </w:p>
    <w:p>
      <w:pPr>
        <w:pStyle w:val="Brdtekst"/>
      </w:pPr>
      <w:r>
        <w:t xml:space="preserve">The interpretation explicitly considers alternative explanations for observed patterns. For example, if regional groups show different Dominance Index values, this could reflect genuinely different epistemological traditions across regions, institutional factors such as regional development banks or policy frameworks, historical patterns of knowledge exchange and policy diffusion, or artifacts of the corpus composition or analytical method. By considering these alternatives, the analysis develops more robust interpretations that acknowledge the complexity of factors shaping adaptation discourse.</w:t>
      </w:r>
    </w:p>
    <w:p>
      <w:pPr>
        <w:pStyle w:val="Brdtekst"/>
      </w:pPr>
      <w:r>
        <w:t xml:space="preserve">This analytical framework allows for systematic examination of how discourse centralization patterns relate to different contextual factors, moving beyond simple description to identify potential explanatory variables. The results of this analysis, presented in the following chapter, provide insight into which dimensions of context—economic, regional, or geographic—most strongly shape how adaptation is conceptualized in official policy documents. These insights have implications for understanding power dynamics in climate governance and the degree to which adaptation discourse reflects epistemological diversity or monoculture across different contexts.</w:t>
      </w:r>
    </w:p>
    <w:p>
      <w:pPr>
        <w:pStyle w:val="Brdtekst"/>
      </w:pPr>
      <w:r>
        <w:t xml:space="preserve">Through this interpretive approach, the analysis connects the quantitative patterns revealed by the Dominance Index to broader questions about epistemological diversity, power relations, and future-making in climate adaptation governance. While the methodology cannot definitively establish causal relationships, it provides a systematic framework for examining patterns of discourse centralization and their potential implications for just and effective adaptation.</w:t>
      </w:r>
    </w:p>
    <w:bookmarkEnd w:id="43"/>
    <w:bookmarkEnd w:id="44"/>
    <w:bookmarkStart w:id="48"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5"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5"/>
    <w:bookmarkStart w:id="46"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6"/>
    <w:bookmarkStart w:id="47"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7"/>
    <w:bookmarkEnd w:id="48"/>
    <w:bookmarkStart w:id="52"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9"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9"/>
    <w:bookmarkStart w:id="50"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50"/>
    <w:bookmarkStart w:id="51"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51"/>
    <w:bookmarkEnd w:id="52"/>
    <w:bookmarkStart w:id="53" w:name="sec-conclusion"/>
    <w:p>
      <w:pPr>
        <w:pStyle w:val="Overskrift1"/>
      </w:pPr>
      <w:r>
        <w:t xml:space="preserve">8. Conclusion</w:t>
      </w:r>
    </w:p>
    <w:bookmarkEnd w:id="53"/>
    <w:bookmarkStart w:id="144" w:name="references"/>
    <w:p>
      <w:pPr>
        <w:pStyle w:val="Overskrift1"/>
      </w:pPr>
      <w:r>
        <w:t xml:space="preserve">References</w:t>
      </w:r>
    </w:p>
    <w:bookmarkStart w:id="143" w:name="refs"/>
    <w:bookmarkStart w:id="54"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4"/>
    <w:bookmarkStart w:id="56"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5">
        <w:r>
          <w:rPr>
            <w:rStyle w:val="Hyperlink"/>
          </w:rPr>
          <w:t xml:space="preserve">https://doi.org/10.1016/j.landusepol.2020.104898</w:t>
        </w:r>
      </w:hyperlink>
    </w:p>
    <w:bookmarkEnd w:id="56"/>
    <w:bookmarkStart w:id="57"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1"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60">
        <w:r>
          <w:rPr>
            <w:rStyle w:val="Hyperlink"/>
          </w:rPr>
          <w:t xml:space="preserve">https://www.climatepolicyinitiative.org/wp-content/uploads/2023/11/GLCF-2023-Methodology.pdf</w:t>
        </w:r>
      </w:hyperlink>
    </w:p>
    <w:bookmarkEnd w:id="61"/>
    <w:bookmarkStart w:id="63"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62">
        <w:r>
          <w:rPr>
            <w:rStyle w:val="Hyperlink"/>
          </w:rPr>
          <w:t xml:space="preserve">https://doi.org/10.1080/1177083X.2024.2344497</w:t>
        </w:r>
      </w:hyperlink>
    </w:p>
    <w:bookmarkEnd w:id="63"/>
    <w:bookmarkStart w:id="6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4"/>
    <w:bookmarkStart w:id="6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5">
        <w:r>
          <w:rPr>
            <w:rStyle w:val="Hyperlink"/>
          </w:rPr>
          <w:t xml:space="preserve">https://doi.org/10.1080/00141844.2020.1788109</w:t>
        </w:r>
      </w:hyperlink>
    </w:p>
    <w:bookmarkEnd w:id="66"/>
    <w:bookmarkStart w:id="68"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7">
        <w:r>
          <w:rPr>
            <w:rStyle w:val="Hyperlink"/>
          </w:rPr>
          <w:t xml:space="preserve">https://doi.org/10.1080/13642987.2017.1397633</w:t>
        </w:r>
      </w:hyperlink>
    </w:p>
    <w:bookmarkEnd w:id="68"/>
    <w:bookmarkStart w:id="70"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9">
        <w:r>
          <w:rPr>
            <w:rStyle w:val="Hyperlink"/>
          </w:rPr>
          <w:t xml:space="preserve">https://doi.org/10.1126/sciadv.abg2652</w:t>
        </w:r>
      </w:hyperlink>
    </w:p>
    <w:bookmarkEnd w:id="70"/>
    <w:bookmarkStart w:id="72"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71">
        <w:r>
          <w:rPr>
            <w:rStyle w:val="Hyperlink"/>
          </w:rPr>
          <w:t xml:space="preserve">https://doi.org/10.3362/9781780440415.001</w:t>
        </w:r>
      </w:hyperlink>
    </w:p>
    <w:bookmarkEnd w:id="72"/>
    <w:bookmarkStart w:id="74"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73">
        <w:r>
          <w:rPr>
            <w:rStyle w:val="Hyperlink"/>
          </w:rPr>
          <w:t xml:space="preserve">https://doi.org/10.1016/j.worlddev.2020.105383</w:t>
        </w:r>
      </w:hyperlink>
    </w:p>
    <w:bookmarkEnd w:id="74"/>
    <w:bookmarkStart w:id="76"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5">
        <w:r>
          <w:rPr>
            <w:rStyle w:val="Hyperlink"/>
          </w:rPr>
          <w:t xml:space="preserve">https://www.jstor.org/stable/j.ctt7rtgw</w:t>
        </w:r>
      </w:hyperlink>
    </w:p>
    <w:bookmarkEnd w:id="76"/>
    <w:bookmarkStart w:id="77"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7"/>
    <w:bookmarkStart w:id="78"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8"/>
    <w:bookmarkStart w:id="79"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9"/>
    <w:bookmarkStart w:id="80"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80"/>
    <w:bookmarkStart w:id="81"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81"/>
    <w:bookmarkStart w:id="83"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82">
        <w:r>
          <w:rPr>
            <w:rStyle w:val="Hyperlink"/>
          </w:rPr>
          <w:t xml:space="preserve">https://doi.org/10.3384/cu.2000.1525.1790615</w:t>
        </w:r>
      </w:hyperlink>
    </w:p>
    <w:bookmarkEnd w:id="83"/>
    <w:bookmarkStart w:id="85"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4">
        <w:r>
          <w:rPr>
            <w:rStyle w:val="Hyperlink"/>
          </w:rPr>
          <w:t xml:space="preserve">https://doi.org/10.1177/1354066117725157</w:t>
        </w:r>
      </w:hyperlink>
    </w:p>
    <w:bookmarkEnd w:id="85"/>
    <w:bookmarkStart w:id="87"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6">
        <w:r>
          <w:rPr>
            <w:rStyle w:val="Hyperlink"/>
          </w:rPr>
          <w:t xml:space="preserve">https://doi.org/10.1016/0016-3287(90)90077-U</w:t>
        </w:r>
      </w:hyperlink>
    </w:p>
    <w:bookmarkEnd w:id="87"/>
    <w:bookmarkStart w:id="89"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8">
        <w:r>
          <w:rPr>
            <w:rStyle w:val="Hyperlink"/>
          </w:rPr>
          <w:t xml:space="preserve">https://doi.org/10.3763/cdev.2010.0053</w:t>
        </w:r>
      </w:hyperlink>
    </w:p>
    <w:bookmarkEnd w:id="89"/>
    <w:bookmarkStart w:id="91"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90">
        <w:r>
          <w:rPr>
            <w:rStyle w:val="Hyperlink"/>
          </w:rPr>
          <w:t xml:space="preserve">https://doi.org/10.1016/j.geoforum.2013.01.005</w:t>
        </w:r>
      </w:hyperlink>
    </w:p>
    <w:bookmarkEnd w:id="91"/>
    <w:bookmarkStart w:id="93"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2">
        <w:r>
          <w:rPr>
            <w:rStyle w:val="Hyperlink"/>
          </w:rPr>
          <w:t xml:space="preserve">https://doi.org/10.1080/14693062.2021.1947177</w:t>
        </w:r>
      </w:hyperlink>
    </w:p>
    <w:bookmarkEnd w:id="93"/>
    <w:bookmarkStart w:id="94"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4"/>
    <w:bookmarkStart w:id="96"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5">
        <w:r>
          <w:rPr>
            <w:rStyle w:val="Hyperlink"/>
          </w:rPr>
          <w:t xml:space="preserve">https://doi.org/10.1080/01436597.2015.1045482</w:t>
        </w:r>
      </w:hyperlink>
    </w:p>
    <w:bookmarkEnd w:id="96"/>
    <w:bookmarkStart w:id="98"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7">
        <w:r>
          <w:rPr>
            <w:rStyle w:val="Hyperlink"/>
          </w:rPr>
          <w:t xml:space="preserve">https://doi.org/10.1007/s11625-020-00807-9</w:t>
        </w:r>
      </w:hyperlink>
    </w:p>
    <w:bookmarkEnd w:id="98"/>
    <w:bookmarkStart w:id="100"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9">
        <w:r>
          <w:rPr>
            <w:rStyle w:val="Hyperlink"/>
          </w:rPr>
          <w:t xml:space="preserve">https://doi.org/10.1080/14693062.2024.2378194</w:t>
        </w:r>
      </w:hyperlink>
    </w:p>
    <w:bookmarkEnd w:id="100"/>
    <w:bookmarkStart w:id="10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01">
        <w:r>
          <w:rPr>
            <w:rStyle w:val="Hyperlink"/>
          </w:rPr>
          <w:t xml:space="preserve">https://doi.org/10.1016/j.gloenvcha.2022.102527</w:t>
        </w:r>
      </w:hyperlink>
    </w:p>
    <w:bookmarkEnd w:id="102"/>
    <w:bookmarkStart w:id="10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3">
        <w:r>
          <w:rPr>
            <w:rStyle w:val="Hyperlink"/>
          </w:rPr>
          <w:t xml:space="preserve">https://doi.org/10.1080/24694452.2017.1406330</w:t>
        </w:r>
      </w:hyperlink>
    </w:p>
    <w:bookmarkEnd w:id="104"/>
    <w:bookmarkStart w:id="106"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5">
        <w:r>
          <w:rPr>
            <w:rStyle w:val="Hyperlink"/>
          </w:rPr>
          <w:t xml:space="preserve">https://doi.org/10.1080/14693062.2013.879514</w:t>
        </w:r>
      </w:hyperlink>
    </w:p>
    <w:bookmarkEnd w:id="106"/>
    <w:bookmarkStart w:id="108"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7">
        <w:r>
          <w:rPr>
            <w:rStyle w:val="Hyperlink"/>
          </w:rPr>
          <w:t xml:space="preserve">https://doi.org/10.1016/j.envsci.2010.10.004</w:t>
        </w:r>
      </w:hyperlink>
    </w:p>
    <w:bookmarkEnd w:id="108"/>
    <w:bookmarkStart w:id="109"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9"/>
    <w:bookmarkStart w:id="111"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10">
        <w:r>
          <w:rPr>
            <w:rStyle w:val="Hyperlink"/>
          </w:rPr>
          <w:t xml:space="preserve">https://doi.org/10.1111/j.1549-0831.2003.tb00133.x</w:t>
        </w:r>
      </w:hyperlink>
    </w:p>
    <w:bookmarkEnd w:id="111"/>
    <w:bookmarkStart w:id="112"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2"/>
    <w:bookmarkStart w:id="114"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3">
        <w:r>
          <w:rPr>
            <w:rStyle w:val="Hyperlink"/>
          </w:rPr>
          <w:t xml:space="preserve">https://doi.org/10.1080/17565529.2016.1184608</w:t>
        </w:r>
      </w:hyperlink>
    </w:p>
    <w:bookmarkEnd w:id="114"/>
    <w:bookmarkStart w:id="116"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5">
        <w:r>
          <w:rPr>
            <w:rStyle w:val="Hyperlink"/>
          </w:rPr>
          <w:t xml:space="preserve">https://doi.org/10.1080/01621459.2016.1141684</w:t>
        </w:r>
      </w:hyperlink>
    </w:p>
    <w:bookmarkEnd w:id="116"/>
    <w:bookmarkStart w:id="118"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7">
        <w:r>
          <w:rPr>
            <w:rStyle w:val="Hyperlink"/>
          </w:rPr>
          <w:t xml:space="preserve">https://doi.org/10.1111/ajps.12526</w:t>
        </w:r>
      </w:hyperlink>
    </w:p>
    <w:bookmarkEnd w:id="118"/>
    <w:bookmarkStart w:id="12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9">
        <w:r>
          <w:rPr>
            <w:rStyle w:val="Hyperlink"/>
          </w:rPr>
          <w:t xml:space="preserve">https://doi.org/10.18637/jss.v091.i02</w:t>
        </w:r>
      </w:hyperlink>
    </w:p>
    <w:bookmarkEnd w:id="120"/>
    <w:bookmarkStart w:id="122"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21">
        <w:r>
          <w:rPr>
            <w:rStyle w:val="Hyperlink"/>
          </w:rPr>
          <w:t xml:space="preserve">https://doi.org/10.4324/9781315634876</w:t>
        </w:r>
      </w:hyperlink>
    </w:p>
    <w:bookmarkEnd w:id="122"/>
    <w:bookmarkStart w:id="124"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3">
        <w:r>
          <w:rPr>
            <w:rStyle w:val="Hyperlink"/>
          </w:rPr>
          <w:t xml:space="preserve">https://doi.org/10.1016/j.oneear.2020.09.014</w:t>
        </w:r>
      </w:hyperlink>
    </w:p>
    <w:bookmarkEnd w:id="124"/>
    <w:bookmarkStart w:id="126"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5">
        <w:r>
          <w:rPr>
            <w:rStyle w:val="Hyperlink"/>
          </w:rPr>
          <w:t xml:space="preserve">https://doi.org/10.1016/j.worlddev.2019.104683</w:t>
        </w:r>
      </w:hyperlink>
    </w:p>
    <w:bookmarkEnd w:id="126"/>
    <w:bookmarkStart w:id="127"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7"/>
    <w:bookmarkStart w:id="129"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8">
        <w:r>
          <w:rPr>
            <w:rStyle w:val="Hyperlink"/>
          </w:rPr>
          <w:t xml:space="preserve">https://www.tidytextmining.com/</w:t>
        </w:r>
      </w:hyperlink>
    </w:p>
    <w:bookmarkEnd w:id="129"/>
    <w:bookmarkStart w:id="130"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30"/>
    <w:bookmarkStart w:id="132"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31">
        <w:r>
          <w:rPr>
            <w:rStyle w:val="Hyperlink"/>
          </w:rPr>
          <w:t xml:space="preserve">https://doi.org/10.1111/reel.12335</w:t>
        </w:r>
      </w:hyperlink>
    </w:p>
    <w:bookmarkEnd w:id="132"/>
    <w:bookmarkStart w:id="134"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3">
        <w:r>
          <w:rPr>
            <w:rStyle w:val="Hyperlink"/>
          </w:rPr>
          <w:t xml:space="preserve">https://doi.org/10.1162/GLEP_a_00379</w:t>
        </w:r>
      </w:hyperlink>
    </w:p>
    <w:bookmarkEnd w:id="134"/>
    <w:bookmarkStart w:id="136"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5">
        <w:r>
          <w:rPr>
            <w:rStyle w:val="Hyperlink"/>
          </w:rPr>
          <w:t xml:space="preserve">https://doi.org/10.1162/glep_a_00723</w:t>
        </w:r>
      </w:hyperlink>
    </w:p>
    <w:bookmarkEnd w:id="136"/>
    <w:bookmarkStart w:id="138"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7">
        <w:r>
          <w:rPr>
            <w:rStyle w:val="Hyperlink"/>
          </w:rPr>
          <w:t xml:space="preserve">https://doi.org/10.1007/s10584-019-02620-5</w:t>
        </w:r>
      </w:hyperlink>
    </w:p>
    <w:bookmarkEnd w:id="138"/>
    <w:bookmarkStart w:id="140"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9">
        <w:r>
          <w:rPr>
            <w:rStyle w:val="Hyperlink"/>
          </w:rPr>
          <w:t xml:space="preserve">https://doi.org/10.1007/s10113-023-02113-3</w:t>
        </w:r>
      </w:hyperlink>
    </w:p>
    <w:bookmarkEnd w:id="140"/>
    <w:bookmarkStart w:id="142"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41">
        <w:r>
          <w:rPr>
            <w:rStyle w:val="Hyperlink"/>
          </w:rPr>
          <w:t xml:space="preserve">https://eleuven.github.io/statthink/ChapEstimation.html</w:t>
        </w:r>
      </w:hyperlink>
    </w:p>
    <w:bookmarkEnd w:id="142"/>
    <w:bookmarkEnd w:id="143"/>
    <w:bookmarkEnd w:id="144"/>
    <w:bookmarkStart w:id="145"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45"/>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9" Target="https://doi.org/10.1007/s10113-023-02113-3" TargetMode="External" /><Relationship Type="http://schemas.openxmlformats.org/officeDocument/2006/relationships/hyperlink" Id="rId137" Target="https://doi.org/10.1007/s10584-019-02620-5" TargetMode="External" /><Relationship Type="http://schemas.openxmlformats.org/officeDocument/2006/relationships/hyperlink" Id="rId97" Target="https://doi.org/10.1007/s11625-020-00807-9" TargetMode="External" /><Relationship Type="http://schemas.openxmlformats.org/officeDocument/2006/relationships/hyperlink" Id="rId86" Target="https://doi.org/10.1016/0016-3287(90)90077-U" TargetMode="External" /><Relationship Type="http://schemas.openxmlformats.org/officeDocument/2006/relationships/hyperlink" Id="rId58" Target="https://doi.org/10.1016/0305-750X(94)90030-2" TargetMode="External" /><Relationship Type="http://schemas.openxmlformats.org/officeDocument/2006/relationships/hyperlink" Id="rId107" Target="https://doi.org/10.1016/j.envsci.2010.10.004" TargetMode="External" /><Relationship Type="http://schemas.openxmlformats.org/officeDocument/2006/relationships/hyperlink" Id="rId90" Target="https://doi.org/10.1016/j.geoforum.2013.01.005" TargetMode="External" /><Relationship Type="http://schemas.openxmlformats.org/officeDocument/2006/relationships/hyperlink" Id="rId101" Target="https://doi.org/10.1016/j.gloenvcha.2022.102527" TargetMode="External" /><Relationship Type="http://schemas.openxmlformats.org/officeDocument/2006/relationships/hyperlink" Id="rId55" Target="https://doi.org/10.1016/j.landusepol.2020.104898" TargetMode="External" /><Relationship Type="http://schemas.openxmlformats.org/officeDocument/2006/relationships/hyperlink" Id="rId123" Target="https://doi.org/10.1016/j.oneear.2020.09.014" TargetMode="External" /><Relationship Type="http://schemas.openxmlformats.org/officeDocument/2006/relationships/hyperlink" Id="rId125" Target="https://doi.org/10.1016/j.worlddev.2019.104683" TargetMode="External" /><Relationship Type="http://schemas.openxmlformats.org/officeDocument/2006/relationships/hyperlink" Id="rId73" Target="https://doi.org/10.1016/j.worlddev.2020.105383" TargetMode="External" /><Relationship Type="http://schemas.openxmlformats.org/officeDocument/2006/relationships/hyperlink" Id="rId65" Target="https://doi.org/10.1080/00141844.2020.1788109" TargetMode="External" /><Relationship Type="http://schemas.openxmlformats.org/officeDocument/2006/relationships/hyperlink" Id="rId95" Target="https://doi.org/10.1080/01436597.2015.1045482" TargetMode="External" /><Relationship Type="http://schemas.openxmlformats.org/officeDocument/2006/relationships/hyperlink" Id="rId115" Target="https://doi.org/10.1080/01621459.2016.1141684" TargetMode="External" /><Relationship Type="http://schemas.openxmlformats.org/officeDocument/2006/relationships/hyperlink" Id="rId62" Target="https://doi.org/10.1080/1177083X.2024.2344497" TargetMode="External" /><Relationship Type="http://schemas.openxmlformats.org/officeDocument/2006/relationships/hyperlink" Id="rId67" Target="https://doi.org/10.1080/13642987.2017.1397633" TargetMode="External" /><Relationship Type="http://schemas.openxmlformats.org/officeDocument/2006/relationships/hyperlink" Id="rId105" Target="https://doi.org/10.1080/14693062.2013.879514" TargetMode="External" /><Relationship Type="http://schemas.openxmlformats.org/officeDocument/2006/relationships/hyperlink" Id="rId92" Target="https://doi.org/10.1080/14693062.2021.1947177" TargetMode="External" /><Relationship Type="http://schemas.openxmlformats.org/officeDocument/2006/relationships/hyperlink" Id="rId99" Target="https://doi.org/10.1080/14693062.2024.2378194" TargetMode="External" /><Relationship Type="http://schemas.openxmlformats.org/officeDocument/2006/relationships/hyperlink" Id="rId113" Target="https://doi.org/10.1080/17565529.2016.1184608" TargetMode="External" /><Relationship Type="http://schemas.openxmlformats.org/officeDocument/2006/relationships/hyperlink" Id="rId103" Target="https://doi.org/10.1080/24694452.2017.1406330" TargetMode="External" /><Relationship Type="http://schemas.openxmlformats.org/officeDocument/2006/relationships/hyperlink" Id="rId117" Target="https://doi.org/10.1111/ajps.12526" TargetMode="External" /><Relationship Type="http://schemas.openxmlformats.org/officeDocument/2006/relationships/hyperlink" Id="rId110" Target="https://doi.org/10.1111/j.1549-0831.2003.tb00133.x" TargetMode="External" /><Relationship Type="http://schemas.openxmlformats.org/officeDocument/2006/relationships/hyperlink" Id="rId131" Target="https://doi.org/10.1111/reel.12335" TargetMode="External" /><Relationship Type="http://schemas.openxmlformats.org/officeDocument/2006/relationships/hyperlink" Id="rId69" Target="https://doi.org/10.1126/sciadv.abg2652" TargetMode="External" /><Relationship Type="http://schemas.openxmlformats.org/officeDocument/2006/relationships/hyperlink" Id="rId133" Target="https://doi.org/10.1162/GLEP_a_00379" TargetMode="External" /><Relationship Type="http://schemas.openxmlformats.org/officeDocument/2006/relationships/hyperlink" Id="rId135" Target="https://doi.org/10.1162/glep_a_00723" TargetMode="External" /><Relationship Type="http://schemas.openxmlformats.org/officeDocument/2006/relationships/hyperlink" Id="rId84" Target="https://doi.org/10.1177/1354066117725157" TargetMode="External" /><Relationship Type="http://schemas.openxmlformats.org/officeDocument/2006/relationships/hyperlink" Id="rId119" Target="https://doi.org/10.18637/jss.v091.i02" TargetMode="External" /><Relationship Type="http://schemas.openxmlformats.org/officeDocument/2006/relationships/hyperlink" Id="rId71" Target="https://doi.org/10.3362/9781780440415.001" TargetMode="External" /><Relationship Type="http://schemas.openxmlformats.org/officeDocument/2006/relationships/hyperlink" Id="rId82" Target="https://doi.org/10.3384/cu.2000.1525.1790615" TargetMode="External" /><Relationship Type="http://schemas.openxmlformats.org/officeDocument/2006/relationships/hyperlink" Id="rId88" Target="https://doi.org/10.3763/cdev.2010.0053" TargetMode="External" /><Relationship Type="http://schemas.openxmlformats.org/officeDocument/2006/relationships/hyperlink" Id="rId121" Target="https://doi.org/10.4324/9781315634876" TargetMode="External" /><Relationship Type="http://schemas.openxmlformats.org/officeDocument/2006/relationships/hyperlink" Id="rId141" Target="https://eleuven.github.io/statthink/ChapEstimation.html" TargetMode="External" /><Relationship Type="http://schemas.openxmlformats.org/officeDocument/2006/relationships/hyperlink" Id="rId60" Target="https://www.climatepolicyinitiative.org/wp-content/uploads/2023/11/GLCF-2023-Methodology.pdf" TargetMode="External" /><Relationship Type="http://schemas.openxmlformats.org/officeDocument/2006/relationships/hyperlink" Id="rId75" Target="https://www.jstor.org/stable/j.ctt7rtgw" TargetMode="External" /><Relationship Type="http://schemas.openxmlformats.org/officeDocument/2006/relationships/hyperlink" Id="rId128"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9" Target="https://doi.org/10.1007/s10113-023-02113-3" TargetMode="External" /><Relationship Type="http://schemas.openxmlformats.org/officeDocument/2006/relationships/hyperlink" Id="rId137" Target="https://doi.org/10.1007/s10584-019-02620-5" TargetMode="External" /><Relationship Type="http://schemas.openxmlformats.org/officeDocument/2006/relationships/hyperlink" Id="rId97" Target="https://doi.org/10.1007/s11625-020-00807-9" TargetMode="External" /><Relationship Type="http://schemas.openxmlformats.org/officeDocument/2006/relationships/hyperlink" Id="rId86" Target="https://doi.org/10.1016/0016-3287(90)90077-U" TargetMode="External" /><Relationship Type="http://schemas.openxmlformats.org/officeDocument/2006/relationships/hyperlink" Id="rId58" Target="https://doi.org/10.1016/0305-750X(94)90030-2" TargetMode="External" /><Relationship Type="http://schemas.openxmlformats.org/officeDocument/2006/relationships/hyperlink" Id="rId107" Target="https://doi.org/10.1016/j.envsci.2010.10.004" TargetMode="External" /><Relationship Type="http://schemas.openxmlformats.org/officeDocument/2006/relationships/hyperlink" Id="rId90" Target="https://doi.org/10.1016/j.geoforum.2013.01.005" TargetMode="External" /><Relationship Type="http://schemas.openxmlformats.org/officeDocument/2006/relationships/hyperlink" Id="rId101" Target="https://doi.org/10.1016/j.gloenvcha.2022.102527" TargetMode="External" /><Relationship Type="http://schemas.openxmlformats.org/officeDocument/2006/relationships/hyperlink" Id="rId55" Target="https://doi.org/10.1016/j.landusepol.2020.104898" TargetMode="External" /><Relationship Type="http://schemas.openxmlformats.org/officeDocument/2006/relationships/hyperlink" Id="rId123" Target="https://doi.org/10.1016/j.oneear.2020.09.014" TargetMode="External" /><Relationship Type="http://schemas.openxmlformats.org/officeDocument/2006/relationships/hyperlink" Id="rId125" Target="https://doi.org/10.1016/j.worlddev.2019.104683" TargetMode="External" /><Relationship Type="http://schemas.openxmlformats.org/officeDocument/2006/relationships/hyperlink" Id="rId73" Target="https://doi.org/10.1016/j.worlddev.2020.105383" TargetMode="External" /><Relationship Type="http://schemas.openxmlformats.org/officeDocument/2006/relationships/hyperlink" Id="rId65" Target="https://doi.org/10.1080/00141844.2020.1788109" TargetMode="External" /><Relationship Type="http://schemas.openxmlformats.org/officeDocument/2006/relationships/hyperlink" Id="rId95" Target="https://doi.org/10.1080/01436597.2015.1045482" TargetMode="External" /><Relationship Type="http://schemas.openxmlformats.org/officeDocument/2006/relationships/hyperlink" Id="rId115" Target="https://doi.org/10.1080/01621459.2016.1141684" TargetMode="External" /><Relationship Type="http://schemas.openxmlformats.org/officeDocument/2006/relationships/hyperlink" Id="rId62" Target="https://doi.org/10.1080/1177083X.2024.2344497" TargetMode="External" /><Relationship Type="http://schemas.openxmlformats.org/officeDocument/2006/relationships/hyperlink" Id="rId67" Target="https://doi.org/10.1080/13642987.2017.1397633" TargetMode="External" /><Relationship Type="http://schemas.openxmlformats.org/officeDocument/2006/relationships/hyperlink" Id="rId105" Target="https://doi.org/10.1080/14693062.2013.879514" TargetMode="External" /><Relationship Type="http://schemas.openxmlformats.org/officeDocument/2006/relationships/hyperlink" Id="rId92" Target="https://doi.org/10.1080/14693062.2021.1947177" TargetMode="External" /><Relationship Type="http://schemas.openxmlformats.org/officeDocument/2006/relationships/hyperlink" Id="rId99" Target="https://doi.org/10.1080/14693062.2024.2378194" TargetMode="External" /><Relationship Type="http://schemas.openxmlformats.org/officeDocument/2006/relationships/hyperlink" Id="rId113" Target="https://doi.org/10.1080/17565529.2016.1184608" TargetMode="External" /><Relationship Type="http://schemas.openxmlformats.org/officeDocument/2006/relationships/hyperlink" Id="rId103" Target="https://doi.org/10.1080/24694452.2017.1406330" TargetMode="External" /><Relationship Type="http://schemas.openxmlformats.org/officeDocument/2006/relationships/hyperlink" Id="rId117" Target="https://doi.org/10.1111/ajps.12526" TargetMode="External" /><Relationship Type="http://schemas.openxmlformats.org/officeDocument/2006/relationships/hyperlink" Id="rId110" Target="https://doi.org/10.1111/j.1549-0831.2003.tb00133.x" TargetMode="External" /><Relationship Type="http://schemas.openxmlformats.org/officeDocument/2006/relationships/hyperlink" Id="rId131" Target="https://doi.org/10.1111/reel.12335" TargetMode="External" /><Relationship Type="http://schemas.openxmlformats.org/officeDocument/2006/relationships/hyperlink" Id="rId69" Target="https://doi.org/10.1126/sciadv.abg2652" TargetMode="External" /><Relationship Type="http://schemas.openxmlformats.org/officeDocument/2006/relationships/hyperlink" Id="rId133" Target="https://doi.org/10.1162/GLEP_a_00379" TargetMode="External" /><Relationship Type="http://schemas.openxmlformats.org/officeDocument/2006/relationships/hyperlink" Id="rId135" Target="https://doi.org/10.1162/glep_a_00723" TargetMode="External" /><Relationship Type="http://schemas.openxmlformats.org/officeDocument/2006/relationships/hyperlink" Id="rId84" Target="https://doi.org/10.1177/1354066117725157" TargetMode="External" /><Relationship Type="http://schemas.openxmlformats.org/officeDocument/2006/relationships/hyperlink" Id="rId119" Target="https://doi.org/10.18637/jss.v091.i02" TargetMode="External" /><Relationship Type="http://schemas.openxmlformats.org/officeDocument/2006/relationships/hyperlink" Id="rId71" Target="https://doi.org/10.3362/9781780440415.001" TargetMode="External" /><Relationship Type="http://schemas.openxmlformats.org/officeDocument/2006/relationships/hyperlink" Id="rId82" Target="https://doi.org/10.3384/cu.2000.1525.1790615" TargetMode="External" /><Relationship Type="http://schemas.openxmlformats.org/officeDocument/2006/relationships/hyperlink" Id="rId88" Target="https://doi.org/10.3763/cdev.2010.0053" TargetMode="External" /><Relationship Type="http://schemas.openxmlformats.org/officeDocument/2006/relationships/hyperlink" Id="rId121" Target="https://doi.org/10.4324/9781315634876" TargetMode="External" /><Relationship Type="http://schemas.openxmlformats.org/officeDocument/2006/relationships/hyperlink" Id="rId141" Target="https://eleuven.github.io/statthink/ChapEstimation.html" TargetMode="External" /><Relationship Type="http://schemas.openxmlformats.org/officeDocument/2006/relationships/hyperlink" Id="rId60" Target="https://www.climatepolicyinitiative.org/wp-content/uploads/2023/11/GLCF-2023-Methodology.pdf" TargetMode="External" /><Relationship Type="http://schemas.openxmlformats.org/officeDocument/2006/relationships/hyperlink" Id="rId75" Target="https://www.jstor.org/stable/j.ctt7rtgw" TargetMode="External" /><Relationship Type="http://schemas.openxmlformats.org/officeDocument/2006/relationships/hyperlink" Id="rId128"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2025-05-14T15:31:49Z</dcterms:created>
  <dcterms:modified xsi:type="dcterms:W3CDTF">2025-05-14T15:31:49Z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2025-05-14</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