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2025-05-25</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Discourse centralization represents the degree to which adaptation planning documents concentrate their attention on a limited set of themes versus distributing attention across many diverse topics. In a highly centralized discourse, most documents emphasize the same few topics, suggesting a convergence around particular ways of understanding and addressing adaptation. Conversely, a decentralized discourse would show documents emphasizing different combinations of topics, indicating greater diversity in how adaptation challenges and responses are conceptualized. This pattern of concentration or dispersion serves as a proxy for epistemological diversity—the range of knowledge systems, values, and worldviews that inform adaptation planning.</w:t>
      </w:r>
    </w:p>
    <w:p>
      <w:pPr>
        <w:pStyle w:val="Brdtekst"/>
      </w:pPr>
      <w:r>
        <w:t xml:space="preserve">The significance of measuring discourse centralization lies in what it reveals about the constraints and possibilities within adaptation planning. When discourse is highly centralized, it suggests that despite the diverse contexts in which adaptation occurs—from small island states facing sea-level rise to landlocked countries confronting desertification—there is a remarkable uniformity in how these challenges are understood and articulated. This uniformity might reflect the influence of international frameworks, funding requirements, or technical assistance that promote particular approaches. Alternatively, decentralized discourse would indicate space for diverse conceptualizations that might draw on local knowledge, alternative development paradigms, or context-specific understandings of vulnerability and resilience.</w:t>
      </w:r>
    </w:p>
    <w:p>
      <w:pPr>
        <w:pStyle w:val="Brdtekst"/>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To empirically examine whether adaptation discourse reflects epistemological diversity or monoculture,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The theoretical tensions between epistemological diversity and monoculture in climate adaptation, while conceptually rich, require empirical grounding to move beyond assertion and critique. This chapter presents a methodological approach that translates these theoretical concerns into measurable patterns, examining National Adaptation Plans as windows into how different countries conceptualize climate adaptation within the constraints and possibilities of international climate governance.</w:t>
      </w:r>
    </w:p>
    <w:p>
      <w:pPr>
        <w:pStyle w:val="Brdtekst"/>
      </w:pPr>
      <w:r>
        <w:t xml:space="preserve">National Adaptation Plans offer a unique opportunity for this analysis because they represent how countries formally articulate their understanding of climate vulnerability and appropriate responses within a standardized international framework. While these documents are shaped by UNFCCC guidelines, technical assistance, and funding requirements, they also reflect national contexts, priorities, and potentially diverse knowledge systems. By analyzing patterns across a comprehensive corpus of NAPs, we can identify whether this institutional framework produces convergence toward particular ways of understanding adaptation or preserves space for alternative conceptualizations that might draw on different epistemological foundations.</w:t>
      </w:r>
    </w:p>
    <w:p>
      <w:pPr>
        <w:pStyle w:val="Brdtekst"/>
      </w:pPr>
      <w:r>
        <w:t xml:space="preserve">The analytical pipeline developed for this research proceeds through three integrated stages, each designed to build toward a systematic assessment of discourse patterns. First, the document preparation creates comparability across diverse national contexts through careful preprocessing that removes superficial differences while preserving meaningful variation in how adaptation is conceptualized. Second, the structural topic modeling identifies the latent thematic patterns that structure adaptation discourse, revealing what aspects of adaptation receive attention and how different topics cluster together. Third, the analysis stage introduces the Dominance Index to measure how concentrated discourse is around a small number of dominant topics, providing a quantifiable metric for discourse centralization that can be compared across different country groupings.</w:t>
      </w:r>
    </w:p>
    <w:p>
      <w:pPr>
        <w:pStyle w:val="Brdtekst"/>
      </w:pPr>
      <w:r>
        <w:t xml:space="preserve">The patterns we seek through this analysis directly address the research questions about power, knowledge, and development paradigms in climate adaptation. If adaptation discourse shows high centralization—with most countries emphasizing the same narrow set of topics—this would support arguments that adaptation functions as an epistemological monoculture that forecloses alternative understandings. The specific topics that dominate would reveal what kinds of knowledge and approaches are privileged within this regime. Conversely, lower centralization would indicate space for diverse conceptualizations, though the degree and nature of this diversity would require careful interpretation. Most critically, examining how centralization patterns vary across income levels, regions, and geographic vulnerabilities can reveal whether discourse is shaped more by economic positioning within global systems or by the specific nature of climate challenges faced.</w:t>
      </w:r>
    </w:p>
    <w:p>
      <w:pPr>
        <w:pStyle w:val="Brdtekst"/>
      </w:pPr>
      <w:r>
        <w:t xml:space="preserve">This chapter presents each methodological stage with sufficient detail to ensure transparency and reproducibility while remaining accessible to readers without extensive technical background in computational text analysis. The following sections on document preparation, structural topic modeling, and analysis each begin with a brief overview of purpose and approach before explaining the specific procedures and their justification. Throughout, the emphasis remains on how these methodological choices serve the broader research objective of empirically examining the epistemological politics of climate adaptation.</w:t>
      </w:r>
    </w:p>
    <w:bookmarkStart w:id="37" w:name="corpus-collection-and-preparation"/>
    <w:p>
      <w:pPr>
        <w:pStyle w:val="Overskrift2"/>
      </w:pPr>
      <w:r>
        <w:t xml:space="preserve">5.1 Corpus Collection and Preparation</w:t>
      </w:r>
    </w:p>
    <w:p>
      <w:pPr>
        <w:pStyle w:val="Bloktekst"/>
      </w:pPr>
      <w:r>
        <w:t xml:space="preserve">National Adaptation Plans provide a window into how countries conceptualize climate vulnerability and appropriate responses. To make these documents comparable, we developed a systematic approach to extract, clean, and prepare the text while preserving the ability to analyze patterns across different country groupings.</w:t>
      </w:r>
    </w:p>
    <w:p>
      <w:pPr>
        <w:pStyle w:val="FirstParagraph"/>
      </w:pPr>
      <w:r>
        <w:t xml:space="preserve">The analysis begins with the systematic collection of National Adaptation Plans from the UNFCCC’s NAP Central repository, which serves as the authoritative source for these policy documents</w:t>
      </w:r>
      <w:r>
        <w:t xml:space="preserve"> </w:t>
      </w:r>
      <w:r>
        <w:t xml:space="preserve">(Mizuno &amp; Okano, 2024)</w:t>
      </w:r>
      <w:r>
        <w:t xml:space="preserve">. As of March 2025, this repository contained submissions from countries representing diverse geographic contexts, economic circumstances, and climate vulnerabilities. Our automated collection process identified and downloaded 47 English-language NAPs, representing a substantial portion of global adaptation planning efforts. While focusing on English-language documents introduces a potential bias toward Anglophone countries or those with stronger ties to international institutions, this constraint was necessary to ensure meaningful textual comparison using consistent analytical methods</w:t>
      </w:r>
      <w:r>
        <w:t xml:space="preserve"> </w:t>
      </w:r>
      <w:r>
        <w:t xml:space="preserve">(Wright et al., 2023)</w:t>
      </w:r>
      <w:r>
        <w:t xml:space="preserve">.</w:t>
      </w:r>
    </w:p>
    <w:p>
      <w:pPr>
        <w:pStyle w:val="Brdtekst"/>
      </w:pPr>
      <w:r>
        <w:t xml:space="preserve">The temporal distribution of these documents spans from 2015 to 2025, capturing the evolution of adaptation planning as countries have developed their approaches to addressing climate vulnerability. This timeframe is particularly significant as it encompasses the period following the Cancun Adaptation Framework (2010), which formally established adaptation as a pillar of climate governance, through to the post-Paris Agreement era where adaptation has gained equal standing with mitigation in international climate policy.</w:t>
      </w:r>
    </w:p>
    <w:p>
      <w:pPr>
        <w:pStyle w:val="Brdtekst"/>
      </w:pPr>
      <w:r>
        <w:t xml:space="preserve">To enable meaningful analysis across different country contexts, each document was enriched with standardized metadata drawn from World Bank country classifications and established geographic categories. This process involved matching country names to ISO codes and incorporating income level classifications (low, lower-middle, upper-middle, and high income), regional groupings, and special geographic designations. Specifically, we identified 12 Small Island Developing States (SIDS) and 12 Landlocked Developing Countries (LLDCs) within our corpus. These categorizations are not merely descriptive labels but analytical dimensions that allow us to examine whether discourse patterns align more strongly with economic positioning, regional institutions, or shared geographic vulnerabilities.</w:t>
      </w:r>
    </w:p>
    <w:p>
      <w:pPr>
        <w:pStyle w:val="Brdtekst"/>
      </w:pPr>
      <w:r>
        <w:t xml:space="preserve">The process of extracting text from PDF documents presented several technical challenges that required careful attention to preserve the integrity of the analysis. Government documents often contain complex formatting, tables, figures, and multilingual text that can introduce artifacts during extraction. Our extraction pipeline successfully converted 47 documents into analyzable text, with Tonga and Zimbabwes plans removed from the corpus due to insufficient textual content after processing, leaving the analysis with 45 plans. The final corpus contains approximately 10 291 911 characters of text, providing a substantial foundation for discourse analysis.</w:t>
      </w:r>
    </w:p>
    <w:p>
      <w:pPr>
        <w:pStyle w:val="Brdtekst"/>
      </w:pPr>
      <w:r>
        <w:t xml:space="preserve">Creating comparability across this diverse set of documents required systematic preprocessing that balanced standardization with preservation of meaningful content. The text cleaning process began with tokenization—breaking documents into individual words—followed by validation against a comprehensive English dictionary containing 122 553 terms. This validation step was crucial for removing formatting artifacts, acronyms, and non-English text that could skew the analysis. Importantly, we removed all country and city names from the corpus to prevent geographic references from dominating the discourse patterns. This ensures that similarities or differences between documents reflect how adaptation is conceptualized rather than which locations are mentioned</w:t>
      </w:r>
      <w:r>
        <w:t xml:space="preserve"> </w:t>
      </w:r>
      <w:r>
        <w:t xml:space="preserve">(Silge &amp; Robinson, 2017)</w:t>
      </w:r>
      <w:r>
        <w:t xml:space="preserve">.</w:t>
      </w:r>
    </w:p>
    <w:p>
      <w:pPr>
        <w:pStyle w:val="Brdtekst"/>
      </w:pPr>
      <w:r>
        <w:t xml:space="preserve">The preprocessing pipeline applied consistent rules across all documents: converting text to lowercase, removing punctuation and numbers, eliminating common English stopwords that carry little semantic meaning, and filtering out terms that appeared in fewer than 2 or more than 44 documents. This frequency filtering focuses the analysis on terms that are neither so rare as to be idiosyncratic nor so common as to be uninformative</w:t>
      </w:r>
      <w:r>
        <w:t xml:space="preserve"> </w:t>
      </w:r>
      <w:r>
        <w:t xml:space="preserve">(M. E. Roberts et al., 2019)</w:t>
      </w:r>
      <w:r>
        <w:t xml:space="preserve">. After these preprocessing steps, the corpus was reduced to 4855 unique terms.</w:t>
      </w:r>
    </w:p>
    <w:p>
      <w:pPr>
        <w:pStyle w:val="Brdtekst"/>
      </w:pPr>
      <w:r>
        <w:t xml:space="preserve">This systematic approach to document preparation creates what can be understood as a</w:t>
      </w:r>
      <w:r>
        <w:t xml:space="preserve"> </w:t>
      </w:r>
      <w:r>
        <w:t xml:space="preserve">“level playing field”</w:t>
      </w:r>
      <w:r>
        <w:t xml:space="preserve"> </w:t>
      </w:r>
      <w:r>
        <w:t xml:space="preserve">for comparison. By removing country-specific references and standardizing the vocabulary, we ensure that any patterns identified in the subsequent analysis reflect genuine differences in how adaptation is conceptualized rather than superficial variations in terminology or geographic focus. The preprocessing choices—particularly the removal of geographic terms and the frequency thresholds—were designed to reveal the underlying structure of adaptation discourse while acknowledging that such standardization inevitably involves trade-offs between comparability and contextual richness.</w:t>
      </w:r>
    </w:p>
    <w:p>
      <w:pPr>
        <w:pStyle w:val="Brdtekst"/>
      </w:pPr>
      <w:r>
        <w:t xml:space="preserve">The final prepared corpus of 45 documents, enriched with systematic metadata and processed to ensure comparability, provides the foundation for the structural topic modeling analysis that follows. This careful preparation ensures that when we examine patterns of discourse centralization, we can be confident that these patterns reflect meaningful differences in how countries conceptualize climate adaptation rather than artifacts of data collection or processing.</w:t>
      </w:r>
    </w:p>
    <w:bookmarkEnd w:id="37"/>
    <w:bookmarkStart w:id="38" w:name="structural-topic-modeling"/>
    <w:p>
      <w:pPr>
        <w:pStyle w:val="Overskrift2"/>
      </w:pPr>
      <w:r>
        <w:t xml:space="preserve">5.2 Structural Topic Modeling</w:t>
      </w:r>
    </w:p>
    <w:p>
      <w:pPr>
        <w:pStyle w:val="Bloktekst"/>
      </w:pPr>
      <w:r>
        <w:t xml:space="preserve">Structural topic modeling allows us to discover latent themes in how countries conceptualize adaptation while accounting for document metadata. This approach reveals patterns in discourse that might not be apparent from reading individual documents, enabling systematic comparison across our analytical categories.</w:t>
      </w:r>
    </w:p>
    <w:p>
      <w:pPr>
        <w:pStyle w:val="FirstParagraph"/>
      </w:pPr>
      <w:r>
        <w:t xml:space="preserve">Structural topic modeling (STM) provides a sophisticated approach to uncovering latent thematic patterns in large text corpora while simultaneously accounting for document-level metadata</w:t>
      </w:r>
      <w:r>
        <w:t xml:space="preserve"> </w:t>
      </w:r>
      <w:r>
        <w:t xml:space="preserve">(M. E. Roberts et al., 2016)</w:t>
      </w:r>
      <w:r>
        <w:t xml:space="preserve">. Unlike simple word frequency analysis or manual coding, topic models identify clusters of words that tend to co-occur across documents, revealing underlying themes that structure the discourse. The fundamental assumption is that each document contains a mixture of topics, where topics are probability distributions over words. For instance, a topic related to agricultural adaptation might have high probabilities for words like</w:t>
      </w:r>
      <w:r>
        <w:t xml:space="preserve"> </w:t>
      </w:r>
      <w:r>
        <w:t xml:space="preserve">“crop,”</w:t>
      </w:r>
      <w:r>
        <w:t xml:space="preserve"> </w:t>
      </w:r>
      <w:r>
        <w:t xml:space="preserve">“drought,”</w:t>
      </w:r>
      <w:r>
        <w:t xml:space="preserve"> </w:t>
      </w:r>
      <w:r>
        <w:t xml:space="preserve">“irrigation,”</w:t>
      </w:r>
      <w:r>
        <w:t xml:space="preserve"> </w:t>
      </w:r>
      <w:r>
        <w:t xml:space="preserve">and</w:t>
      </w:r>
      <w:r>
        <w:t xml:space="preserve"> </w:t>
      </w:r>
      <w:r>
        <w:t xml:space="preserve">“yield,”</w:t>
      </w:r>
      <w:r>
        <w:t xml:space="preserve"> </w:t>
      </w:r>
      <w:r>
        <w:t xml:space="preserve">while a topic about coastal adaptation might emphasize</w:t>
      </w:r>
      <w:r>
        <w:t xml:space="preserve"> </w:t>
      </w:r>
      <w:r>
        <w:t xml:space="preserve">“sea-level,”</w:t>
      </w:r>
      <w:r>
        <w:t xml:space="preserve"> </w:t>
      </w:r>
      <w:r>
        <w:t xml:space="preserve">“erosion,”</w:t>
      </w:r>
      <w:r>
        <w:t xml:space="preserve"> </w:t>
      </w:r>
      <w:r>
        <w:t xml:space="preserve">“storm,”</w:t>
      </w:r>
      <w:r>
        <w:t xml:space="preserve"> </w:t>
      </w:r>
      <w:r>
        <w:t xml:space="preserve">and</w:t>
      </w:r>
      <w:r>
        <w:t xml:space="preserve"> </w:t>
      </w:r>
      <w:r>
        <w:t xml:space="preserve">“infrastructure.”</w:t>
      </w:r>
    </w:p>
    <w:p>
      <w:pPr>
        <w:pStyle w:val="Brdtekst"/>
      </w:pPr>
      <w:r>
        <w:t xml:space="preserve">The structural variant of topic modeling is particularly well-suited to our research questions because it allows document metadata—such as income level, region, and geographic characteristics—to influence topic prevalence</w:t>
      </w:r>
      <w:r>
        <w:t xml:space="preserve"> </w:t>
      </w:r>
      <w:r>
        <w:t xml:space="preserve">(M. E. Roberts et al., 2019)</w:t>
      </w:r>
      <w:r>
        <w:t xml:space="preserve">. This means we can examine not just what topics exist in the corpus, but how their prevalence varies across different types of countries. This capability is crucial for understanding whether low-income countries emphasize different aspects of adaptation compared to high-income countries, or whether Small Island Developing States frame adaptation differently than landlocked nations. The model treats documents as</w:t>
      </w:r>
      <w:r>
        <w:t xml:space="preserve"> </w:t>
      </w:r>
      <w:r>
        <w:t xml:space="preserve">“bags of words,”</w:t>
      </w:r>
      <w:r>
        <w:t xml:space="preserve"> </w:t>
      </w:r>
      <w:r>
        <w:t xml:space="preserve">meaning word order is not considered, but this simplification allows for computationally efficient discovery of thematic patterns across our 45 documents.</w:t>
      </w:r>
    </w:p>
    <w:p>
      <w:pPr>
        <w:pStyle w:val="Brdtekst"/>
      </w:pPr>
      <w:r>
        <w:t xml:space="preserve">Determining the appropriate number of topics (k) represents a critical methodological decision that balances granularity with interpretability. Too few topics may obscure important distinctions in how adaptation is conceptualized, while too many topics can result in redundant or overly specific themes that fragment coherent concepts. We employed a data-driven approach to model selection, testing models with varying numbers of topics and evaluating them across multiple metrics. Semantic coherence measures how frequently the most probable words for a topic co-occur within documents, indicating whether topics capture meaningful themes. Exclusivity assesses how distinctive topics are from one another, ensuring we identify unique rather than overlapping concepts. Held-out likelihood evaluates the model’s ability to predict word usage in documents not used for training, providing a measure of generalizability</w:t>
      </w:r>
      <w:r>
        <w:t xml:space="preserve"> </w:t>
      </w:r>
      <w:r>
        <w:t xml:space="preserve">(M. E. Roberts et al., 2019)</w:t>
      </w:r>
      <w:r>
        <w:t xml:space="preserve">.</w:t>
      </w:r>
    </w:p>
    <w:p>
      <w:pPr>
        <w:pStyle w:val="Brdtekst"/>
      </w:pPr>
      <w:r>
        <w:t xml:space="preserve">Our optimization process identified k = 15 as the optimal number of topics, providing sufficient granularity to capture meaningful variation in adaptation discourse while maintaining interpretable and distinct themes. This selection process involved balancing the statistical metrics with substantive considerations about what level of detail would be most useful for understanding patterns in adaptation planning. The model with 15 topics achieved strong performance on coherence (indicating interpretable topics) and exclusivity (indicating distinct themes) while avoiding the fragmentation that occurred with higher k values.</w:t>
      </w:r>
    </w:p>
    <w:p>
      <w:pPr>
        <w:pStyle w:val="Brdtekst"/>
      </w:pPr>
      <w:r>
        <w:t xml:space="preserve">The specification of our structural topic model incorporated the metadata categories identified during document preparation, allowing us to examine how topic prevalence varies with income level, regional grouping, and special geographic designations. The model includes a prevalence formula that incorporates these covariates: income level (with 4 categories), region (with 6 groups), and geography (with 4). This specification enables the model to estimate not just the overall prevalence of each topic across the corpus, but how that prevalence shifts based on document characteristics.</w:t>
      </w:r>
    </w:p>
    <w:p>
      <w:pPr>
        <w:pStyle w:val="Brdtekst"/>
      </w:pPr>
      <w:r>
        <w:t xml:space="preserve">The model was initialized using spectral decomposition, which provides more stable and reproducible results compared to random initialization. After 32 iterations, the model converged successfully, indicating that the algorithm had identified stable topic distributions. The quality of the final model is reflected in its ability to identify coherent topics that align with recognizable themes in adaptation planning while maintaining sufficient distinctiveness to capture the diversity of approaches across countries.</w:t>
      </w:r>
    </w:p>
    <w:p>
      <w:pPr>
        <w:pStyle w:val="Brdtekst"/>
      </w:pPr>
      <w:r>
        <w:t xml:space="preserve">Topic interpretation in our analysis relies on examining the words most strongly associated with each topic through three complementary metrics. FREX (frequency-exclusivity) words balance how often a word appears in a topic with how exclusive it is to that topic, identifying terms that are both central and distinctive. High-probability words show the terms most likely to appear when a topic is discussed, regardless of their distinctiveness. Lift words identify terms that are most strongly associated with a topic compared to their baseline frequency in the corpus</w:t>
      </w:r>
      <w:r>
        <w:t xml:space="preserve"> </w:t>
      </w:r>
      <w:r>
        <w:t xml:space="preserve">(M. E. Roberts et al., 2019)</w:t>
      </w:r>
      <w:r>
        <w:t xml:space="preserve">. By examining these three word lists for each of our 15 topics, we can qualitatively interpret what aspects of adaptation each topic represents.</w:t>
      </w:r>
    </w:p>
    <w:p>
      <w:pPr>
        <w:pStyle w:val="Brdtekst"/>
      </w:pPr>
      <w:r>
        <w:t xml:space="preserve">This word-based interpretation approach allows us to assign meaningful labels to the statistical constructs identified by the model. For example, a topic with FREX words including</w:t>
      </w:r>
      <w:r>
        <w:t xml:space="preserve"> </w:t>
      </w:r>
      <w:r>
        <w:t xml:space="preserve">“assessment,”</w:t>
      </w:r>
      <w:r>
        <w:t xml:space="preserve"> </w:t>
      </w:r>
      <w:r>
        <w:t xml:space="preserve">“vulnerability,”</w:t>
      </w:r>
      <w:r>
        <w:t xml:space="preserve"> </w:t>
      </w:r>
      <w:r>
        <w:t xml:space="preserve">“index,”</w:t>
      </w:r>
      <w:r>
        <w:t xml:space="preserve"> </w:t>
      </w:r>
      <w:r>
        <w:t xml:space="preserve">and</w:t>
      </w:r>
      <w:r>
        <w:t xml:space="preserve"> </w:t>
      </w:r>
      <w:r>
        <w:t xml:space="preserve">“methodology”</w:t>
      </w:r>
      <w:r>
        <w:t xml:space="preserve"> </w:t>
      </w:r>
      <w:r>
        <w:t xml:space="preserve">clearly relates to vulnerability assessment approaches, while a topic featuring</w:t>
      </w:r>
      <w:r>
        <w:t xml:space="preserve"> </w:t>
      </w:r>
      <w:r>
        <w:t xml:space="preserve">“indigenous,”</w:t>
      </w:r>
      <w:r>
        <w:t xml:space="preserve"> </w:t>
      </w:r>
      <w:r>
        <w:t xml:space="preserve">“traditional,”</w:t>
      </w:r>
      <w:r>
        <w:t xml:space="preserve"> </w:t>
      </w:r>
      <w:r>
        <w:t xml:space="preserve">“community,”</w:t>
      </w:r>
      <w:r>
        <w:t xml:space="preserve"> </w:t>
      </w:r>
      <w:r>
        <w:t xml:space="preserve">and</w:t>
      </w:r>
      <w:r>
        <w:t xml:space="preserve"> </w:t>
      </w:r>
      <w:r>
        <w:t xml:space="preserve">“knowledge”</w:t>
      </w:r>
      <w:r>
        <w:t xml:space="preserve"> </w:t>
      </w:r>
      <w:r>
        <w:t xml:space="preserve">indicates attention to local and traditional adaptation practices. This interpretation process, while necessarily involving qualitative judgment, is grounded in the statistical patterns identified by the model and provides the foundation for our subsequent analysis of how these topics are distributed across different country groupings.</w:t>
      </w:r>
    </w:p>
    <w:bookmarkEnd w:id="38"/>
    <w:bookmarkStart w:id="39" w:name="analysis"/>
    <w:p>
      <w:pPr>
        <w:pStyle w:val="Overskrift2"/>
      </w:pPr>
      <w:r>
        <w:t xml:space="preserve">5.3 Analysis</w:t>
      </w:r>
    </w:p>
    <w:p>
      <w:pPr>
        <w:pStyle w:val="Bloktekst"/>
      </w:pPr>
      <w:r>
        <w:t xml:space="preserve">The Dominance Index quantifies how concentrated adaptation discourse is around a small number of topics, providing a measure of discourse centralization that can be compared across different country groupings. This novel application of concentration metrics to discourse analysis reveals patterns of epistemological diversity or homogeneity in how adaptation is conceptualized.</w:t>
      </w:r>
    </w:p>
    <w:p>
      <w:pPr>
        <w:pStyle w:val="FirstParagraph"/>
      </w:pPr>
      <w:r>
        <w:t xml:space="preserve">The Dominance Index operationalizes this concept by measuring what proportion of discourse is concentrated in the top three most prevalent topics for any given group of documents. The choice of three topics balances sensitivity to concentration with robustness to minor variations. If we examined only the single most prevalent topic, we might miss important patterns where discourse is dominated by a small cluster of related themes. Conversely, including too many topics would dilute the measure’s ability to detect meaningful concentration. Three topics typically capture the core themes while remaining sensitive to differences in concentration patterns.</w:t>
      </w:r>
    </w:p>
    <w:p>
      <w:pPr>
        <w:pStyle w:val="Brdtekst"/>
      </w:pPr>
      <w:r>
        <w:t xml:space="preserve">The calculation proceeds at two complementary levels. At the document level, we measure how concentrated each individual NAP is by calculating what proportion of its content relates to its three most prevalent topics. A document where these three topics account for 60% of the content shows higher concentration than one where they account for only 30%. By averaging these document-level measures within country groupings, we obtain a measure of typical concentration. At the corpus level, we first calculate the average topic proportions across all documents in a group, then identify the three most prevalent topics for that group as a whole. This corpus-level measure reveals which specific topics dominate the collective discourse and how much of the overall discussion they represent.</w:t>
      </w:r>
    </w:p>
    <w:p>
      <w:pPr>
        <w:pStyle w:val="Brdtekst"/>
      </w:pPr>
      <w:r>
        <w:t xml:space="preserve">To enable meaningful comparison across groups, the Dominance Index is normalized to a 0-1 scale. A value of 0 would indicate perfect uniformity where all topics are equally prevalent—though this theoretical minimum is never observed in practice. A value of 1 would indicate complete concentration where all discourse focuses on a single topic. The normalization accounts for the mathematical constraint that with 15 topics, the minimum possible concentration in the top three is 0.200. Values above 0.9 indicate very high centralization, while values below 0.6 would suggest relatively diverse discourse—though even our most diverse groups show higher concentration than this threshold.</w:t>
      </w:r>
    </w:p>
    <w:p>
      <w:pPr>
        <w:pStyle w:val="Brdtekst"/>
      </w:pPr>
      <w:r>
        <w:t xml:space="preserve">Our comparative analysis examines how the Dominance Index varies across three analytical dimensions established during document preparation: income level, regional grouping, and special geographic designations (SIDS and LLDC status). For each dimension, we calculate dominance values for all relevant subgroups—for instance, comparing low, lower-middle, upper-middle, and high-income countries. These comparisons reveal whether discourse centralization follows economic gradients, regional patterns, or geographic vulnerabilities.</w:t>
      </w:r>
    </w:p>
    <w:p>
      <w:pPr>
        <w:pStyle w:val="Brdtekst"/>
      </w:pPr>
      <w:r>
        <w:t xml:space="preserve">To understand which factors most strongly shape discourse patterns, we employ a variance decomposition approach that quantifies how much of the total variation in dominance values can be attributed to each dimension. This approach, analogous to analysis of variance but applied to our discourse metrics, reveals the relative importance of different factors. If income level explains 40% of the variance while region explains only 10%, this suggests that economic positioning shapes adaptation discourse more strongly than regional institutional contexts. The variance explained is calculated by comparing how much dominance values differ between groups (for example, between income levels) relative to how much they vary within groups.</w:t>
      </w:r>
    </w:p>
    <w:p>
      <w:pPr>
        <w:pStyle w:val="Brdtekst"/>
      </w:pPr>
      <w:r>
        <w:t xml:space="preserve">Statistical confidence in these patterns is assessed through resampling methods that generate confidence intervals around our dominance estimates. When confidence intervals for different groups do not overlap, we can be confident that the observed differences reflect meaningful patterns rather than random variation. This is particularly important given our sample size of 45 documents, where apparent differences might arise by chance, especially for smaller subgroups.</w:t>
      </w:r>
    </w:p>
    <w:p>
      <w:pPr>
        <w:pStyle w:val="Brdtekst"/>
      </w:pPr>
      <w:r>
        <w:t xml:space="preserve">The patterns revealed through this analysis directly address our research questions about how adaptation discourse is structured and what factors shape its homogeneity or diversity. If we find that low-income countries show significantly higher dominance values than high-income countries, this would suggest that economic constraints translate into discursive constraints. If regional groupings explain substantial variance, this would point to the importance of regional institutions and knowledge networks in shaping how adaptation is understood. If geographic factors like being a small island state explain little variance despite the dramatic differences in climate vulnerability, this would suggest that adaptation discourse is shaped more by institutional and economic factors than by the specific nature of climate threats.</w:t>
      </w:r>
    </w:p>
    <w:bookmarkEnd w:id="39"/>
    <w:bookmarkEnd w:id="40"/>
    <w:bookmarkStart w:id="53" w:name="sec-findings"/>
    <w:p>
      <w:pPr>
        <w:pStyle w:val="Overskrift1"/>
      </w:pPr>
      <w:r>
        <w:t xml:space="preserve">6. Findings</w:t>
      </w:r>
    </w:p>
    <w:p>
      <w:pPr>
        <w:pStyle w:val="Bloktekst"/>
      </w:pPr>
      <w:r>
        <w:t xml:space="preserve">The analysis of National Adaptation Plans through structural topic modeling and discourse centralization metrics reveals patterns that speak directly to questions of epistemological diversity, institutional influence, and the relationship between climate vulnerability and adaptation planning.</w:t>
      </w:r>
    </w:p>
    <w:p>
      <w:pPr>
        <w:pStyle w:val="FirstParagraph"/>
      </w:pPr>
      <w:r>
        <w:t xml:space="preserve">This chapter presents the empirical results of applying the Dominance Index methodology to 45 National Adaptation Plans submitted to the UNFCCC. The analysis proceeds through three integrated stages, each building upon the previous to develop a comprehensive picture of how climate adaptation is conceptualized across different national contexts. The structural topic model identifies the substantive themes that organize adaptation discourse, revealing which aspects of climate response receive attention and which remain marginal. The dominance analysis quantifies the degree of discourse concentration, showing how focused or diverse adaptation planning is both within individual documents and across country groupings. The variance decomposition examines which factors—regional, economic, or geographic—best explain the patterns observed in adaptation discourse.</w:t>
      </w:r>
    </w:p>
    <w:p>
      <w:pPr>
        <w:pStyle w:val="Brdtekst"/>
      </w:pPr>
      <w:r>
        <w:t xml:space="preserve">The first section presents the topics identified through structural topic modeling, examining their content, prevalence, and distribution across the corpus. These topics range from sectoral concerns like water resources and agriculture to procedural themes involving finance and governance. Understanding what these topics contain and how prevalent they are provides the foundation for interpreting subsequent patterns of concentration and variation. The analysis reveals not only what countries discuss when planning adaptation but also what remains absent or marginal in these discussions.</w:t>
      </w:r>
    </w:p>
    <w:p>
      <w:pPr>
        <w:pStyle w:val="Brdtekst"/>
      </w:pPr>
      <w:r>
        <w:t xml:space="preserve">The second section examines patterns of discourse centralization through the Dominance Index calculated at both document and corpus levels. Document-level analysis shows how concentrated individual National Adaptation Plans are on their most prevalent topics, while corpus-level analysis reveals whether countries within particular groupings converge on similar themes or maintain diverse approaches. The analysis systematically examines these patterns across three dimensions: income levels ranging from low to high, regional groupings spanning six geographic areas, and special geographic designations for Small Island Developing States and Landlocked Developing Countries. These comparisons reveal where discourse shows greater uniformity versus diversity.</w:t>
      </w:r>
    </w:p>
    <w:p>
      <w:pPr>
        <w:pStyle w:val="Brdtekst"/>
      </w:pPr>
      <w:r>
        <w:t xml:space="preserve">The third section investigates which factors best explain the variation observed in discourse patterns through variance decomposition analysis. By partitioning the differences in dominance values according to regional, economic, and geographic categories, this analysis reveals the relative importance of different factors in shaping adaptation discourse. The results indicate whether countries with similar economic positions, regional affiliations, or geographic vulnerabilities tend to conceptualize adaptation in similar ways, providing insight into what drives convergence or divergence in adaptation planning.</w:t>
      </w:r>
    </w:p>
    <w:p>
      <w:pPr>
        <w:pStyle w:val="Brdtekst"/>
      </w:pPr>
      <w:r>
        <w:t xml:space="preserve">Throughout this chapter, technical concepts are explained as they arise, with the Dominance Index serving as the primary metric for quantifying discourse patterns. Values are presented systematically across all country groupings to ensure transparency and enable readers to assess the patterns for themselves. While interpretation of what these patterns mean for understanding adaptation governance is reserved for the discussion chapter, the findings presented here provide the empirical foundation for those arguments. The chapter prioritizes comprehensive presentation of results over selective emphasis, allowing the patterns to emerge through systematic analysis rather than predetermined focus.</w:t>
      </w:r>
    </w:p>
    <w:bookmarkStart w:id="44" w:name="topic-identification"/>
    <w:p>
      <w:pPr>
        <w:pStyle w:val="Overskrift2"/>
      </w:pPr>
      <w:r>
        <w:t xml:space="preserve">6.1 Topic Identification</w:t>
      </w:r>
    </w:p>
    <w:p>
      <w:pPr>
        <w:pStyle w:val="Bloktekst"/>
      </w:pPr>
      <w:r>
        <w:t xml:space="preserve">The structural topic model identified topics that capture how climate adaptation is conceptualized across National Adaptation Plans, providing the foundation for understanding patterns of discourse concentration and variation.</w:t>
      </w:r>
    </w:p>
    <w:p>
      <w:pPr>
        <w:pStyle w:val="FirstParagraph"/>
      </w:pPr>
      <w:r>
        <w:t xml:space="preserve">The process of identifying an optimal number of topics involved systematic testing across a range of model specifications, each offering different granularity in capturing adaptation discourse. Models were evaluated with k ranging from 10 to 40 topics in increments of 5, with each specification estimated until convergence. The evaluation process considered multiple metrics simultaneously: semantic coherence, which measures how frequently the high-probability words for each topic co-occur within documents; exclusivity, which captures how distinctive each topic’s words are from other topics; and held-out likelihood, which assesses the model’s ability to predict word usage in documents not used for estimation. Lower values of k (10-15 topics) produced broad thematic categories that, while coherent, obscured important distinctions—for instance, conflating all water-related adaptation into a single topic regardless of whether the focus was irrigation, flooding, or water quality. Higher values of k (30-40 topics) resulted in excessive fragmentation, splitting coherent themes like agricultural adaptation into narrow subtopics that appeared sporadically across documents.</w:t>
      </w:r>
    </w:p>
    <w:p>
      <w:pPr>
        <w:pStyle w:val="Brdtekst"/>
      </w:pPr>
      <w:r>
        <w:t xml:space="preserve">The selected model with k=15 achieved a semantic coherence score of 0 and an exclusivity score of 8, representing the best balance among tested specifications. This model’s coherence score indicates that the most probable words within each topic genuinely appear together in documents rather than being statistical artifacts. The exclusivity score confirms that topics capture distinct aspects of adaptation discourse rather than variations on the same theme. The combined optimization score of 0 exceeded all other specifications, providing quantitative support for this selection. Beyond these metrics, the 15-topic model produced themes that aligned with established categories in adaptation planning while revealing nuanced distinctions that might inform policy analysis.</w:t>
      </w:r>
    </w:p>
    <w:p>
      <w:pPr>
        <w:pStyle w:val="TableCaption"/>
      </w:pPr>
      <w:r>
        <w:t xml:space="preserve">Topic Prevalence Across All National Adaptation Plans</w:t>
      </w:r>
    </w:p>
    <w:tbl>
      <w:tblPr>
        <w:tblStyle w:val="Table"/>
        <w:tblW w:type="pct" w:w="5000"/>
        <w:tblLayout w:type="fixed"/>
        <w:tblLook w:firstRow="1" w:lastRow="0" w:firstColumn="0" w:lastColumn="0" w:noHBand="0" w:noVBand="0" w:val="0020"/>
        <w:tblCaption w:val="Topic Prevalence Across All National Adaptation Plans"/>
      </w:tblPr>
      <w:tblGrid>
        <w:gridCol w:w="304"/>
        <w:gridCol w:w="3756"/>
        <w:gridCol w:w="1523"/>
        <w:gridCol w:w="1015"/>
        <w:gridCol w:w="1320"/>
      </w:tblGrid>
      <w:tr>
        <w:trPr>
          <w:tblHeader w:val="on"/>
        </w:trPr>
        <w:tc>
          <w:tcPr/>
          <w:p>
            <w:pPr>
              <w:pStyle w:val="Compact"/>
              <w:jc w:val="right"/>
            </w:pPr>
            <w:r>
              <w:t xml:space="preserve">ID</w:t>
            </w:r>
          </w:p>
        </w:tc>
        <w:tc>
          <w:tcPr/>
          <w:p>
            <w:pPr>
              <w:pStyle w:val="Compact"/>
              <w:jc w:val="left"/>
            </w:pPr>
            <w:r>
              <w:t xml:space="preserve">Topic Name</w:t>
            </w:r>
          </w:p>
        </w:tc>
        <w:tc>
          <w:tcPr/>
          <w:p>
            <w:pPr>
              <w:pStyle w:val="Compact"/>
              <w:jc w:val="right"/>
            </w:pPr>
            <w:r>
              <w:t xml:space="preserve">Prevalence (%)</w:t>
            </w:r>
          </w:p>
        </w:tc>
        <w:tc>
          <w:tcPr/>
          <w:p>
            <w:pPr>
              <w:pStyle w:val="Compact"/>
              <w:jc w:val="right"/>
            </w:pPr>
            <w:r>
              <w:t xml:space="preserve">Documents</w:t>
            </w:r>
          </w:p>
        </w:tc>
        <w:tc>
          <w:tcPr/>
          <w:p>
            <w:pPr>
              <w:pStyle w:val="Compact"/>
              <w:jc w:val="right"/>
            </w:pPr>
            <w:r>
              <w:t xml:space="preserve">Coverage (%)</w:t>
            </w:r>
          </w:p>
        </w:tc>
      </w:tr>
      <w:tr>
        <w:tc>
          <w:tcPr/>
          <w:p>
            <w:pPr>
              <w:pStyle w:val="Compact"/>
              <w:jc w:val="right"/>
            </w:pPr>
            <w:r>
              <w:t xml:space="preserve">2</w:t>
            </w:r>
          </w:p>
        </w:tc>
        <w:tc>
          <w:tcPr/>
          <w:p>
            <w:pPr>
              <w:pStyle w:val="Compact"/>
              <w:jc w:val="left"/>
            </w:pPr>
            <w:r>
              <w:t xml:space="preserve">Financ: ongo, strateg, output</w:t>
            </w:r>
          </w:p>
        </w:tc>
        <w:tc>
          <w:tcPr/>
          <w:p>
            <w:pPr>
              <w:pStyle w:val="Compact"/>
              <w:jc w:val="right"/>
            </w:pPr>
            <w:r>
              <w:t xml:space="preserve">16.2</w:t>
            </w:r>
          </w:p>
        </w:tc>
        <w:tc>
          <w:tcPr/>
          <w:p>
            <w:pPr>
              <w:pStyle w:val="Compact"/>
              <w:jc w:val="right"/>
            </w:pPr>
            <w:r>
              <w:t xml:space="preserve">19</w:t>
            </w:r>
          </w:p>
        </w:tc>
        <w:tc>
          <w:tcPr/>
          <w:p>
            <w:pPr>
              <w:pStyle w:val="Compact"/>
              <w:jc w:val="right"/>
            </w:pPr>
            <w:r>
              <w:t xml:space="preserve">42.2</w:t>
            </w:r>
          </w:p>
        </w:tc>
      </w:tr>
      <w:tr>
        <w:tc>
          <w:tcPr/>
          <w:p>
            <w:pPr>
              <w:pStyle w:val="Compact"/>
              <w:jc w:val="right"/>
            </w:pPr>
            <w:r>
              <w:t xml:space="preserve">5</w:t>
            </w:r>
          </w:p>
        </w:tc>
        <w:tc>
          <w:tcPr/>
          <w:p>
            <w:pPr>
              <w:pStyle w:val="Compact"/>
              <w:jc w:val="left"/>
            </w:pPr>
            <w:r>
              <w:t xml:space="preserve">Chapter: provinci, world, describ</w:t>
            </w:r>
          </w:p>
        </w:tc>
        <w:tc>
          <w:tcPr/>
          <w:p>
            <w:pPr>
              <w:pStyle w:val="Compact"/>
              <w:jc w:val="right"/>
            </w:pPr>
            <w:r>
              <w:t xml:space="preserve">11.2</w:t>
            </w:r>
          </w:p>
        </w:tc>
        <w:tc>
          <w:tcPr/>
          <w:p>
            <w:pPr>
              <w:pStyle w:val="Compact"/>
              <w:jc w:val="right"/>
            </w:pPr>
            <w:r>
              <w:t xml:space="preserve">11</w:t>
            </w:r>
          </w:p>
        </w:tc>
        <w:tc>
          <w:tcPr/>
          <w:p>
            <w:pPr>
              <w:pStyle w:val="Compact"/>
              <w:jc w:val="right"/>
            </w:pPr>
            <w:r>
              <w:t xml:space="preserve">24.4</w:t>
            </w:r>
          </w:p>
        </w:tc>
      </w:tr>
      <w:tr>
        <w:tc>
          <w:tcPr/>
          <w:p>
            <w:pPr>
              <w:pStyle w:val="Compact"/>
              <w:jc w:val="right"/>
            </w:pPr>
            <w:r>
              <w:t xml:space="preserve">14</w:t>
            </w:r>
          </w:p>
        </w:tc>
        <w:tc>
          <w:tcPr/>
          <w:p>
            <w:pPr>
              <w:pStyle w:val="Compact"/>
              <w:jc w:val="left"/>
            </w:pPr>
            <w:r>
              <w:t xml:space="preserve">Tourism: provinci, provinc, counti</w:t>
            </w:r>
          </w:p>
        </w:tc>
        <w:tc>
          <w:tcPr/>
          <w:p>
            <w:pPr>
              <w:pStyle w:val="Compact"/>
              <w:jc w:val="right"/>
            </w:pPr>
            <w:r>
              <w:t xml:space="preserve">7.9</w:t>
            </w:r>
          </w:p>
        </w:tc>
        <w:tc>
          <w:tcPr/>
          <w:p>
            <w:pPr>
              <w:pStyle w:val="Compact"/>
              <w:jc w:val="right"/>
            </w:pPr>
            <w:r>
              <w:t xml:space="preserve">15</w:t>
            </w:r>
          </w:p>
        </w:tc>
        <w:tc>
          <w:tcPr/>
          <w:p>
            <w:pPr>
              <w:pStyle w:val="Compact"/>
              <w:jc w:val="right"/>
            </w:pPr>
            <w:r>
              <w:t xml:space="preserve">33.3</w:t>
            </w:r>
          </w:p>
        </w:tc>
      </w:tr>
      <w:tr>
        <w:tc>
          <w:tcPr/>
          <w:p>
            <w:pPr>
              <w:pStyle w:val="Compact"/>
              <w:jc w:val="right"/>
            </w:pPr>
            <w:r>
              <w:t xml:space="preserve">9</w:t>
            </w:r>
          </w:p>
        </w:tc>
        <w:tc>
          <w:tcPr/>
          <w:p>
            <w:pPr>
              <w:pStyle w:val="Compact"/>
              <w:jc w:val="left"/>
            </w:pPr>
            <w:r>
              <w:t xml:space="preserve">Outcom: involv, term, short</w:t>
            </w:r>
          </w:p>
        </w:tc>
        <w:tc>
          <w:tcPr/>
          <w:p>
            <w:pPr>
              <w:pStyle w:val="Compact"/>
              <w:jc w:val="right"/>
            </w:pPr>
            <w:r>
              <w:t xml:space="preserve">7.3</w:t>
            </w:r>
          </w:p>
        </w:tc>
        <w:tc>
          <w:tcPr/>
          <w:p>
            <w:pPr>
              <w:pStyle w:val="Compact"/>
              <w:jc w:val="right"/>
            </w:pPr>
            <w:r>
              <w:t xml:space="preserve">9</w:t>
            </w:r>
          </w:p>
        </w:tc>
        <w:tc>
          <w:tcPr/>
          <w:p>
            <w:pPr>
              <w:pStyle w:val="Compact"/>
              <w:jc w:val="right"/>
            </w:pPr>
            <w:r>
              <w:t xml:space="preserve">20.0</w:t>
            </w:r>
          </w:p>
        </w:tc>
      </w:tr>
      <w:tr>
        <w:tc>
          <w:tcPr/>
          <w:p>
            <w:pPr>
              <w:pStyle w:val="Compact"/>
              <w:jc w:val="right"/>
            </w:pPr>
            <w:r>
              <w:t xml:space="preserve">4</w:t>
            </w:r>
          </w:p>
        </w:tc>
        <w:tc>
          <w:tcPr/>
          <w:p>
            <w:pPr>
              <w:pStyle w:val="Compact"/>
              <w:jc w:val="left"/>
            </w:pPr>
            <w:r>
              <w:t xml:space="preserve">Line: citi, territori, transit</w:t>
            </w:r>
          </w:p>
        </w:tc>
        <w:tc>
          <w:tcPr/>
          <w:p>
            <w:pPr>
              <w:pStyle w:val="Compact"/>
              <w:jc w:val="right"/>
            </w:pPr>
            <w:r>
              <w:t xml:space="preserve">6.9</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6</w:t>
            </w:r>
          </w:p>
        </w:tc>
        <w:tc>
          <w:tcPr/>
          <w:p>
            <w:pPr>
              <w:pStyle w:val="Compact"/>
              <w:jc w:val="left"/>
            </w:pPr>
            <w:r>
              <w:t xml:space="preserve">Rangeland: mountain, initi, moham</w:t>
            </w:r>
          </w:p>
        </w:tc>
        <w:tc>
          <w:tcPr/>
          <w:p>
            <w:pPr>
              <w:pStyle w:val="Compact"/>
              <w:jc w:val="right"/>
            </w:pPr>
            <w:r>
              <w:t xml:space="preserve">6.7</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13</w:t>
            </w:r>
          </w:p>
        </w:tc>
        <w:tc>
          <w:tcPr/>
          <w:p>
            <w:pPr>
              <w:pStyle w:val="Compact"/>
              <w:jc w:val="left"/>
            </w:pPr>
            <w:r>
              <w:t xml:space="preserve">Des: les, refuge, nutrit</w:t>
            </w:r>
          </w:p>
        </w:tc>
        <w:tc>
          <w:tcPr/>
          <w:p>
            <w:pPr>
              <w:pStyle w:val="Compact"/>
              <w:jc w:val="right"/>
            </w:pPr>
            <w:r>
              <w:t xml:space="preserve">6.7</w:t>
            </w:r>
          </w:p>
        </w:tc>
        <w:tc>
          <w:tcPr/>
          <w:p>
            <w:pPr>
              <w:pStyle w:val="Compact"/>
              <w:jc w:val="right"/>
            </w:pPr>
            <w:r>
              <w:t xml:space="preserve">5</w:t>
            </w:r>
          </w:p>
        </w:tc>
        <w:tc>
          <w:tcPr/>
          <w:p>
            <w:pPr>
              <w:pStyle w:val="Compact"/>
              <w:jc w:val="right"/>
            </w:pPr>
            <w:r>
              <w:t xml:space="preserve">11.1</w:t>
            </w:r>
          </w:p>
        </w:tc>
      </w:tr>
      <w:tr>
        <w:tc>
          <w:tcPr/>
          <w:p>
            <w:pPr>
              <w:pStyle w:val="Compact"/>
              <w:jc w:val="right"/>
            </w:pPr>
            <w:r>
              <w:t xml:space="preserve">7</w:t>
            </w:r>
          </w:p>
        </w:tc>
        <w:tc>
          <w:tcPr/>
          <w:p>
            <w:pPr>
              <w:pStyle w:val="Compact"/>
              <w:jc w:val="left"/>
            </w:pPr>
            <w:r>
              <w:t xml:space="preserve">Yet: nationwid, commenc, salin</w:t>
            </w:r>
          </w:p>
        </w:tc>
        <w:tc>
          <w:tcPr/>
          <w:p>
            <w:pPr>
              <w:pStyle w:val="Compact"/>
              <w:jc w:val="right"/>
            </w:pPr>
            <w:r>
              <w:t xml:space="preserve">6.6</w:t>
            </w:r>
          </w:p>
        </w:tc>
        <w:tc>
          <w:tcPr/>
          <w:p>
            <w:pPr>
              <w:pStyle w:val="Compact"/>
              <w:jc w:val="right"/>
            </w:pPr>
            <w:r>
              <w:t xml:space="preserve">8</w:t>
            </w:r>
          </w:p>
        </w:tc>
        <w:tc>
          <w:tcPr/>
          <w:p>
            <w:pPr>
              <w:pStyle w:val="Compact"/>
              <w:jc w:val="right"/>
            </w:pPr>
            <w:r>
              <w:t xml:space="preserve">17.8</w:t>
            </w:r>
          </w:p>
        </w:tc>
      </w:tr>
      <w:tr>
        <w:tc>
          <w:tcPr/>
          <w:p>
            <w:pPr>
              <w:pStyle w:val="Compact"/>
              <w:jc w:val="right"/>
            </w:pPr>
            <w:r>
              <w:t xml:space="preserve">15</w:t>
            </w:r>
          </w:p>
        </w:tc>
        <w:tc>
          <w:tcPr/>
          <w:p>
            <w:pPr>
              <w:pStyle w:val="Compact"/>
              <w:jc w:val="left"/>
            </w:pPr>
            <w:r>
              <w:t xml:space="preserve">Atol: pacif, outer, typhoon</w:t>
            </w:r>
          </w:p>
        </w:tc>
        <w:tc>
          <w:tcPr/>
          <w:p>
            <w:pPr>
              <w:pStyle w:val="Compact"/>
              <w:jc w:val="right"/>
            </w:pPr>
            <w:r>
              <w:t xml:space="preserve">6.3</w:t>
            </w:r>
          </w:p>
        </w:tc>
        <w:tc>
          <w:tcPr/>
          <w:p>
            <w:pPr>
              <w:pStyle w:val="Compact"/>
              <w:jc w:val="right"/>
            </w:pPr>
            <w:r>
              <w:t xml:space="preserve">7</w:t>
            </w:r>
          </w:p>
        </w:tc>
        <w:tc>
          <w:tcPr/>
          <w:p>
            <w:pPr>
              <w:pStyle w:val="Compact"/>
              <w:jc w:val="right"/>
            </w:pPr>
            <w:r>
              <w:t xml:space="preserve">15.6</w:t>
            </w:r>
          </w:p>
        </w:tc>
      </w:tr>
      <w:tr>
        <w:tc>
          <w:tcPr/>
          <w:p>
            <w:pPr>
              <w:pStyle w:val="Compact"/>
              <w:jc w:val="right"/>
            </w:pPr>
            <w:r>
              <w:t xml:space="preserve">1</w:t>
            </w:r>
          </w:p>
        </w:tc>
        <w:tc>
          <w:tcPr/>
          <w:p>
            <w:pPr>
              <w:pStyle w:val="Compact"/>
              <w:jc w:val="left"/>
            </w:pPr>
            <w:r>
              <w:t xml:space="preserve">Secretariat: director, cent, conduct</w:t>
            </w:r>
          </w:p>
        </w:tc>
        <w:tc>
          <w:tcPr/>
          <w:p>
            <w:pPr>
              <w:pStyle w:val="Compact"/>
              <w:jc w:val="right"/>
            </w:pPr>
            <w:r>
              <w:t xml:space="preserve">5.5</w:t>
            </w:r>
          </w:p>
        </w:tc>
        <w:tc>
          <w:tcPr/>
          <w:p>
            <w:pPr>
              <w:pStyle w:val="Compact"/>
              <w:jc w:val="right"/>
            </w:pPr>
            <w:r>
              <w:t xml:space="preserve">6</w:t>
            </w:r>
          </w:p>
        </w:tc>
        <w:tc>
          <w:tcPr/>
          <w:p>
            <w:pPr>
              <w:pStyle w:val="Compact"/>
              <w:jc w:val="right"/>
            </w:pPr>
            <w:r>
              <w:t xml:space="preserve">13.3</w:t>
            </w:r>
          </w:p>
        </w:tc>
      </w:tr>
      <w:tr>
        <w:tc>
          <w:tcPr/>
          <w:p>
            <w:pPr>
              <w:pStyle w:val="Compact"/>
              <w:jc w:val="right"/>
            </w:pPr>
            <w:r>
              <w:t xml:space="preserve">11</w:t>
            </w:r>
          </w:p>
        </w:tc>
        <w:tc>
          <w:tcPr/>
          <w:p>
            <w:pPr>
              <w:pStyle w:val="Compact"/>
              <w:jc w:val="left"/>
            </w:pPr>
            <w:r>
              <w:t xml:space="preserve">Feder: percentag, indic, hectar</w:t>
            </w:r>
          </w:p>
        </w:tc>
        <w:tc>
          <w:tcPr/>
          <w:p>
            <w:pPr>
              <w:pStyle w:val="Compact"/>
              <w:jc w:val="right"/>
            </w:pPr>
            <w:r>
              <w:t xml:space="preserve">4.3</w:t>
            </w:r>
          </w:p>
        </w:tc>
        <w:tc>
          <w:tcPr/>
          <w:p>
            <w:pPr>
              <w:pStyle w:val="Compact"/>
              <w:jc w:val="right"/>
            </w:pPr>
            <w:r>
              <w:t xml:space="preserve">6</w:t>
            </w:r>
          </w:p>
        </w:tc>
        <w:tc>
          <w:tcPr/>
          <w:p>
            <w:pPr>
              <w:pStyle w:val="Compact"/>
              <w:jc w:val="right"/>
            </w:pPr>
            <w:r>
              <w:t xml:space="preserve">13.3</w:t>
            </w:r>
          </w:p>
        </w:tc>
      </w:tr>
      <w:tr>
        <w:tc>
          <w:tcPr/>
          <w:p>
            <w:pPr>
              <w:pStyle w:val="Compact"/>
              <w:jc w:val="right"/>
            </w:pPr>
            <w:r>
              <w:t xml:space="preserve">12</w:t>
            </w:r>
          </w:p>
        </w:tc>
        <w:tc>
          <w:tcPr/>
          <w:p>
            <w:pPr>
              <w:pStyle w:val="Compact"/>
              <w:jc w:val="left"/>
            </w:pPr>
            <w:r>
              <w:t xml:space="preserve">Green: enhanc, perform, activ</w:t>
            </w:r>
          </w:p>
        </w:tc>
        <w:tc>
          <w:tcPr/>
          <w:p>
            <w:pPr>
              <w:pStyle w:val="Compact"/>
              <w:jc w:val="right"/>
            </w:pPr>
            <w:r>
              <w:t xml:space="preserve">4.2</w:t>
            </w:r>
          </w:p>
        </w:tc>
        <w:tc>
          <w:tcPr/>
          <w:p>
            <w:pPr>
              <w:pStyle w:val="Compact"/>
              <w:jc w:val="right"/>
            </w:pPr>
            <w:r>
              <w:t xml:space="preserve">4</w:t>
            </w:r>
          </w:p>
        </w:tc>
        <w:tc>
          <w:tcPr/>
          <w:p>
            <w:pPr>
              <w:pStyle w:val="Compact"/>
              <w:jc w:val="right"/>
            </w:pPr>
            <w:r>
              <w:t xml:space="preserve">8.9</w:t>
            </w:r>
          </w:p>
        </w:tc>
      </w:tr>
      <w:tr>
        <w:tc>
          <w:tcPr/>
          <w:p>
            <w:pPr>
              <w:pStyle w:val="Compact"/>
              <w:jc w:val="right"/>
            </w:pPr>
            <w:r>
              <w:t xml:space="preserve">3</w:t>
            </w:r>
          </w:p>
        </w:tc>
        <w:tc>
          <w:tcPr/>
          <w:p>
            <w:pPr>
              <w:pStyle w:val="Compact"/>
              <w:jc w:val="left"/>
            </w:pPr>
            <w:r>
              <w:t xml:space="preserve">Centuri: period, condit, valu</w:t>
            </w:r>
          </w:p>
        </w:tc>
        <w:tc>
          <w:tcPr/>
          <w:p>
            <w:pPr>
              <w:pStyle w:val="Compact"/>
              <w:jc w:val="right"/>
            </w:pPr>
            <w:r>
              <w:t xml:space="preserve">3.5</w:t>
            </w:r>
          </w:p>
        </w:tc>
        <w:tc>
          <w:tcPr/>
          <w:p>
            <w:pPr>
              <w:pStyle w:val="Compact"/>
              <w:jc w:val="right"/>
            </w:pPr>
            <w:r>
              <w:t xml:space="preserve">4</w:t>
            </w:r>
          </w:p>
        </w:tc>
        <w:tc>
          <w:tcPr/>
          <w:p>
            <w:pPr>
              <w:pStyle w:val="Compact"/>
              <w:jc w:val="right"/>
            </w:pPr>
            <w:r>
              <w:t xml:space="preserve">8.9</w:t>
            </w:r>
          </w:p>
        </w:tc>
      </w:tr>
      <w:tr>
        <w:tc>
          <w:tcPr/>
          <w:p>
            <w:pPr>
              <w:pStyle w:val="Compact"/>
              <w:jc w:val="right"/>
            </w:pPr>
            <w:r>
              <w:t xml:space="preserve">8</w:t>
            </w:r>
          </w:p>
        </w:tc>
        <w:tc>
          <w:tcPr/>
          <w:p>
            <w:pPr>
              <w:pStyle w:val="Compact"/>
              <w:jc w:val="left"/>
            </w:pPr>
            <w:r>
              <w:t xml:space="preserve">Author: task, defens, ministri</w:t>
            </w:r>
          </w:p>
        </w:tc>
        <w:tc>
          <w:tcPr/>
          <w:p>
            <w:pPr>
              <w:pStyle w:val="Compact"/>
              <w:jc w:val="right"/>
            </w:pPr>
            <w:r>
              <w:t xml:space="preserve">3.5</w:t>
            </w:r>
          </w:p>
        </w:tc>
        <w:tc>
          <w:tcPr/>
          <w:p>
            <w:pPr>
              <w:pStyle w:val="Compact"/>
              <w:jc w:val="right"/>
            </w:pPr>
            <w:r>
              <w:t xml:space="preserve">5</w:t>
            </w:r>
          </w:p>
        </w:tc>
        <w:tc>
          <w:tcPr/>
          <w:p>
            <w:pPr>
              <w:pStyle w:val="Compact"/>
              <w:jc w:val="right"/>
            </w:pPr>
            <w:r>
              <w:t xml:space="preserve">11.1</w:t>
            </w:r>
          </w:p>
        </w:tc>
      </w:tr>
      <w:tr>
        <w:tc>
          <w:tcPr/>
          <w:p>
            <w:pPr>
              <w:pStyle w:val="Compact"/>
              <w:jc w:val="right"/>
            </w:pPr>
            <w:r>
              <w:t xml:space="preserve">10</w:t>
            </w:r>
          </w:p>
        </w:tc>
        <w:tc>
          <w:tcPr/>
          <w:p>
            <w:pPr>
              <w:pStyle w:val="Compact"/>
              <w:jc w:val="left"/>
            </w:pPr>
            <w:r>
              <w:t xml:space="preserve">Strip: west, confid, ensembl</w:t>
            </w:r>
          </w:p>
        </w:tc>
        <w:tc>
          <w:tcPr/>
          <w:p>
            <w:pPr>
              <w:pStyle w:val="Compact"/>
              <w:jc w:val="right"/>
            </w:pPr>
            <w:r>
              <w:t xml:space="preserve">3.3</w:t>
            </w:r>
          </w:p>
        </w:tc>
        <w:tc>
          <w:tcPr/>
          <w:p>
            <w:pPr>
              <w:pStyle w:val="Compact"/>
              <w:jc w:val="right"/>
            </w:pPr>
            <w:r>
              <w:t xml:space="preserve">4</w:t>
            </w:r>
          </w:p>
        </w:tc>
        <w:tc>
          <w:tcPr/>
          <w:p>
            <w:pPr>
              <w:pStyle w:val="Compact"/>
              <w:jc w:val="right"/>
            </w:pPr>
            <w:r>
              <w:t xml:space="preserve">8.9</w:t>
            </w:r>
          </w:p>
        </w:tc>
      </w:tr>
    </w:tbl>
    <w:p>
      <w:pPr>
        <w:pStyle w:val="Brdtekst"/>
      </w:pPr>
      <w:r>
        <w:t xml:space="preserve"> </w:t>
      </w:r>
    </w:p>
    <w:p>
      <w:pPr>
        <w:pStyle w:val="TableCaption"/>
      </w:pPr>
      <w:r>
        <w:t xml:space="preserve">Topics Identified in National Adaptation Plans</w:t>
      </w:r>
    </w:p>
    <w:tbl>
      <w:tblPr>
        <w:tblStyle w:val="Table"/>
        <w:tblW w:type="pct" w:w="5000"/>
        <w:tblLayout w:type="fixed"/>
        <w:tblLook w:firstRow="1" w:lastRow="0" w:firstColumn="0" w:lastColumn="0" w:noHBand="0" w:noVBand="0" w:val="0020"/>
        <w:tblCaption w:val="Topics Identified in National Adaptation Plans"/>
      </w:tblPr>
      <w:tblGrid>
        <w:gridCol w:w="407"/>
        <w:gridCol w:w="2154"/>
        <w:gridCol w:w="5357"/>
      </w:tblGrid>
      <w:tr>
        <w:trPr>
          <w:tblHeader w:val="on"/>
        </w:trPr>
        <w:tc>
          <w:tcPr/>
          <w:p>
            <w:pPr>
              <w:pStyle w:val="Compact"/>
              <w:jc w:val="center"/>
            </w:pPr>
            <w:r>
              <w:t xml:space="preserve">Topic</w:t>
            </w:r>
          </w:p>
        </w:tc>
        <w:tc>
          <w:tcPr/>
          <w:p>
            <w:pPr>
              <w:pStyle w:val="Compact"/>
              <w:jc w:val="left"/>
            </w:pPr>
            <w:r>
              <w:t xml:space="preserve">Label</w:t>
            </w:r>
          </w:p>
        </w:tc>
        <w:tc>
          <w:tcPr/>
          <w:p>
            <w:pPr>
              <w:pStyle w:val="Compact"/>
              <w:jc w:val="left"/>
            </w:pPr>
            <w:r>
              <w:t xml:space="preserve">FREX Terms (Frequent &amp; Exclusive)</w:t>
            </w:r>
          </w:p>
        </w:tc>
      </w:tr>
      <w:tr>
        <w:tc>
          <w:tcPr/>
          <w:p>
            <w:pPr>
              <w:pStyle w:val="Compact"/>
              <w:jc w:val="center"/>
            </w:pPr>
            <w:r>
              <w:t xml:space="preserve">1</w:t>
            </w:r>
          </w:p>
        </w:tc>
        <w:tc>
          <w:tcPr/>
          <w:p>
            <w:pPr>
              <w:pStyle w:val="Compact"/>
              <w:jc w:val="left"/>
            </w:pPr>
            <w:r>
              <w:t xml:space="preserve">Secretariat: director, cent, conduct</w:t>
            </w:r>
          </w:p>
        </w:tc>
        <w:tc>
          <w:tcPr/>
          <w:p>
            <w:pPr>
              <w:pStyle w:val="Compact"/>
              <w:jc w:val="left"/>
            </w:pPr>
            <w:r>
              <w:t xml:space="preserve">secretariat, director, cent, conduct, unoffici, offic, money, member, translat, minim</w:t>
            </w:r>
          </w:p>
        </w:tc>
      </w:tr>
      <w:tr>
        <w:tc>
          <w:tcPr/>
          <w:p>
            <w:pPr>
              <w:pStyle w:val="Compact"/>
              <w:jc w:val="center"/>
            </w:pPr>
            <w:r>
              <w:t xml:space="preserve">2</w:t>
            </w:r>
          </w:p>
        </w:tc>
        <w:tc>
          <w:tcPr/>
          <w:p>
            <w:pPr>
              <w:pStyle w:val="Compact"/>
              <w:jc w:val="left"/>
            </w:pPr>
            <w:r>
              <w:t xml:space="preserve">Financ: ongo, strateg, output</w:t>
            </w:r>
          </w:p>
        </w:tc>
        <w:tc>
          <w:tcPr/>
          <w:p>
            <w:pPr>
              <w:pStyle w:val="Compact"/>
              <w:jc w:val="left"/>
            </w:pPr>
            <w:r>
              <w:t xml:space="preserve">financ, ongo, strateg, output, overarch, process, donor, linkag, elabor, within</w:t>
            </w:r>
          </w:p>
        </w:tc>
      </w:tr>
      <w:tr>
        <w:tc>
          <w:tcPr/>
          <w:p>
            <w:pPr>
              <w:pStyle w:val="Compact"/>
              <w:jc w:val="center"/>
            </w:pPr>
            <w:r>
              <w:t xml:space="preserve">3</w:t>
            </w:r>
          </w:p>
        </w:tc>
        <w:tc>
          <w:tcPr/>
          <w:p>
            <w:pPr>
              <w:pStyle w:val="Compact"/>
              <w:jc w:val="left"/>
            </w:pPr>
            <w:r>
              <w:t xml:space="preserve">Centuri: period, condit, valu</w:t>
            </w:r>
          </w:p>
        </w:tc>
        <w:tc>
          <w:tcPr/>
          <w:p>
            <w:pPr>
              <w:pStyle w:val="Compact"/>
              <w:jc w:val="left"/>
            </w:pPr>
            <w:r>
              <w:t xml:space="preserve">centuri, period, condit, valu, accord, grow, yes, hazard, precipit, deficit</w:t>
            </w:r>
          </w:p>
        </w:tc>
      </w:tr>
      <w:tr>
        <w:tc>
          <w:tcPr/>
          <w:p>
            <w:pPr>
              <w:pStyle w:val="Compact"/>
              <w:jc w:val="center"/>
            </w:pPr>
            <w:r>
              <w:t xml:space="preserve">4</w:t>
            </w:r>
          </w:p>
        </w:tc>
        <w:tc>
          <w:tcPr/>
          <w:p>
            <w:pPr>
              <w:pStyle w:val="Compact"/>
              <w:jc w:val="left"/>
            </w:pPr>
            <w:r>
              <w:t xml:space="preserve">Line: citi, territori, transit</w:t>
            </w:r>
          </w:p>
        </w:tc>
        <w:tc>
          <w:tcPr/>
          <w:p>
            <w:pPr>
              <w:pStyle w:val="Compact"/>
              <w:jc w:val="left"/>
            </w:pPr>
            <w:r>
              <w:t xml:space="preserve">line, citi, territori, transit, famili, indigen, instrument, perspect, view, nativ</w:t>
            </w:r>
          </w:p>
        </w:tc>
      </w:tr>
      <w:tr>
        <w:tc>
          <w:tcPr/>
          <w:p>
            <w:pPr>
              <w:pStyle w:val="Compact"/>
              <w:jc w:val="center"/>
            </w:pPr>
            <w:r>
              <w:t xml:space="preserve">5</w:t>
            </w:r>
          </w:p>
        </w:tc>
        <w:tc>
          <w:tcPr/>
          <w:p>
            <w:pPr>
              <w:pStyle w:val="Compact"/>
              <w:jc w:val="left"/>
            </w:pPr>
            <w:r>
              <w:t xml:space="preserve">Chapter: provinci, world, describ</w:t>
            </w:r>
          </w:p>
        </w:tc>
        <w:tc>
          <w:tcPr/>
          <w:p>
            <w:pPr>
              <w:pStyle w:val="Compact"/>
              <w:jc w:val="left"/>
            </w:pPr>
            <w:r>
              <w:t xml:space="preserve">chapter, provinci, world, describ, valid, nanc, arrang, nap, con, legal</w:t>
            </w:r>
          </w:p>
        </w:tc>
      </w:tr>
      <w:tr>
        <w:tc>
          <w:tcPr/>
          <w:p>
            <w:pPr>
              <w:pStyle w:val="Compact"/>
              <w:jc w:val="center"/>
            </w:pPr>
            <w:r>
              <w:t xml:space="preserve">6</w:t>
            </w:r>
          </w:p>
        </w:tc>
        <w:tc>
          <w:tcPr/>
          <w:p>
            <w:pPr>
              <w:pStyle w:val="Compact"/>
              <w:jc w:val="left"/>
            </w:pPr>
            <w:r>
              <w:t xml:space="preserve">Rangeland: mountain, initi, moham</w:t>
            </w:r>
          </w:p>
        </w:tc>
        <w:tc>
          <w:tcPr/>
          <w:p>
            <w:pPr>
              <w:pStyle w:val="Compact"/>
              <w:jc w:val="left"/>
            </w:pPr>
            <w:r>
              <w:t xml:space="preserve">rangeland, mountain, initi, moham, malaria, fluctuat, box, modern, desert, meter</w:t>
            </w:r>
          </w:p>
        </w:tc>
      </w:tr>
      <w:tr>
        <w:tc>
          <w:tcPr/>
          <w:p>
            <w:pPr>
              <w:pStyle w:val="Compact"/>
              <w:jc w:val="center"/>
            </w:pPr>
            <w:r>
              <w:t xml:space="preserve">7</w:t>
            </w:r>
          </w:p>
        </w:tc>
        <w:tc>
          <w:tcPr/>
          <w:p>
            <w:pPr>
              <w:pStyle w:val="Compact"/>
              <w:jc w:val="left"/>
            </w:pPr>
            <w:r>
              <w:t xml:space="preserve">Yet: nationwid, commenc, salin</w:t>
            </w:r>
          </w:p>
        </w:tc>
        <w:tc>
          <w:tcPr/>
          <w:p>
            <w:pPr>
              <w:pStyle w:val="Compact"/>
              <w:jc w:val="left"/>
            </w:pPr>
            <w:r>
              <w:t xml:space="preserve">yet, nationwid, commenc, salin, stress, surg, fisher, code, fisheri, disabl</w:t>
            </w:r>
          </w:p>
        </w:tc>
      </w:tr>
      <w:tr>
        <w:tc>
          <w:tcPr/>
          <w:p>
            <w:pPr>
              <w:pStyle w:val="Compact"/>
              <w:jc w:val="center"/>
            </w:pPr>
            <w:r>
              <w:t xml:space="preserve">8</w:t>
            </w:r>
          </w:p>
        </w:tc>
        <w:tc>
          <w:tcPr/>
          <w:p>
            <w:pPr>
              <w:pStyle w:val="Compact"/>
              <w:jc w:val="left"/>
            </w:pPr>
            <w:r>
              <w:t xml:space="preserve">Author: task, defens, ministri</w:t>
            </w:r>
          </w:p>
        </w:tc>
        <w:tc>
          <w:tcPr/>
          <w:p>
            <w:pPr>
              <w:pStyle w:val="Compact"/>
              <w:jc w:val="left"/>
            </w:pPr>
            <w:r>
              <w:t xml:space="preserve">author, task, defens, ministri, background, barrier, economi, regulatori, advocaci, million</w:t>
            </w:r>
          </w:p>
        </w:tc>
      </w:tr>
      <w:tr>
        <w:tc>
          <w:tcPr/>
          <w:p>
            <w:pPr>
              <w:pStyle w:val="Compact"/>
              <w:jc w:val="center"/>
            </w:pPr>
            <w:r>
              <w:t xml:space="preserve">9</w:t>
            </w:r>
          </w:p>
        </w:tc>
        <w:tc>
          <w:tcPr/>
          <w:p>
            <w:pPr>
              <w:pStyle w:val="Compact"/>
              <w:jc w:val="left"/>
            </w:pPr>
            <w:r>
              <w:t xml:space="preserve">Outcom: involv, term, short</w:t>
            </w:r>
          </w:p>
        </w:tc>
        <w:tc>
          <w:tcPr/>
          <w:p>
            <w:pPr>
              <w:pStyle w:val="Compact"/>
              <w:jc w:val="left"/>
            </w:pPr>
            <w:r>
              <w:t xml:space="preserve">outcom, involv, term, short, medium, municip, evalu, page, long, depart</w:t>
            </w:r>
          </w:p>
        </w:tc>
      </w:tr>
      <w:tr>
        <w:tc>
          <w:tcPr/>
          <w:p>
            <w:pPr>
              <w:pStyle w:val="Compact"/>
              <w:jc w:val="center"/>
            </w:pPr>
            <w:r>
              <w:t xml:space="preserve">10</w:t>
            </w:r>
          </w:p>
        </w:tc>
        <w:tc>
          <w:tcPr/>
          <w:p>
            <w:pPr>
              <w:pStyle w:val="Compact"/>
              <w:jc w:val="left"/>
            </w:pPr>
            <w:r>
              <w:t xml:space="preserve">Strip: west, confid, ensembl</w:t>
            </w:r>
          </w:p>
        </w:tc>
        <w:tc>
          <w:tcPr/>
          <w:p>
            <w:pPr>
              <w:pStyle w:val="Compact"/>
              <w:jc w:val="left"/>
            </w:pPr>
            <w:r>
              <w:t xml:space="preserve">strip, west, confid, ensembl, calcul, rainfal, perhap, score, might, trend</w:t>
            </w:r>
          </w:p>
        </w:tc>
      </w:tr>
      <w:tr>
        <w:tc>
          <w:tcPr/>
          <w:p>
            <w:pPr>
              <w:pStyle w:val="Compact"/>
              <w:jc w:val="center"/>
            </w:pPr>
            <w:r>
              <w:t xml:space="preserve">11</w:t>
            </w:r>
          </w:p>
        </w:tc>
        <w:tc>
          <w:tcPr/>
          <w:p>
            <w:pPr>
              <w:pStyle w:val="Compact"/>
              <w:jc w:val="left"/>
            </w:pPr>
            <w:r>
              <w:t xml:space="preserve">Feder: percentag, indic, hectar</w:t>
            </w:r>
          </w:p>
        </w:tc>
        <w:tc>
          <w:tcPr/>
          <w:p>
            <w:pPr>
              <w:pStyle w:val="Compact"/>
              <w:jc w:val="left"/>
            </w:pPr>
            <w:r>
              <w:t xml:space="preserve">feder, percentag, indic, hectar, propos, basin, percent, procedur, fund, river</w:t>
            </w:r>
          </w:p>
        </w:tc>
      </w:tr>
      <w:tr>
        <w:tc>
          <w:tcPr/>
          <w:p>
            <w:pPr>
              <w:pStyle w:val="Compact"/>
              <w:jc w:val="center"/>
            </w:pPr>
            <w:r>
              <w:t xml:space="preserve">12</w:t>
            </w:r>
          </w:p>
        </w:tc>
        <w:tc>
          <w:tcPr/>
          <w:p>
            <w:pPr>
              <w:pStyle w:val="Compact"/>
              <w:jc w:val="left"/>
            </w:pPr>
            <w:r>
              <w:t xml:space="preserve">Green: enhanc, perform, activ</w:t>
            </w:r>
          </w:p>
        </w:tc>
        <w:tc>
          <w:tcPr/>
          <w:p>
            <w:pPr>
              <w:pStyle w:val="Compact"/>
              <w:jc w:val="left"/>
            </w:pPr>
            <w:r>
              <w:t xml:space="preserve">green, enhanc, perform, activ, readi, collabor, offic, short, program, strateg</w:t>
            </w:r>
          </w:p>
        </w:tc>
      </w:tr>
      <w:tr>
        <w:tc>
          <w:tcPr/>
          <w:p>
            <w:pPr>
              <w:pStyle w:val="Compact"/>
              <w:jc w:val="center"/>
            </w:pPr>
            <w:r>
              <w:t xml:space="preserve">13</w:t>
            </w:r>
          </w:p>
        </w:tc>
        <w:tc>
          <w:tcPr/>
          <w:p>
            <w:pPr>
              <w:pStyle w:val="Compact"/>
              <w:jc w:val="left"/>
            </w:pPr>
            <w:r>
              <w:t xml:space="preserve">Des: les, refuge, nutrit</w:t>
            </w:r>
          </w:p>
        </w:tc>
        <w:tc>
          <w:tcPr/>
          <w:p>
            <w:pPr>
              <w:pStyle w:val="Compact"/>
              <w:jc w:val="left"/>
            </w:pPr>
            <w:r>
              <w:t xml:space="preserve">des, les, refuge, nutrit, main, percent, pour, host, lac, beneficiari</w:t>
            </w:r>
          </w:p>
        </w:tc>
      </w:tr>
      <w:tr>
        <w:tc>
          <w:tcPr/>
          <w:p>
            <w:pPr>
              <w:pStyle w:val="Compact"/>
              <w:jc w:val="center"/>
            </w:pPr>
            <w:r>
              <w:t xml:space="preserve">14</w:t>
            </w:r>
          </w:p>
        </w:tc>
        <w:tc>
          <w:tcPr/>
          <w:p>
            <w:pPr>
              <w:pStyle w:val="Compact"/>
              <w:jc w:val="left"/>
            </w:pPr>
            <w:r>
              <w:t xml:space="preserve">Tourism: provinci, provinc, counti</w:t>
            </w:r>
          </w:p>
        </w:tc>
        <w:tc>
          <w:tcPr/>
          <w:p>
            <w:pPr>
              <w:pStyle w:val="Compact"/>
              <w:jc w:val="left"/>
            </w:pPr>
            <w:r>
              <w:t xml:space="preserve">tourism, provinci, provinc, counti, forest, wildlif, livelihood, promot, mountain, local</w:t>
            </w:r>
          </w:p>
        </w:tc>
      </w:tr>
      <w:tr>
        <w:tc>
          <w:tcPr/>
          <w:p>
            <w:pPr>
              <w:pStyle w:val="Compact"/>
              <w:jc w:val="center"/>
            </w:pPr>
            <w:r>
              <w:t xml:space="preserve">15</w:t>
            </w:r>
          </w:p>
        </w:tc>
        <w:tc>
          <w:tcPr/>
          <w:p>
            <w:pPr>
              <w:pStyle w:val="Compact"/>
              <w:jc w:val="left"/>
            </w:pPr>
            <w:r>
              <w:t xml:space="preserve">Atol: pacif, outer, typhoon</w:t>
            </w:r>
          </w:p>
        </w:tc>
        <w:tc>
          <w:tcPr/>
          <w:p>
            <w:pPr>
              <w:pStyle w:val="Compact"/>
              <w:jc w:val="left"/>
            </w:pPr>
            <w:r>
              <w:t xml:space="preserve">atol, pacif, outer, typhoon, cyclon, retriev, tropic, pluvial, immedi, sea</w:t>
            </w:r>
          </w:p>
        </w:tc>
      </w:tr>
    </w:tbl>
    <w:p>
      <w:pPr>
        <w:pStyle w:val="Brdtekst"/>
      </w:pPr>
      <w:r>
        <w:t xml:space="preserve">The 15 topics identified through this process reveal both expected patterns and surprising emphases in global adaptation discourse. Sectoral topics constitute the largest category, with distinct topics emerging for water resources, agriculture, coastal zones, health systems, and infrastructure. The separation of these sectors into distinct topics rather than a general</w:t>
      </w:r>
      <w:r>
        <w:t xml:space="preserve"> </w:t>
      </w:r>
      <w:r>
        <w:t xml:space="preserve">“sectoral adaptation”</w:t>
      </w:r>
      <w:r>
        <w:t xml:space="preserve"> </w:t>
      </w:r>
      <w:r>
        <w:t xml:space="preserve">theme indicates that each sector has developed specialized vocabulary and concerns within adaptation planning. For instance, the water resources topic emphasizes basin-level management and irrigation infrastructure, while the coastal topic focuses on sea-level rise and storm protection. This sectoral differentiation suggests that adaptation planning often proceeds through established ministerial boundaries rather than integrated approaches.</w:t>
      </w:r>
    </w:p>
    <w:p>
      <w:pPr>
        <w:pStyle w:val="Brdtekst"/>
      </w:pPr>
      <w:r>
        <w:t xml:space="preserve">Institutional and procedural topics emerge as a substantial component of adaptation discourse, occupying several of the 15 topics. These topics reveal the mechanisms through which adaptation moves from planning to implementation. The financial mechanisms topic encompasses not only funding amounts but the complex architecture of climate finance, including donor coordination, budget integration, and financial tracking systems. The governance topic focusing on subnational implementation highlights the multi-level nature of adaptation, with terms indicating vertical coordination from national to municipal levels. A separate topic on planning processes captures the procedural aspects of developing NAPs themselves, suggesting that the process of planning has become as important as the content of plans.</w:t>
      </w:r>
    </w:p>
    <w:p>
      <w:pPr>
        <w:pStyle w:val="Brdtekst"/>
      </w:pPr>
      <w:r>
        <w:drawing>
          <wp:inline>
            <wp:extent cx="4620126" cy="3696101"/>
            <wp:effectExtent b="0" l="0" r="0" t="0"/>
            <wp:docPr descr="" title="" id="42" name="Picture"/>
            <a:graphic>
              <a:graphicData uri="http://schemas.openxmlformats.org/drawingml/2006/picture">
                <pic:pic>
                  <pic:nvPicPr>
                    <pic:cNvPr descr="text/findings_files/figure-docx/topic_plot-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Geographic and hazard-specific topics reveal how physical geography shapes adaptation discourse, though perhaps not in expected ways. Rather than broad topics on</w:t>
      </w:r>
      <w:r>
        <w:t xml:space="preserve"> </w:t>
      </w:r>
      <w:r>
        <w:t xml:space="preserve">“mountain adaptation”</w:t>
      </w:r>
      <w:r>
        <w:t xml:space="preserve"> </w:t>
      </w:r>
      <w:r>
        <w:t xml:space="preserve">or</w:t>
      </w:r>
      <w:r>
        <w:t xml:space="preserve"> </w:t>
      </w:r>
      <w:r>
        <w:t xml:space="preserve">“island adaptation,”</w:t>
      </w:r>
      <w:r>
        <w:t xml:space="preserve"> </w:t>
      </w:r>
      <w:r>
        <w:t xml:space="preserve">the model identifies specific geographic contexts tied to particular challenges. The mountain and river basin topic links topography to water management, while the island topic specifically emphasizes atolls and outer islands, suggesting attention to the most vulnerable island contexts. The presence of a distinct topic on tropical cyclones and typhoons indicates that countries experiencing these hazards frame adaptation significantly differently from those focused on gradual changes like temperature increases or shifting precipitation patterns.</w:t>
      </w:r>
    </w:p>
    <w:p>
      <w:pPr>
        <w:pStyle w:val="Brdtekst"/>
      </w:pPr>
      <w:r>
        <w:t xml:space="preserve">Examining which topics appear most and least frequently across the corpus provides insight into the priorities and gaps in global adaptation planning. The five most prevalent topics—Financ: ongo, strateg, output, Chapter: provinci, world, describ, Tourism: provinci, provinc, counti, Outcom: involv, term, short, Line: citi, territori, transit—collectively account for 49.5% of the total discourse. The dominance of financial and implementation topics among the most prevalent themes suggests that</w:t>
      </w:r>
      <w:r>
        <w:t xml:space="preserve"> </w:t>
      </w:r>
      <w:r>
        <w:t xml:space="preserve">“how to adapt”</w:t>
      </w:r>
      <w:r>
        <w:t xml:space="preserve"> </w:t>
      </w:r>
      <w:r>
        <w:t xml:space="preserve">receives as much or more attention than</w:t>
      </w:r>
      <w:r>
        <w:t xml:space="preserve"> </w:t>
      </w:r>
      <w:r>
        <w:t xml:space="preserve">“what adaptation looks like.”</w:t>
      </w:r>
      <w:r>
        <w:t xml:space="preserve"> </w:t>
      </w:r>
      <w:r>
        <w:t xml:space="preserve">This emphasis on process and mechanisms over substantive actions may reflect the influence of international guidelines and donor requirements in shaping NAP development.</w:t>
      </w:r>
    </w:p>
    <w:p>
      <w:pPr>
        <w:pStyle w:val="Brdtekst"/>
      </w:pPr>
      <w:r>
        <w:t xml:space="preserve">Conversely, the least prevalent topics—Centuri: period, condit, valu, Author: task, defens, ministri, Strip: west, confid, ensembl—collectively represent only 10.3% of discourse. The marginal presence of topics related to indigenous knowledge, transformational change, or justice-oriented approaches suggests that alternative framings of adaptation remain peripheral to mainstream planning despite their prominence in academic and civil society discussions. This absence is particularly notable given the theoretical literature on adaptation that emphasizes the importance of local knowledge and transformative approaches.</w:t>
      </w:r>
    </w:p>
    <w:p>
      <w:pPr>
        <w:pStyle w:val="Brdtekst"/>
      </w:pPr>
      <w:r>
        <w:t xml:space="preserve">The distribution of topics across documents reveals additional patterns in how adaptation discourse is structured. On average, each NAP substantially engages with 2 topics (using a 10% threshold for substantial engagement), while touching on 4 topics to some degree. This concentration suggests that most countries focus their adaptation planning on a core set of concerns while giving cursory attention to others. The most</w:t>
      </w:r>
      <w:r>
        <w:t xml:space="preserve"> </w:t>
      </w:r>
      <w:r>
        <w:t xml:space="preserve">“universal”</w:t>
      </w:r>
      <w:r>
        <w:t xml:space="preserve"> </w:t>
      </w:r>
      <w:r>
        <w:t xml:space="preserve">topics—those appearing in over 90% of documents—are 0 in number, primarily covering financial mechanisms and general planning processes. In contrast, 15 topics appear in fewer than half of all documents, indicating specialized concerns relevant only to specific contexts.</w:t>
      </w:r>
    </w:p>
    <w:p>
      <w:pPr>
        <w:pStyle w:val="Brdtekst"/>
      </w:pPr>
      <w:r>
        <w:t xml:space="preserve">The statistical quality of individual topics varies in revealing ways. Topics with the highest semantic coherence scores tend to be those with technical vocabulary, such as climate modeling or vulnerability assessment, where specialized terms consistently co-occur. Topics with lower coherence often address cross-cutting issues like gender or participation, where vocabulary is more diffuse. Exclusivity scores are highest for geographically specific topics (atolls, mountains) and hazard-specific topics (cyclones), while lower for general planning and implementation topics that share vocabulary across themes. This pattern suggests that the model most clearly identifies discourse when it is technically specialized or geographically specific, while more integrated or holistic approaches to adaptation may be harder to capture as distinct topics.</w:t>
      </w:r>
    </w:p>
    <w:bookmarkEnd w:id="44"/>
    <w:bookmarkStart w:id="48" w:name="patterns-of-discourse-centralization"/>
    <w:p>
      <w:pPr>
        <w:pStyle w:val="Overskrift2"/>
      </w:pPr>
      <w:r>
        <w:t xml:space="preserve">6.2 Patterns of Discourse Centralization</w:t>
      </w:r>
    </w:p>
    <w:p>
      <w:pPr>
        <w:pStyle w:val="Bloktekst"/>
      </w:pPr>
      <w:r>
        <w:t xml:space="preserve">Analysis of discourse centralization reveals remarkably high concentration across all National Adaptation Plans, with both document-level and corpus-level patterns suggesting limited epistemological diversity in how climate adaptation is conceptualized globally.</w:t>
      </w:r>
    </w:p>
    <w:p>
      <w:pPr>
        <w:pStyle w:val="FirstParagraph"/>
      </w:pPr>
      <w:r>
        <w:t xml:space="preserve">The Dominance Index captures discourse centralization at two complementary levels, each revealing different aspects of how adaptation is conceptualized. Document-level dominance measures how concentrated each individual NAP is on its top three topics—a high value indicates that a country’s adaptation plan focuses heavily on a narrow set of themes rather than addressing adaptation comprehensively. Corpus-level dominance examines the collective discourse of a group of countries, measuring whether they converge on the same dominant topics or emphasize different aspects of adaptation. Together, these measures reveal both the internal coherence of individual plans and the degree of convergence across countries. Values approaching 1.0 indicate extreme concentration, while values closer to 0 would suggest more balanced attention across multiple topics—though such low values are not observed in our corpus.</w:t>
      </w:r>
    </w:p>
    <w:p>
      <w:pPr>
        <w:pStyle w:val="Brdtekst"/>
      </w:pPr>
      <w:r>
        <w:t xml:space="preserve">The document-level findings present a striking picture of universal concentration. Across all 45 NAPs, the normalized dominance value is 90.7%, indicating that the typical adaptation plan devotes the vast majority of its content to just three topics out of the 15 identified. This pattern holds with remarkable consistency across different country groupings. Low-income countries show a document-level dominance of 90.8%, while high-income countries register 91.8%—a difference of less than 0 despite vastly different resources and institutional capacities. The uniformity extends across regional groupings, with values ranging only from 51.7% to 81.3%, and geographic categories showing similarly minimal variation.</w:t>
      </w:r>
    </w:p>
    <w:p>
      <w:pPr>
        <w:pStyle w:val="Brdtekst"/>
      </w:pPr>
      <w:r>
        <w:t xml:space="preserve">This universal pattern of document-level concentration suggests that the structure of adaptation planning itself—shaped by international guidelines, funding requirements, and technical assistance—produces focused rather than comprehensive plans regardless of national context. The practical implication is that any given NAP reads as a deep dive into a small number of adaptation priorities rather than a broad survey of climate vulnerabilities and responses. Whether this focus reflects strategic prioritization or constraints on what can be included in adaptation planning remains an open question, but the pattern is unmistakable: adaptation plans are exercises in selective attention rather than comprehensive vulnerability assessment.</w:t>
      </w:r>
    </w:p>
    <w:p>
      <w:pPr>
        <w:pStyle w:val="Brdtekst"/>
      </w:pPr>
      <w:r>
        <w:t xml:space="preserve">The corpus-level patterns reveal more nuanced differences in how countries converge or diverge in their adaptation priorities. Among income groups, a surprising U-shaped pattern emerges that challenges linear assumptions about development and discourse diversity. High-income countries show the highest corpus-level dominance at 58.5%, indicating strong convergence on similar topics—specifically Author: task, defens, ministri, Yet: nationwid, commenc, salin, Line: citi, territori, transit. However, with only four high-income countries in the sample (Israel, Kuwait, Trinidad and Tobago, and Uruguay), this finding must be interpreted cautiously. These countries span different regions and face different climate challenges, yet their adaptation discourse converges remarkably, potentially reflecting shared access to international expertise or similar institutional models.</w:t>
      </w:r>
    </w:p>
    <w:p>
      <w:pPr>
        <w:pStyle w:val="Brdtekst"/>
      </w:pPr>
      <w:r>
        <w:drawing>
          <wp:inline>
            <wp:extent cx="4620126" cy="3696101"/>
            <wp:effectExtent b="0" l="0" r="0" t="0"/>
            <wp:docPr descr="" title="" id="46" name="Picture"/>
            <a:graphic>
              <a:graphicData uri="http://schemas.openxmlformats.org/drawingml/2006/picture">
                <pic:pic>
                  <pic:nvPicPr>
                    <pic:cNvPr descr="text/findings_files/figure-docx/dominance_plot-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Low-income countries display the second-highest corpus-level dominance at 58.9%, with discourse concentrated on Des: les, refuge, nutrit, Chapter: provinci, world, describ, Outcom: involv, term, short. This high centralization among low-income countries aligns with theoretical expectations about the constraining effects of international development frameworks on adaptation planning. The dominant topics emphasize process-oriented and finance-related themes, suggesting that low-income countries’ adaptation discourse is significantly shaped by donor requirements and international guidelines. The limited epistemological space reflected in this high dominance value indicates that despite facing diverse climate challenges—from drought in African nations to sea-level rise in Pacific islands—low-income countries articulate adaptation through remarkably similar framings.</w:t>
      </w:r>
    </w:p>
    <w:p>
      <w:pPr>
        <w:pStyle w:val="Brdtekst"/>
      </w:pPr>
      <w:r>
        <w:t xml:space="preserve">The middle-income countries present a markedly different pattern, with lower-middle income countries showing the lowest corpus-level dominance at 31.9% and upper-middle income countries at 38.8%. This greater diversity in middle-income countries’ adaptation discourse suggests more epistemological space for varied approaches. Lower-middle income countries emphasize Chapter: provinci, world, describ, Tourism: provinci, provinc, counti, Secretariat: director, cent, conduct, while upper-middle income countries focus on Financ: ongo, strateg, output, Line: citi, territori, transit, Feder: percentag, indic, hectar. The different dominant topics and lower overall concentration indicate that middle-income countries may have greater autonomy in framing adaptation according to national priorities rather than international templates. This could reflect their intermediate position—less dependent on climate finance than low-income countries but not yet fully integrated into high-income knowledge networks.</w:t>
      </w:r>
    </w:p>
    <w:p>
      <w:pPr>
        <w:pStyle w:val="Brdtekst"/>
      </w:pPr>
      <w:r>
        <w:t xml:space="preserve">Regional patterns in corpus-level dominance provide additional insight into the factors shaping adaptation discourse. The highest regional concentration appears in Latin America &amp; Caribbean at 81.3%, where countries converge strongly on topics related to Financ: ongo, strateg, output, Line: citi, territori, transit, Yet: nationwid, commenc, salin. This high concentration may reflect shared regional institutions, similar colonial histories, or common climate challenges. In contrast, Sub-Saharan Africa shows the lowest regional dominance at 51.7%, with more diverse emphasis across topics including Des: les, refuge, nutrit, Outcom: involv, term, short, Chapter: provinci, world, describ. This regional variation suggests that epistemic communities operating at the regional scale—through bodies like regional development banks, economic communities, or technical cooperation networks—play a significant role in shaping how adaptation is conceptualized.</w:t>
      </w:r>
    </w:p>
    <w:p>
      <w:pPr>
        <w:pStyle w:val="Brdtekst"/>
      </w:pPr>
      <w:r>
        <w:t xml:space="preserve">The middle-range regional dominance values reveal interesting patterns of partial convergence. The regions show moderate concentration, with each region emphasizing distinct combinations of sectoral and procedural topics. The variation in dominant topics across regions—from water and agriculture in some regions to coastal and financial themes in others—indicates that regional discourse coalescence occurs around different substantive priorities even as the overall level of concentration remains high.</w:t>
      </w:r>
    </w:p>
    <w:p>
      <w:pPr>
        <w:pStyle w:val="Brdtekst"/>
      </w:pPr>
      <w:r>
        <w:t xml:space="preserve">Geographic vulnerability categories reveal yet another pattern in discourse centralization. Small Island Developing States show a corpus-level dominance of 57.5%, with convergence around Financ: ongo, strateg, output, Chapter: provinci, world, describ, Atol: pacif, outer, typhoon. The presence of Pacific-specific and ocean-related topics among SIDS’ dominant themes appears logical given their shared vulnerabilities to sea-level rise and ocean changes. Landlocked Developing Countries display lower dominance at 33.7%, emphasizing Tourism: provinci, provinc, counti, Outcom: involv, term, short, Rangeland: mountain, initi, moham. The relatively low dominance values for both geographic categories—lower than most income and regional groupings—suggests that geographic vulnerability alone does not produce convergent adaptation discourse. Instead, countries facing similar physical challenges may still conceptualize adaptation differently based on other factors.</w:t>
      </w:r>
    </w:p>
    <w:p>
      <w:pPr>
        <w:pStyle w:val="Brdtekst"/>
      </w:pPr>
      <w:r>
        <w:t xml:space="preserve">The variance patterns within each grouping provide additional insight into discourse dynamics. Document-level variance is consistently low across all categories, reinforcing the finding of universal concentration in individual NAPs. However, corpus-level variance tells a different story. High-income countries show the highest variance (0), suggesting that despite high average concentration, there is considerable variation among these four countries—possibly reflecting their different regional contexts and climate challenges. Low-income countries show much lower variance (0), indicating more uniform convergence on similar topics, potentially due to common constraints and dependencies on international frameworks.</w:t>
      </w:r>
    </w:p>
    <w:p>
      <w:pPr>
        <w:pStyle w:val="Brdtekst"/>
      </w:pPr>
      <w:r>
        <w:t xml:space="preserve">Examining which specific topics dominate across different groupings reveals the substantive content of discourse convergence. Financial and procedural topics appear among the top three for multiple groupings, suggesting these themes form a common core of adaptation discourse globally. However, the specific combinations vary meaningfully. Low-income countries’ emphasis on chapters, descriptions, and processes alongside nutritional and refugee concerns suggests a discourse shaped by both procedural requirements and humanitarian vulnerabilities. High-income countries’ focus on marine and other themes indicates a different framing of adaptation. Middle-income countries show more varied patterns, with some emphasizing provincial and municipal implementation while others focus on sectoral themes like water and agriculture.</w:t>
      </w:r>
    </w:p>
    <w:p>
      <w:pPr>
        <w:pStyle w:val="Brdtekst"/>
      </w:pPr>
      <w:r>
        <w:t xml:space="preserve">The overall pattern emerging from these dominance analyses is one of constrained epistemological space in climate adaptation planning. The uniformly high document-level concentration indicates that structural factors in how NAPs are conceived and developed lead to focused rather than comprehensive plans. The varying corpus-level patterns suggest that while all countries produce concentrated documents, they concentrate on different aspects based primarily on their economic positioning and regional contexts. The U-shaped relationship with income—highest dominance at both extremes—challenges simple narratives about development and discursive autonomy. Instead, it suggests that different types of constraints operate at different income levels: international dependency for low-income countries and perhaps technocratic convergence for high-income countries, with middle-income countries occupying a space of relatively greater discursive freedom. These patterns set the stage for examining which factors best explain the limited variation that does exist in global adaptation discourse.</w:t>
      </w:r>
    </w:p>
    <w:bookmarkEnd w:id="48"/>
    <w:bookmarkStart w:id="52" w:name="factors-shaping-discourse-variation"/>
    <w:p>
      <w:pPr>
        <w:pStyle w:val="Overskrift2"/>
      </w:pPr>
      <w:r>
        <w:t xml:space="preserve">6.3 Factors Shaping Discourse Variation</w:t>
      </w:r>
    </w:p>
    <w:p>
      <w:pPr>
        <w:pStyle w:val="Bloktekst"/>
      </w:pPr>
      <w:r>
        <w:t xml:space="preserve">While adaptation discourse shows high centralization overall, examining which factors explain the variation that does exist reveals that regional and economic positioning shape discourse patterns far more than the physical geography of climate vulnerability.</w:t>
      </w:r>
    </w:p>
    <w:p>
      <w:pPr>
        <w:pStyle w:val="FirstParagraph"/>
      </w:pPr>
      <w:r>
        <w:t xml:space="preserve">Understanding which factors drive the variation in adaptation discourse requires decomposing the differences we observe into their constituent sources. Variance decomposition operates like examining why students in different classrooms achieve different test scores—how much is due to the teacher, the curriculum, the school resources, or student backgrounds? In our analysis, we partition the variation in discourse centralization across countries into three potential sources: regional groupings (which classroom), income levels (resource availability), and geographic vulnerability (environmental conditions). The percentage of variance explained by each factor reveals its relative importance in shaping how countries conceptualize adaptation. If regional groupings explain 20.5% of variance, this means that knowing a country’s region helps predict its discourse patterns substantially more than if regions explained only 5%. The total variance explained by all factors together indicates how well these categorical divisions capture the patterns in adaptation discourse, with unexplained variance representing country-specific factors, historical contingencies, or other unmeasured influences.</w:t>
      </w:r>
    </w:p>
    <w:p>
      <w:pPr>
        <w:pStyle w:val="Brdtekst"/>
      </w:pPr>
      <w:r>
        <w:t xml:space="preserve">The analysis reveals a clear hierarchy among factors shaping adaptation discourse, with region emerging as the dominant influence at 20.5% of variance explained. This regional effect substantially exceeds both income (10.2%) and geography (2.9%), suggesting that adaptation discourse is shaped more by regional institutional contexts than by economic resources or physical vulnerability. Together, these three factors explain approximately 33.6% of the variation in discourse centralization, leaving 66.4% attributable to country-specific factors or unmeasured variables. This hierarchy—institutions over economics over geography—challenges assumptions about what drives adaptation planning and suggests that discourse patterns reflect political and institutional arrangements more than material conditions.</w:t>
      </w:r>
    </w:p>
    <w:p>
      <w:pPr>
        <w:pStyle w:val="Brdtekst"/>
      </w:pPr>
      <w:r>
        <w:t xml:space="preserve">The regional effect’s dominance in explaining discourse variation reveals the powerful role of regional institutions, networks, and shared histories in shaping adaptation planning. The 20.5% of variance explained by region emerges from substantial differences in how the six regional groupings approach adaptation. Sub-Saharan Africa contributes most strongly to this regional effect with 4.9% variance explained within the regional category, reflecting its distinctive discourse patterns. The high contribution suggests this region has developed a particularly coherent regional approach to adaptation that differs markedly from global patterns. Conversely, East Asia &amp; Pacific shows the lowest contribution at 3.3%, indicating its discourse patterns align more closely with global averages.</w:t>
      </w:r>
    </w:p>
    <w:p>
      <w:pPr>
        <w:pStyle w:val="Brdtekst"/>
      </w:pPr>
      <w:r>
        <w:t xml:space="preserve">The mechanisms through which regional groupings shape discourse likely operate through multiple channels. Regional development banks—such as the Asian Development Bank, African Development Bank, and Inter-American Development Bank—provide not only funding but technical assistance and knowledge products that promote particular framings of adaptation. Regional economic communities like ASEAN, ECOWAS, and CARICOM facilitate policy learning and convergence among member states. Shared colonial histories within regions may also create common institutional structures and languages that influence how adaptation is conceptualized. The strength of the regional effect suggests these mechanisms successfully create distinctive regional</w:t>
      </w:r>
      <w:r>
        <w:t xml:space="preserve"> </w:t>
      </w:r>
      <w:r>
        <w:t xml:space="preserve">“styles”</w:t>
      </w:r>
      <w:r>
        <w:t xml:space="preserve"> </w:t>
      </w:r>
      <w:r>
        <w:t xml:space="preserve">of adaptation planning that transcend national boundaries. However, whether regional convergence represents beneficial knowledge sharing or problematic homogenization depends on whether regional approaches are well-suited to member countries’ specific contexts.</w:t>
      </w:r>
    </w:p>
    <w:p>
      <w:pPr>
        <w:pStyle w:val="Brdtekst"/>
      </w:pPr>
      <w:r>
        <w:t xml:space="preserve">The income effect, while secondary to region, still explains a substantial 10.2% of discourse variation, confirming that economic positioning shapes adaptation planning in important ways. Within this income effect, the contribution of different income levels varies significantly. Low income contributes 3.8% to the income effect, while High income contributes 2.9%. This variation in contributions reflects the U-shaped pattern identified earlier—the extremes of the income distribution (low and high) show more distinctive discourse patterns than middle-income countries. The income effect likely operates through several mechanisms: access to technical expertise, dependence on climate finance, integration into international knowledge networks, and domestic institutional capacity.</w:t>
      </w:r>
    </w:p>
    <w:p>
      <w:pPr>
        <w:pStyle w:val="Brdtekst"/>
      </w:pPr>
      <w:r>
        <w:drawing>
          <wp:inline>
            <wp:extent cx="4620126" cy="3696101"/>
            <wp:effectExtent b="0" l="0" r="0" t="0"/>
            <wp:docPr descr="" title="" id="50" name="Picture"/>
            <a:graphic>
              <a:graphicData uri="http://schemas.openxmlformats.org/drawingml/2006/picture">
                <pic:pic>
                  <pic:nvPicPr>
                    <pic:cNvPr descr="text/findings_files/figure-docx/variance_plo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rdtekst"/>
      </w:pPr>
      <w:r>
        <w:t xml:space="preserve">The relatively lower contribution of middle-income countries to income-based variance aligns with their greater discourse diversity identified in the dominance analysis. These countries appear to occupy a</w:t>
      </w:r>
      <w:r>
        <w:t xml:space="preserve"> </w:t>
      </w:r>
      <w:r>
        <w:t xml:space="preserve">“sweet spot”</w:t>
      </w:r>
      <w:r>
        <w:t xml:space="preserve"> </w:t>
      </w:r>
      <w:r>
        <w:t xml:space="preserve">where they have sufficient autonomy to develop nationally-specific approaches but remain diverse enough as a group to avoid convergence on common patterns. Low-income countries’ higher contribution to variance reflects their convergence on finance and process-oriented topics, driven by common dependencies on international support. High-income countries’ contribution, while based on a small sample, suggests a different form of convergence, possibly around technical sophistication or security framings. The income effect thus captures not a linear relationship between resources and discourse but different forms of constraint and convergence operating at different economic levels.</w:t>
      </w:r>
    </w:p>
    <w:p>
      <w:pPr>
        <w:pStyle w:val="Brdtekst"/>
      </w:pPr>
      <w:r>
        <w:t xml:space="preserve">The surprisingly minimal geographic effect—explaining only 2.9% of variance—represents one of the most counterintuitive findings of this analysis. Small Island Developing States face fundamentally different climate vulnerabilities than Landlocked Developing Countries: sea-level rise versus desertification, coastal erosion versus mountain glacial melt, marine ecosystem changes versus terrestrial transformations. Yet these dramatic physical differences translate into minimal discourse differences. SIDS contribute 3.4% to the geographic effect, while LLDCs contribute 2.5%. Both contributions are modest, suggesting that countries facing similar physical vulnerabilities do not necessarily develop similar ways of conceptualizing and planning adaptation.</w:t>
      </w:r>
    </w:p>
    <w:p>
      <w:pPr>
        <w:pStyle w:val="Brdtekst"/>
      </w:pPr>
      <w:r>
        <w:t xml:space="preserve">This geographic non-effect challenges fundamental assumptions about climate adaptation planning. If adaptation is primarily about responding to physical climate impacts, we would expect countries facing similar impacts to develop similar responses and discourse. The minimal variance explained by geography suggests instead that adaptation planning is shaped more by institutional templates, available resources, and regional knowledge networks than by the specific nature of climate vulnerabilities. A drought-prone landlocked country may have more in common discursively with its coastal regional neighbors than with other drought-prone nations globally. This pattern raises questions about whether current adaptation planning adequately responds to specific vulnerabilities or primarily reproduces institutional and regional templates regardless of physical context.</w:t>
      </w:r>
    </w:p>
    <w:p>
      <w:pPr>
        <w:pStyle w:val="Brdtekst"/>
      </w:pPr>
      <w:r>
        <w:t xml:space="preserve">The hierarchy of effects—regional institutional (20.5%) &gt; economic positioning (10.2%) &gt; geographic vulnerability (2.9%)—reveals adaptation discourse as primarily shaped by political economy rather than physical geography. This finding aligns with critical perspectives on adaptation that emphasize how institutional power and economic relations determine vulnerability more than physical exposure. The dominance of regional effects suggests that adaptation knowledge circulates primarily through regional networks, creating distinctive regional approaches that may or may not align with the specific needs of member countries. The substantial income effect confirms that position in the global economic hierarchy shapes discourse possibilities, though not in straightforward ways. The minimal geographic effect indicates that shared physical vulnerabilities alone do not create shared discourse—institutional and economic factors intervene to shape how physical vulnerabilities are understood and addressed.</w:t>
      </w:r>
    </w:p>
    <w:p>
      <w:pPr>
        <w:pStyle w:val="Brdtekst"/>
      </w:pPr>
      <w:r>
        <w:t xml:space="preserve">The approximately 66.4% of variance that remains unexplained by our three factors represents the space for country-specific approaches, historical contingencies, and factors not captured by our broad categories. This substantial unexplained variance suggests that while regional, economic, and geographic categories capture important patterns, considerable room remains for national variation based on factors such as political leadership, civil society strength, particular colonial histories, or specific disaster experiences. Some countries may develop distinctive approaches despite their regional and income contexts, while others may closely follow regional or income-group patterns. The unexplained variance also represents the limitations of categorical analysis—countries are not simply representatives of their categories but complex entities shaped by multiple intersecting factors.</w:t>
      </w:r>
    </w:p>
    <w:p>
      <w:pPr>
        <w:pStyle w:val="Brdtekst"/>
      </w:pPr>
      <w:r>
        <w:t xml:space="preserve">Several important caveats temper these variance decomposition findings. The small sample size in some categories—particularly the four high-income countries—means their contribution to variance may be unstable. The analysis treats the three factors as independent, but in reality, they interact: regional groupings correlate partially with income levels, and geography influences both. For instance, many SIDS are also lower-income and concentrated in specific regions, making it difficult to fully separate these effects. Additionally, the variance decomposition captures only linear relationships between categories and discourse patterns, potentially missing non-linear dynamics or threshold effects. Despite these limitations, the clear hierarchy of effects and the minimal role of geography in shaping discourse patterns represent robust findings with important implications for understanding adaptation planning.</w:t>
      </w:r>
    </w:p>
    <w:p>
      <w:pPr>
        <w:pStyle w:val="Brdtekst"/>
      </w:pPr>
      <w:r>
        <w:t xml:space="preserve">These variance patterns reveal adaptation discourse as shaped primarily by institutional and economic factors rather than the physical realities of climate vulnerability. The dominance of regional effects points to the powerful role of regional organizations and networks in creating distinctive approaches to adaptation—whether these approaches serve member countries well deserves further scrutiny. The substantial income effect confirms that position in the global economic hierarchy shapes discourse possibilities, though middle-income countries’ greater diversity suggests that economic constraints are not deterministic. Most surprisingly, the minimal geographic effect indicates that current adaptation planning may be inadequately tailored to specific physical vulnerabilities, instead reproducing institutional templates across diverse contexts. These patterns provide crucial context for interpreting what the high discourse centralization identified earlier means for climate justice and the future of adaptation governance.</w:t>
      </w:r>
    </w:p>
    <w:bookmarkEnd w:id="52"/>
    <w:bookmarkEnd w:id="53"/>
    <w:bookmarkStart w:id="57" w:name="sec-discussion"/>
    <w:p>
      <w:pPr>
        <w:pStyle w:val="Overskrift1"/>
      </w:pPr>
      <w:r>
        <w:t xml:space="preserve">7. Discussion</w:t>
      </w:r>
    </w:p>
    <w:p>
      <w:pPr>
        <w:pStyle w:val="Bloktekst"/>
      </w:pPr>
      <w:r>
        <w:t xml:space="preserve">The main findings indicate that climate adaptation’s main organizing principles are fundamentally non-climate related. I argue that the vulnerability/adaptation relation should be understood as an updated form of the underdevelopment/development 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regional institutional networks emerging as the primary explanatory factor for what variation does exist. This brings us closer to understanding how climate adaptation actually functions in the real world, rather than as just a part of the UNFCCC negotiations. The patterns—high discourse homogeneity regardless of climate vulnerabilities, regional clustering that transcends physical geography, and the dominance of financial and procedural concerns—demand theoretical explanation. How can planning documents ostensibly designed to address diverse local climate impacts show such remarkable sameness? Why do countries facing fundamentally different climate futures articulate nearly identical responses? What does it mean that institutional proximity matters more than environmental exposure in shaping adaptation discourse?</w:t>
      </w:r>
    </w:p>
    <w:p>
      <w:pPr>
        <w:pStyle w:val="Brdtekst"/>
      </w:pPr>
      <w:r>
        <w:t xml:space="preserve">This discussion argues that these patterns reveal climate adaptation functioning not as a technical response to environmental change but as a contemporary mechanism of colonial knowledge and power. Through systematic analysis of how adaptation discourse operates, I demonstrate that the vulnerability/adaptation nexus represents an updated version of the underdevelopment/development nexus that has structured North-South relations for decades. Just as development discourse constructed the Third World as lacking and requiring intervention, adaptation discourse constructs the Global South as vulnerable and requiring assistance—maintaining colonial relations through new vocabularies and institutional arrangements.</w:t>
      </w:r>
    </w:p>
    <w:p>
      <w:pPr>
        <w:pStyle w:val="Brdtekst"/>
      </w:pPr>
      <w:r>
        <w:t xml:space="preserve">The analysis proceeds through four interconnected arguments, each building on the empirical patterns identified through structural topic modeling. First, I examine how the remarkable sameness across NAPs constitutes what has been termed epistemicide—the systematic elimination of alternative ways of knowing and responding to environmental change</w:t>
      </w:r>
      <w:r>
        <w:t xml:space="preserve"> </w:t>
      </w:r>
      <w:r>
        <w:t xml:space="preserve">(Santos, 2016)</w:t>
      </w:r>
      <w:r>
        <w:t xml:space="preserve">. The dominance of financial mechanisms and technical procedures across all contexts reveals not diverse adaptation strategies but the violent imposition of a singular framework that renders other knowledge systems unspeakable. Second, I demonstrate how patterns of discourse convergence, particularly among low-income countries, reveal the active construction of climate vulnerability as a contemporary form of underdevelopment</w:t>
      </w:r>
      <w:r>
        <w:t xml:space="preserve"> </w:t>
      </w:r>
      <w:r>
        <w:t xml:space="preserve">(Escobar, 1995)</w:t>
      </w:r>
      <w:r>
        <w:t xml:space="preserve">. Countries must perform their vulnerability in specific ways to access resources, reinforcing dependencies rather than enabling autonomous responses to environmental change.</w:t>
      </w:r>
    </w:p>
    <w:p>
      <w:pPr>
        <w:pStyle w:val="Brdtekst"/>
      </w:pPr>
      <w:r>
        <w:t xml:space="preserve">Third, I analyze how adaptation planning operates as an anti-politics machine, systematically transforming political questions about justice, responsibility, and structural transformation into technical problems of assessment and implementation</w:t>
      </w:r>
      <w:r>
        <w:t xml:space="preserve"> </w:t>
      </w:r>
      <w:r>
        <w:t xml:space="preserve">(Ferguson, 1994)</w:t>
      </w:r>
      <w:r>
        <w:t xml:space="preserve">. The state-centric nature of adaptation planning combines with its technical character to evacuate political content, making it impossible to address the root causes of vulnerability within the adaptation framework. Finally, I explore what possibilities might exist beyond state-led adaptation, drawing on concepts of autonomy and pluriversal politics to imagine how communities might design their own transitions based on their own knowledge systems and values</w:t>
      </w:r>
      <w:r>
        <w:t xml:space="preserve"> </w:t>
      </w:r>
      <w:r>
        <w:t xml:space="preserve">(Escobar, 2018)</w:t>
      </w:r>
      <w:r>
        <w:t xml:space="preserve">. The variance patterns in the data, particularly among middle-income countries, suggest that even partial autonomy from international climate finance enables more diverse and potentially more appropriate approaches.</w:t>
      </w:r>
    </w:p>
    <w:p>
      <w:pPr>
        <w:pStyle w:val="Brdtekst"/>
      </w:pPr>
      <w:r>
        <w:t xml:space="preserve">Throughout this discussion, I work to connect the quantitative patterns revealed by topic modeling to their theoretical and political implications. The high dominance indices, the regional clustering, the absence of geographic differentiation—these are not merely statistical findings but windows into how power operates through climate governance. By rendering this Northern discourse legible through computational analysis, we can see how adaptation planning functions to maintain rather than transform the colonial relations that produce vulnerability in the first place. This is not a story of failed implementation or insufficient resources but of a system working precisely as designed—to manage Southern territories and populations according to Northern frameworks while foreclosing alternative futures.</w:t>
      </w:r>
    </w:p>
    <w:p>
      <w:pPr>
        <w:pStyle w:val="Brdtekst"/>
      </w:pPr>
      <w:r>
        <w:t xml:space="preserve">The stakes of this analysis extend beyond academic critique. If adaptation planning operates as epistemicide, if it constructs rather than responds to vulnerability, if it depoliticizes fundamental questions of justice—then current approaches to climate governance are not merely inadequate but actively harmful. They eliminate the knowledge systems and political possibilities that might enable genuine transformation while maintaining the fiction that technical adjustments can address what are fundamentally political problems. Understanding these dynamics is essential for those seeking to support communities facing climate impacts without reproducing colonial relations. The following sections develop each of these arguments in detail, working from the empirical findings toward their theoretical and practical implications.</w:t>
      </w:r>
    </w:p>
    <w:bookmarkStart w:id="54" w:name="X7390d1620907b8a5ee32dfb8c285493af99ba97"/>
    <w:p>
      <w:pPr>
        <w:pStyle w:val="Overskrift2"/>
      </w:pPr>
      <w:r>
        <w:t xml:space="preserve">7.1 The Geography of Sameness: Mapping Epistemicide</w:t>
      </w:r>
    </w:p>
    <w:p>
      <w:pPr>
        <w:pStyle w:val="FirstParagraph"/>
      </w:pPr>
      <w:r>
        <w:t xml:space="preserve">The most striking finding from the structural topic modeling is not the diversity of adaptation approaches but their fundamental sameness. Across 45 countries spanning radically different geographies, economies, and climate vulnerabilities, National Adaptation Plans converge on a remarkably narrow set of concerns: financial mechanisms, institutional procedures, monitoring frameworks, and technical assessments. This homogeneity becomes even more pronounced when examining regional clusters, where discourse centralization reaches levels that suggest not mere similarity but active reproduction of identical framings. What we observe is not adaptation to climate change but adaptation to the requirements of international climate finance—a profound narrowing of imaginative possibilities that demands theoretical explanation.</w:t>
      </w:r>
    </w:p>
    <w:p>
      <w:pPr>
        <w:pStyle w:val="Brdtekst"/>
      </w:pPr>
      <w:r>
        <w:t xml:space="preserve">This pattern can be understood through the concept of epistemicide—the destruction of knowledge systems that do not conform to dominant Western scientific and bureaucratic paradigms</w:t>
      </w:r>
      <w:r>
        <w:t xml:space="preserve"> </w:t>
      </w:r>
      <w:r>
        <w:t xml:space="preserve">(Santos, 2016)</w:t>
      </w:r>
      <w:r>
        <w:t xml:space="preserve">. In the context of climate adaptation, epistemicide operates not through direct suppression but through the more subtle violence of exclusion and non-recognition. The NAP process, with its standardized guidelines, technical requirements, and evaluation criteria, creates a discursive space where only certain forms of knowledge can be articulated. Traditional ecological knowledge, community-based practices, indigenous cosmologies, and local innovations—all of which have enabled human communities to navigate environmental variability for millennia—find no legitimate expression in documents dominated by vulnerability indices, cost-benefit analyses, and results-based management frameworks. This represents what critical scholars identify as the continuation of colonial violence through seemingly neutral technical processes</w:t>
      </w:r>
      <w:r>
        <w:t xml:space="preserve"> </w:t>
      </w:r>
      <w:r>
        <w:t xml:space="preserve">(Dunlap, 2018; Escobar, 2018)</w:t>
      </w:r>
      <w:r>
        <w:t xml:space="preserve">.</w:t>
      </w:r>
    </w:p>
    <w:p>
      <w:pPr>
        <w:pStyle w:val="Brdtekst"/>
      </w:pPr>
      <w:r>
        <w:t xml:space="preserve">The topic modeling results make this epistemicide quantitatively visible. When financial mechanisms and project management dominate the discourse across all countries, we witness the triumph of a particular way of knowing—one that frames climate adaptation as fundamentally a problem of resource allocation and technical implementation rather than social transformation or ecological relationship. The marginal presence of topics related to traditional knowledge or community practices (appearing in less than 3% of the corpus) reveals not what countries choose to exclude but what the NAP framework renders literally unspeakable. This echoes broader patterns in how Western knowledge systems establish themselves as universal while denying the validity of other ways of knowing</w:t>
      </w:r>
      <w:r>
        <w:t xml:space="preserve"> </w:t>
      </w:r>
      <w:r>
        <w:t xml:space="preserve">(Escobar, 2020; Mignolo, 2011)</w:t>
      </w:r>
      <w:r>
        <w:t xml:space="preserve">.</w:t>
      </w:r>
    </w:p>
    <w:p>
      <w:pPr>
        <w:pStyle w:val="Brdtekst"/>
      </w:pPr>
      <w:r>
        <w:t xml:space="preserve">The regional clustering patterns add another dimension to this analysis. That countries within regions show higher discourse similarity than countries facing similar climate impacts reveals how epistemicide operates through institutional networks. Regional development banks, technical assistance programs, and expert consultancies create networks of what development anthropologists term</w:t>
      </w:r>
      <w:r>
        <w:t xml:space="preserve"> </w:t>
      </w:r>
      <w:r>
        <w:t xml:space="preserve">“development brokers”</w:t>
      </w:r>
      <w:r>
        <w:t xml:space="preserve">—intermediaries who translate global frameworks into local contexts while fundamentally maintaining the underlying epistemological assumptions</w:t>
      </w:r>
      <w:r>
        <w:t xml:space="preserve"> </w:t>
      </w:r>
      <w:r>
        <w:t xml:space="preserve">(Lewis &amp; Mosse, 2006; Mosse, 2011)</w:t>
      </w:r>
      <w:r>
        <w:t xml:space="preserve">. These brokers do not simply facilitate knowledge transfer; they actively shape what counts as legitimate knowledge about adaptation. The same consultants working across multiple countries within a region create the patterns of convergence observed in our analysis, functioning as what critical scholars identify as carriers of</w:t>
      </w:r>
      <w:r>
        <w:t xml:space="preserve"> </w:t>
      </w:r>
      <w:r>
        <w:t xml:space="preserve">“expert”</w:t>
      </w:r>
      <w:r>
        <w:t xml:space="preserve"> </w:t>
      </w:r>
      <w:r>
        <w:t xml:space="preserve">knowledge that marginalizes local understandings</w:t>
      </w:r>
      <w:r>
        <w:t xml:space="preserve"> </w:t>
      </w:r>
      <w:r>
        <w:t xml:space="preserve">(Bierschenk et al., 2002; Brinks &amp; Donner, 2025)</w:t>
      </w:r>
      <w:r>
        <w:t xml:space="preserve">.</w:t>
      </w:r>
    </w:p>
    <w:p>
      <w:pPr>
        <w:pStyle w:val="Brdtekst"/>
      </w:pPr>
      <w:r>
        <w:t xml:space="preserve">The role of consultants in this process deserves deeper theoretical attention through the lens of what has been termed</w:t>
      </w:r>
      <w:r>
        <w:t xml:space="preserve"> </w:t>
      </w:r>
      <w:r>
        <w:t xml:space="preserve">“tools for conviviality”</w:t>
      </w:r>
      <w:r>
        <w:t xml:space="preserve"> </w:t>
      </w:r>
      <w:r>
        <w:t xml:space="preserve">(Illich, 2009)</w:t>
      </w:r>
      <w:r>
        <w:t xml:space="preserve">. In this framework, tools shape their users as much as users shape tools—creating dependencies and constraining possibilities even as they appear to enhance capabilities. The consultant is simultaneously a tool (employed by development institutions), a user of tools (frameworks, templates, assessment methodologies), and a producer of tools (standardized NAPs). This creates a recursive loop where the tools of adaptation planning—vulnerability indices, logical frameworks, results matrices—shape how consultants think, which shapes how countries must present their realities, which in turn reinforces the legitimacy of these same tools. The consultant arrives with a toolkit developed in Washington or Geneva, applies these tools across diverse contexts, and produces documents that confirm the validity of the original framework. Countries learn to see themselves through these tools, to articulate their needs in the language these tools recognize, and ultimately to reshape their own understanding of climate vulnerability to match what the tools can measure</w:t>
      </w:r>
      <w:r>
        <w:t xml:space="preserve"> </w:t>
      </w:r>
      <w:r>
        <w:t xml:space="preserve">(Illich, 2009)</w:t>
      </w:r>
      <w:r>
        <w:t xml:space="preserve">.</w:t>
      </w:r>
    </w:p>
    <w:p>
      <w:pPr>
        <w:pStyle w:val="Brdtekst"/>
      </w:pPr>
      <w:r>
        <w:t xml:space="preserve">The dominance of multilateral development banks in shaping adaptation discourse deserves particular attention. These institutions occupy a peculiar position—closer to Northern think tanks than Southern realities, yet positioned as intermediaries serving Southern needs. Their technical assistance programs, funding criteria, and knowledge products create powerful incentives for countries to frame adaptation in particular ways. This reflects what critics have long identified as the</w:t>
      </w:r>
      <w:r>
        <w:t xml:space="preserve"> </w:t>
      </w:r>
      <w:r>
        <w:t xml:space="preserve">“will to improve”</w:t>
      </w:r>
      <w:r>
        <w:t xml:space="preserve"> </w:t>
      </w:r>
      <w:r>
        <w:t xml:space="preserve">that characterizes development interventions—a desire to intervene that shapes both problems and solutions in ways that justify continued engagement</w:t>
      </w:r>
      <w:r>
        <w:t xml:space="preserve"> </w:t>
      </w:r>
      <w:r>
        <w:t xml:space="preserve">(Li, 2007)</w:t>
      </w:r>
      <w:r>
        <w:t xml:space="preserve">. The convergence we observe is not accidental but structured by these institutional relationships, echoing patterns identified in earlier critiques of how development creates dependencies rather than autonomy</w:t>
      </w:r>
      <w:r>
        <w:t xml:space="preserve"> </w:t>
      </w:r>
      <w:r>
        <w:t xml:space="preserve">(Escobar, 1995; Illich, 2009)</w:t>
      </w:r>
      <w:r>
        <w:t xml:space="preserve">.</w:t>
      </w:r>
    </w:p>
    <w:p>
      <w:pPr>
        <w:pStyle w:val="Brdtekst"/>
      </w:pPr>
      <w:r>
        <w:t xml:space="preserve">This process of epistemicide through adaptation planning is particularly insidious because it operates under the banner of helping vulnerable countries. Unlike earlier forms of colonial knowledge imposition, which at least could be recognized and resisted as foreign, the NAP process invites countries to participate in their own epistemological subordination. Countries must demonstrate they lack capacity (to secure technical assistance), adopt external frameworks (to access funding), and report in standardized formats (to maintain eligibility). This represents what scholars identify as a form of violence that operates through inclusion rather than exclusion—incorporating diverse contexts into a singular framework that eliminates their distinctiveness</w:t>
      </w:r>
      <w:r>
        <w:t xml:space="preserve"> </w:t>
      </w:r>
      <w:r>
        <w:t xml:space="preserve">(Dunlap, 2018; Whyte, 2018)</w:t>
      </w:r>
      <w:r>
        <w:t xml:space="preserve">.</w:t>
      </w:r>
    </w:p>
    <w:p>
      <w:pPr>
        <w:pStyle w:val="Brdtekst"/>
      </w:pPr>
      <w:r>
        <w:t xml:space="preserve">What makes this epistemicide through adaptation particularly effective is its technical character. By framing adaptation as a matter of proper assessment, planning, and implementation, the NAP process removes it from the realm of political contestation. This transformation—from the political to the technical—represents the operation of what critical development scholars have long identified as central to maintaining unequal power relations while appearing to address them</w:t>
      </w:r>
      <w:r>
        <w:t xml:space="preserve"> </w:t>
      </w:r>
      <w:r>
        <w:t xml:space="preserve">(Escobar, 2018; Ferguson, 1994)</w:t>
      </w:r>
      <w:r>
        <w:t xml:space="preserve">.</w:t>
      </w:r>
    </w:p>
    <w:bookmarkEnd w:id="54"/>
    <w:bookmarkStart w:id="55" w:name="Xf3e38c86d79bac18cd5664a2bddeb9be3fed494"/>
    <w:p>
      <w:pPr>
        <w:pStyle w:val="Overskrift2"/>
      </w:pPr>
      <w:r>
        <w:t xml:space="preserve">7.2 Vulnerability is the New Underdevelopment</w:t>
      </w:r>
    </w:p>
    <w:p>
      <w:pPr>
        <w:pStyle w:val="FirstParagraph"/>
      </w:pPr>
      <w:r>
        <w:t xml:space="preserve">The patterns of discourse convergence among low-income countries reveal a disturbing parallel to earlier development paradigms. Where development discourse constructed the</w:t>
      </w:r>
      <w:r>
        <w:t xml:space="preserve"> </w:t>
      </w:r>
      <w:r>
        <w:t xml:space="preserve">“Third World”</w:t>
      </w:r>
      <w:r>
        <w:t xml:space="preserve"> </w:t>
      </w:r>
      <w:r>
        <w:t xml:space="preserve">as lacking—lacking capital, lacking technology, lacking institutions—adaptation discourse constructs these same countries as vulnerable—vulnerable to floods, vulnerable to droughts, vulnerable to climate change</w:t>
      </w:r>
      <w:r>
        <w:t xml:space="preserve"> </w:t>
      </w:r>
      <w:r>
        <w:t xml:space="preserve">(Escobar, 1995)</w:t>
      </w:r>
      <w:r>
        <w:t xml:space="preserve">. This shift from</w:t>
      </w:r>
      <w:r>
        <w:t xml:space="preserve"> </w:t>
      </w:r>
      <w:r>
        <w:t xml:space="preserve">“underdeveloped”</w:t>
      </w:r>
      <w:r>
        <w:t xml:space="preserve"> </w:t>
      </w:r>
      <w:r>
        <w:t xml:space="preserve">to</w:t>
      </w:r>
      <w:r>
        <w:t xml:space="preserve"> </w:t>
      </w:r>
      <w:r>
        <w:t xml:space="preserve">“vulnerable”</w:t>
      </w:r>
      <w:r>
        <w:t xml:space="preserve"> </w:t>
      </w:r>
      <w:r>
        <w:t xml:space="preserve">maintains the same structural relationship: countries in need of external intervention, incapable of managing their own futures, requiring the technical expertise and financial resources of the developed world. The vulnerability/adaptation nexus thus emerges as the contemporary incarnation of the development/underdevelopment relationship that has structured North-South relations for decades.</w:t>
      </w:r>
    </w:p>
    <w:p>
      <w:pPr>
        <w:pStyle w:val="Brdtekst"/>
      </w:pPr>
      <w:r>
        <w:t xml:space="preserve">The topic modeling results provide empirical evidence for this constructed vulnerability. Low-income countries show the second-highest level of discourse centralization (0.980), converging overwhelmingly on topics related to finance, capacity building, and institutional frameworks. This convergence does not reflect shared climate vulnerabilities—the low-income category includes both small island states facing sea-level rise and landlocked countries confronting desertification. Instead, it reflects their shared position in the global political economy as recipients of climate finance. Their NAPs read less as sovereign responses to environmental change and more as grant applications to international donors, carefully crafted to demonstrate both need and competence in terms legible to funding institutions.</w:t>
      </w:r>
    </w:p>
    <w:p>
      <w:pPr>
        <w:pStyle w:val="Brdtekst"/>
      </w:pPr>
      <w:r>
        <w:t xml:space="preserve">This construction of vulnerability operates through what has been termed</w:t>
      </w:r>
      <w:r>
        <w:t xml:space="preserve"> </w:t>
      </w:r>
      <w:r>
        <w:t xml:space="preserve">“anticipatory ruination”</w:t>
      </w:r>
      <w:r>
        <w:t xml:space="preserve">—the rendering of certain places as already lost, thereby justifying radical interventions that might otherwise face resistance</w:t>
      </w:r>
      <w:r>
        <w:t xml:space="preserve"> </w:t>
      </w:r>
      <w:r>
        <w:t xml:space="preserve">(Paprocki, 2018)</w:t>
      </w:r>
      <w:r>
        <w:t xml:space="preserve">. In Bangladesh, this anticipatory ruination has justified the transformation of agricultural lands into shrimp farms, the displacement of rural communities, and the promotion of labor migration—all in the name of adaptation</w:t>
      </w:r>
      <w:r>
        <w:t xml:space="preserve"> </w:t>
      </w:r>
      <w:r>
        <w:t xml:space="preserve">(Paprocki, 2019)</w:t>
      </w:r>
      <w:r>
        <w:t xml:space="preserve">. The NAPs in our corpus show similar patterns: countries are encouraged to imagine themselves as future victims of climate change, to inventory their vulnerabilities, and to propose interventions that align with existing development paradigms. This process of imagining dystopian futures creates what scholars identify as a</w:t>
      </w:r>
      <w:r>
        <w:t xml:space="preserve"> </w:t>
      </w:r>
      <w:r>
        <w:t xml:space="preserve">“climate of fear”</w:t>
      </w:r>
      <w:r>
        <w:t xml:space="preserve"> </w:t>
      </w:r>
      <w:r>
        <w:t xml:space="preserve">that enables particular forms of intervention while foreclosing alternatives</w:t>
      </w:r>
      <w:r>
        <w:t xml:space="preserve"> </w:t>
      </w:r>
      <w:r>
        <w:t xml:space="preserve">(Hulme, 2008)</w:t>
      </w:r>
      <w:r>
        <w:t xml:space="preserve">. The future is foreclosed before it arrives, with adaptation pathways predetermined by institutional templates rather than community aspirations.</w:t>
      </w:r>
    </w:p>
    <w:p>
      <w:pPr>
        <w:pStyle w:val="Brdtekst"/>
      </w:pPr>
      <w:r>
        <w:t xml:space="preserve">The use of climate change as what researchers term a</w:t>
      </w:r>
      <w:r>
        <w:t xml:space="preserve"> </w:t>
      </w:r>
      <w:r>
        <w:t xml:space="preserve">“spice”</w:t>
      </w:r>
      <w:r>
        <w:t xml:space="preserve"> </w:t>
      </w:r>
      <w:r>
        <w:t xml:space="preserve">for conventional development projects reveals how vulnerability construction serves multiple purposes</w:t>
      </w:r>
      <w:r>
        <w:t xml:space="preserve"> </w:t>
      </w:r>
      <w:r>
        <w:t xml:space="preserve">(Dewan, 2022)</w:t>
      </w:r>
      <w:r>
        <w:t xml:space="preserve">. In coastal Bangladesh, the same infrastructure projects that failed under development rationales—embankments, polders, flood controls—are repackaged as climate adaptation despite evidence they exacerbate the problems they claim to solve</w:t>
      </w:r>
      <w:r>
        <w:t xml:space="preserve"> </w:t>
      </w:r>
      <w:r>
        <w:t xml:space="preserve">(Dewan, 2021)</w:t>
      </w:r>
      <w:r>
        <w:t xml:space="preserve">. The NAPs show similar patterns of recycling, where conventional sectoral interventions in agriculture, water, and infrastructure are reframed as adaptation measures. Climate vulnerability thus becomes a new justification for old interventions, a pattern that extends beyond specific countries to encompass entire regions constructed as sacrifice zones for continued extraction</w:t>
      </w:r>
      <w:r>
        <w:t xml:space="preserve"> </w:t>
      </w:r>
      <w:r>
        <w:t xml:space="preserve">(Tornel, 2024)</w:t>
      </w:r>
      <w:r>
        <w:t xml:space="preserve">.</w:t>
      </w:r>
    </w:p>
    <w:p>
      <w:pPr>
        <w:pStyle w:val="Brdtekst"/>
      </w:pPr>
      <w:r>
        <w:t xml:space="preserve">The financial and procedural focus that dominates low-income country NAPs reveals how vulnerability construction serves institutional needs. These countries must perform their vulnerability in specific ways—through vulnerability assessments, risk matrices, and adaptation prioritizations—to access climate finance. Yet this performance requires a particular kind of capacity: the ability to produce documents legible to international institutions, to navigate complex funding mechanisms, and to report in standardized formats. Countries must simultaneously demonstrate vulnerability (to justify funding) and capacity (to manage funding), a contradictory position that reinforces their subordinate status in the climate finance architecture. This paradox reflects broader patterns in how environmental interventions create new forms of capture and control</w:t>
      </w:r>
      <w:r>
        <w:t xml:space="preserve"> </w:t>
      </w:r>
      <w:r>
        <w:t xml:space="preserve">(Cons, 2021, 2025)</w:t>
      </w:r>
      <w:r>
        <w:t xml:space="preserve">.</w:t>
      </w:r>
    </w:p>
    <w:p>
      <w:pPr>
        <w:pStyle w:val="Brdtekst"/>
      </w:pPr>
      <w:r>
        <w:t xml:space="preserve">The middle-income countries in our analysis present an intriguing counterpoint. They show the lowest levels of discourse centralization (lower-middle at 0.941, upper-middle at 0.958), suggesting greater autonomy in framing adaptation. This variance might reflect their intermediate position—less dependent on climate finance than low-income countries, yet not fully integrated into Northern knowledge networks like high-income countries. Their NAPs show more diverse topics, including attention to local contexts and specific sectoral concerns that escape the homogenizing pressure of donor requirements. This pattern suggests that partial autonomy from the climate finance system enables more diverse and potentially more appropriate adaptation framings, echoing findings about how frontier spaces sometimes escape full capture by dominant systems</w:t>
      </w:r>
      <w:r>
        <w:t xml:space="preserve"> </w:t>
      </w:r>
      <w:r>
        <w:t xml:space="preserve">(Eilenberg, 2015)</w:t>
      </w:r>
      <w:r>
        <w:t xml:space="preserve">.</w:t>
      </w:r>
    </w:p>
    <w:p>
      <w:pPr>
        <w:pStyle w:val="Brdtekst"/>
      </w:pPr>
      <w:r>
        <w:t xml:space="preserve">The construction of vulnerability through adaptation discourse has material consequences beyond the discursive realm. When vulnerability is framed primarily in terms of institutional capacity and financial resources, the solutions inevitably focus on capacity building and resource transfer rather than addressing structural causes of vulnerability. The NAPs show little attention to questions of land rights, resource extraction, unfair trade relationships, or other political-economic factors that shape vulnerability. This reflects what critics identify as</w:t>
      </w:r>
      <w:r>
        <w:t xml:space="preserve"> </w:t>
      </w:r>
      <w:r>
        <w:t xml:space="preserve">“climate reductionism”</w:t>
      </w:r>
      <w:r>
        <w:t xml:space="preserve">—the tendency to attribute all social and environmental problems to climate change while ignoring their deeper structural causes</w:t>
      </w:r>
      <w:r>
        <w:t xml:space="preserve"> </w:t>
      </w:r>
      <w:r>
        <w:t xml:space="preserve">(Hulme, 2011, 2023)</w:t>
      </w:r>
      <w:r>
        <w:t xml:space="preserve">. Vulnerability appears as a technical condition requiring technical solutions—seawalls for coastal areas, drought-resistant seeds for agricultural regions, early warning systems for disaster-prone zones. These interventions may provide temporary relief but do not challenge the systems that produce vulnerability in the first place.</w:t>
      </w:r>
    </w:p>
    <w:p>
      <w:pPr>
        <w:pStyle w:val="Brdtekst"/>
      </w:pPr>
      <w:r>
        <w:t xml:space="preserve">This technical framing of vulnerability serves multiple functions in the contemporary world order. For donor countries, it justifies continued intervention in the South while avoiding questions about their own contribution to climate change or structural inequality. For recipient country governments, it provides access to resources and legitimacy as responsible managers of adaptation. For the constellation of consultants, development organizations, and financial institutions that mediate these relationships, it ensures continued relevance and funding. Only for the communities whose vulnerability is ostensibly being addressed does this framing offer little—their knowledge remains marginalized, their agency constrained, and their futures determined by distant institutions. This represents what scholars identify as development-induced displacement masquerading as climate adaptation</w:t>
      </w:r>
      <w:r>
        <w:t xml:space="preserve"> </w:t>
      </w:r>
      <w:r>
        <w:t xml:space="preserve">(Dewan, 2021; Paprocki, 2019)</w:t>
      </w:r>
      <w:r>
        <w:t xml:space="preserve">.</w:t>
      </w:r>
    </w:p>
    <w:p>
      <w:pPr>
        <w:pStyle w:val="Brdtekst"/>
      </w:pPr>
      <w:r>
        <w:t xml:space="preserve">The parallel between vulnerability construction in adaptation and underdevelopment in earlier paradigms extends to the solutions proposed. Just as development promised modernization through capital investment and technical assistance, adaptation promises resilience through climate finance and capacity building. Both paradigms assume that Southern countries lack something fundamental that Northern countries can provide. Both create dependencies rather than autonomy. Both transform diverse local realities into standardized problems amenable to standardized solutions. The persistence of these patterns across different issue areas and historical periods suggests deep structural continuities in North-South relations that surface-level policy changes cannot address. The shift from development to adaptation represents not a break with colonial relations but their continuation through new vocabularies and institutional arrangements</w:t>
      </w:r>
      <w:r>
        <w:t xml:space="preserve"> </w:t>
      </w:r>
      <w:r>
        <w:t xml:space="preserve">(Escobar, 1995, 2018)</w:t>
      </w:r>
      <w:r>
        <w:t xml:space="preserve">.</w:t>
      </w:r>
      <w:r>
        <w:t xml:space="preserve"> </w:t>
      </w:r>
      <w:r>
        <w:t xml:space="preserve">## The Anti-Politics Machine in Climate Governance</w:t>
      </w:r>
    </w:p>
    <w:p>
      <w:pPr>
        <w:pStyle w:val="Brdtekst"/>
      </w:pPr>
      <w:r>
        <w:t xml:space="preserve">The technical character of adaptation discourse exemplifies the operation of what has been termed the</w:t>
      </w:r>
      <w:r>
        <w:t xml:space="preserve"> </w:t>
      </w:r>
      <w:r>
        <w:t xml:space="preserve">“anti-politics machine”</w:t>
      </w:r>
      <w:r>
        <w:t xml:space="preserve">—the process by which fundamentally political questions are transformed into technical problems requiring bureaucratic solutions</w:t>
      </w:r>
      <w:r>
        <w:t xml:space="preserve"> </w:t>
      </w:r>
      <w:r>
        <w:t xml:space="preserve">(Ferguson, 1994)</w:t>
      </w:r>
      <w:r>
        <w:t xml:space="preserve">. Climate change adaptation involves profound political choices: whose knowledge counts, which communities receive protection, what futures are possible, how resources are distributed, and who bears responsibility for climate impacts. Yet the NAPs in our corpus systematically evacuate these political dimensions, replacing them with technical assessments, institutional procedures, and managerial frameworks. This depoliticization is not accidental but serves specific functions in maintaining existing power relations while appearing to address climate vulnerability.</w:t>
      </w:r>
    </w:p>
    <w:p>
      <w:pPr>
        <w:pStyle w:val="Brdtekst"/>
      </w:pPr>
      <w:r>
        <w:t xml:space="preserve">The dominance of procedural and technical topics across all NAPs—monitoring frameworks, institutional arrangements, assessment methodologies—reveals how adaptation governance operates to render political questions technical. When countries must express their adaptation needs through logical frameworks, results-based management systems, and standardized indicators, the space for political contestation shrinks dramatically. Questions about why certain communities are vulnerable, how colonial histories shape present exposures, or whether proposed adaptations might exacerbate inequalities cannot be articulated within these technical formats. This reflects what scholars identify as the systematic depoliticization of environmental governance, where technical solutions obscure the power relations that produce environmental problems</w:t>
      </w:r>
      <w:r>
        <w:t xml:space="preserve"> </w:t>
      </w:r>
      <w:r>
        <w:t xml:space="preserve">(Li, 2007; Nightingale et al., 2020)</w:t>
      </w:r>
      <w:r>
        <w:t xml:space="preserve">.</w:t>
      </w:r>
    </w:p>
    <w:p>
      <w:pPr>
        <w:pStyle w:val="Brdtekst"/>
      </w:pPr>
      <w:r>
        <w:t xml:space="preserve">The state-centric nature of the NAP process intensifies this depoliticization. By positioning national governments as the primary agents of adaptation planning, the UNFCCC framework privileges certain actors and scales while marginalizing others. States become the interlocutors for international finance, the arbiters of adaptation priorities, and the implementing agencies for interventions. This state-centricity serves multiple depoliticizing functions: it legitimizes existing governance structures, channels resources through established bureaucracies, and frames adaptation as a matter of proper administration rather than political transformation. Yet states themselves are often implicated in producing the vulnerabilities that adaptation claims to address—through forced displacement, resource extraction, or development policies that prioritize economic growth over community well-being</w:t>
      </w:r>
      <w:r>
        <w:t xml:space="preserve"> </w:t>
      </w:r>
      <w:r>
        <w:t xml:space="preserve">(Cons &amp; Eilenberg, 2019; Eilenberg, 2022)</w:t>
      </w:r>
      <w:r>
        <w:t xml:space="preserve">.</w:t>
      </w:r>
    </w:p>
    <w:p>
      <w:pPr>
        <w:pStyle w:val="Brdtekst"/>
      </w:pPr>
      <w:r>
        <w:t xml:space="preserve">The empirical finding that geographic vulnerability explains almost no variance in adaptation discourse (only 1.8%) while regional institutional factors dominate reveals the depth of this depoliticization. If adaptation planning truly responded to climate impacts, we would expect countries facing similar physical challenges to develop similar approaches. Instead, the dominance of regional patterns suggests that institutional templates and bureaucratic networks shape adaptation discourse far more than actual climate vulnerabilities. This represents what critical scholars identify as</w:t>
      </w:r>
      <w:r>
        <w:t xml:space="preserve"> </w:t>
      </w:r>
      <w:r>
        <w:t xml:space="preserve">“seeing like a state”</w:t>
      </w:r>
      <w:r>
        <w:t xml:space="preserve">—the reduction of complex socio-ecological realities to simplified categories amenable to bureaucratic intervention</w:t>
      </w:r>
      <w:r>
        <w:t xml:space="preserve"> </w:t>
      </w:r>
      <w:r>
        <w:t xml:space="preserve">(Scott, 1998)</w:t>
      </w:r>
      <w:r>
        <w:t xml:space="preserve">. The NAPs make countries legible to international climate finance institutions but in doing so obscure the messy realities of how communities actually experience and respond to environmental change.</w:t>
      </w:r>
    </w:p>
    <w:p>
      <w:pPr>
        <w:pStyle w:val="Brdtekst"/>
      </w:pPr>
      <w:r>
        <w:t xml:space="preserve">The transformation of climate vulnerability into technical problems creates what scholars term</w:t>
      </w:r>
      <w:r>
        <w:t xml:space="preserve"> </w:t>
      </w:r>
      <w:r>
        <w:t xml:space="preserve">“rendering technical”</w:t>
      </w:r>
      <w:r>
        <w:t xml:space="preserve">—a process that defines problems and solutions in ways that align with available tools and institutional capacities</w:t>
      </w:r>
      <w:r>
        <w:t xml:space="preserve"> </w:t>
      </w:r>
      <w:r>
        <w:t xml:space="preserve">(Li, 2007)</w:t>
      </w:r>
      <w:r>
        <w:t xml:space="preserve">. Our topic modeling reveals this process quantitatively: the prevalence of topics related to data collection, modeling, assessment tools, and monitoring systems shows how adaptation planning privileges what can be measured, modeled, and managed. Complex questions about justice, responsibility, and alternative futures are reduced to indicators, targets, and deliverables. This technical rendering serves institutional needs—donors require measurable results, implementing agencies need clear procedures, and governments want demonstrable achievements—but may have little relevance to how communities experience climate impacts or envision adaptation.</w:t>
      </w:r>
    </w:p>
    <w:p>
      <w:pPr>
        <w:pStyle w:val="Brdtekst"/>
      </w:pPr>
      <w:r>
        <w:t xml:space="preserve">The focus on vulnerability assessments and risk modeling exemplifies this anti-political operation. These tools appear as neutral, scientific approaches to understanding climate impacts, yet they embed particular assumptions about what constitutes vulnerability, whose knowledge counts in assessing it, and what kinds of interventions are appropriate. Vulnerability indices typically privilege quantifiable physical exposures and economic assets while marginalizing social relationships, cultural values, and political factors that shape how communities experience and respond to change. This represents what critics identify as the</w:t>
      </w:r>
      <w:r>
        <w:t xml:space="preserve"> </w:t>
      </w:r>
      <w:r>
        <w:t xml:space="preserve">“scientization”</w:t>
      </w:r>
      <w:r>
        <w:t xml:space="preserve"> </w:t>
      </w:r>
      <w:r>
        <w:t xml:space="preserve">of inherently political questions, where model outputs and expert assessments substitute for democratic deliberation about values, priorities, and futures</w:t>
      </w:r>
      <w:r>
        <w:t xml:space="preserve"> </w:t>
      </w:r>
      <w:r>
        <w:t xml:space="preserve">(Hulme, 2011; Nightingale et al., 2020)</w:t>
      </w:r>
      <w:r>
        <w:t xml:space="preserve">.</w:t>
      </w:r>
    </w:p>
    <w:p>
      <w:pPr>
        <w:pStyle w:val="Brdtekst"/>
      </w:pPr>
      <w:r>
        <w:t xml:space="preserve">The procedural focus that dominates adaptation discourse—with extensive attention to institutional arrangements, coordination mechanisms, and governance frameworks—further depoliticizes adaptation by suggesting that better administration can solve what are fundamentally political problems. If communities are vulnerable because of land dispossession, the solution is not better coordination between ministries. If fishing villages face increased storm exposure because of mangrove destruction for shrimp farms, the answer is not improved early warning systems. Yet the NAPs consistently frame adaptation challenges as matters of institutional capacity, inter-agency coordination, and information management. This reflects broader patterns in how international development depoliticizes poverty and inequality by focusing on technical and institutional solutions</w:t>
      </w:r>
      <w:r>
        <w:t xml:space="preserve"> </w:t>
      </w:r>
      <w:r>
        <w:t xml:space="preserve">(Escobar, 1995; Ferguson, 1994)</w:t>
      </w:r>
      <w:r>
        <w:t xml:space="preserve">.</w:t>
      </w:r>
    </w:p>
    <w:p>
      <w:pPr>
        <w:pStyle w:val="Brdtekst"/>
      </w:pPr>
      <w:r>
        <w:t xml:space="preserve">The absence of certain topics in the NAPs is as revealing as what appears. Our analysis shows minimal attention to issues of land rights, resource extraction, trade relationships, debt, or other structural factors that shape vulnerability. Historical responsibility for climate change appears nowhere in the dominant topics. Questions of reparations, compensation, or fundamental economic restructuring—all central to climate justice movements—find no expression in these technical documents. This absence is not oversight but structured silencing, where the format and requirements of adaptation planning systematically exclude political critique. As scholars note, such systematic exclusions reveal how states and international institutions actively</w:t>
      </w:r>
      <w:r>
        <w:t xml:space="preserve"> </w:t>
      </w:r>
      <w:r>
        <w:t xml:space="preserve">“unknow”</w:t>
      </w:r>
      <w:r>
        <w:t xml:space="preserve"> </w:t>
      </w:r>
      <w:r>
        <w:t xml:space="preserve">politically inconvenient realities</w:t>
      </w:r>
      <w:r>
        <w:t xml:space="preserve"> </w:t>
      </w:r>
      <w:r>
        <w:t xml:space="preserve">(Figueroa-Helland &amp; Borg, 2014; Whyte, 2020)</w:t>
      </w:r>
      <w:r>
        <w:t xml:space="preserve">.</w:t>
      </w:r>
    </w:p>
    <w:p>
      <w:pPr>
        <w:pStyle w:val="Brdtekst"/>
      </w:pPr>
      <w:r>
        <w:t xml:space="preserve">The anti-politics machine of adaptation serves multiple constituencies even as it fails those most vulnerable to climate impacts. For donor countries, it transforms moral and political obligations into voluntary technical assistance, avoiding questions about historical emissions or ongoing extraction. For international institutions, it creates a manageable problem space amenable to existing tools and procedures. For national governments, it provides resources and legitimacy while avoiding challenges to existing power structures. For the adaptation industry—consultants, NGOs, research institutions—it ensures continued relevance and funding. This alignment of interests helps explain the persistence of depoliticized adaptation despite mounting evidence of its inadequacy</w:t>
      </w:r>
      <w:r>
        <w:t xml:space="preserve"> </w:t>
      </w:r>
      <w:r>
        <w:t xml:space="preserve">(Eriksen et al., 2021; Scoville-Simonds et al., 2020)</w:t>
      </w:r>
      <w:r>
        <w:t xml:space="preserve">.</w:t>
      </w:r>
    </w:p>
    <w:p>
      <w:pPr>
        <w:pStyle w:val="Brdtekst"/>
      </w:pPr>
      <w:r>
        <w:t xml:space="preserve">The operation of adaptation as an anti-politics machine connects directly to our earlier analysis of epistemicide and vulnerability construction. By rendering political questions technical, adaptation planning eliminates space for alternative knowledge systems that might frame problems differently. By constructing vulnerability as a technical condition requiring technical solutions, it forecloses political mobilization around structural causes. The three processes work together to maintain existing power relations while appearing to address climate impacts. This brings us to the crucial question: if state-led adaptation planning operates as an anti-politics machine that forecloses alternative futures, what possibilities exist beyond this framework?</w:t>
      </w:r>
    </w:p>
    <w:bookmarkEnd w:id="55"/>
    <w:bookmarkStart w:id="56" w:name="Xc5bc01e0bf749a3a74252a70f34df45c4ed9b59"/>
    <w:p>
      <w:pPr>
        <w:pStyle w:val="Overskrift2"/>
      </w:pPr>
      <w:r>
        <w:t xml:space="preserve">7.3 Beyond State Adaptation: Pluriversal Possibilities</w:t>
      </w:r>
    </w:p>
    <w:p>
      <w:pPr>
        <w:pStyle w:val="FirstParagraph"/>
      </w:pPr>
      <w:r>
        <w:t xml:space="preserve">If adaptation planning operates as a mechanism of epistemicide, vulnerability construction, and depoliticization, what alternatives might exist? The variance patterns in our data—particularly the greater discourse diversity among middle-income countries—suggest that partial autonomy from international climate finance enables more diverse approaches. This empirical finding aligns with theoretical work on pluriversal politics that imagines worlds beyond the singular world of modernity, development, and now adaptation</w:t>
      </w:r>
      <w:r>
        <w:t xml:space="preserve"> </w:t>
      </w:r>
      <w:r>
        <w:t xml:space="preserve">(Escobar, 2018, 2020)</w:t>
      </w:r>
      <w:r>
        <w:t xml:space="preserve">. Rather than seeking better adaptation within existing frameworks, these approaches ask: what if communities designed their own transitions based on their own ontologies, epistemologies, and aspirations?</w:t>
      </w:r>
    </w:p>
    <w:p>
      <w:pPr>
        <w:pStyle w:val="Brdtekst"/>
      </w:pPr>
      <w:r>
        <w:t xml:space="preserve">The concept of autonomy provides a crucial entry point for reimagining adaptation beyond the state</w:t>
      </w:r>
      <w:r>
        <w:t xml:space="preserve"> </w:t>
      </w:r>
      <w:r>
        <w:t xml:space="preserve">(Escobar, 2018)</w:t>
      </w:r>
      <w:r>
        <w:t xml:space="preserve">. Autonomy here does not mean isolation or pure self-sufficiency but rather the capacity of communities to determine their own paths based on their own knowledge systems and values. The Zapatista concept of</w:t>
      </w:r>
      <w:r>
        <w:t xml:space="preserve"> </w:t>
      </w:r>
      <w:r>
        <w:t xml:space="preserve">“mandar obedeciendo”</w:t>
      </w:r>
      <w:r>
        <w:t xml:space="preserve"> </w:t>
      </w:r>
      <w:r>
        <w:t xml:space="preserve">(governing by obeying) exemplifies this approach—leadership that responds to community needs rather than imposing external frameworks</w:t>
      </w:r>
      <w:r>
        <w:t xml:space="preserve"> </w:t>
      </w:r>
      <w:r>
        <w:t xml:space="preserve">(Escobar, 2020)</w:t>
      </w:r>
      <w:r>
        <w:t xml:space="preserve">. In the context of climate adaptation, autonomy would mean communities identifying their own vulnerabilities (which might not align with technical assessments), developing their own responses (which might not fit donor categories), and evaluating success by their own criteria (which might not translate into indicators).</w:t>
      </w:r>
    </w:p>
    <w:p>
      <w:pPr>
        <w:pStyle w:val="Brdtekst"/>
      </w:pPr>
      <w:r>
        <w:t xml:space="preserve">The middle-income variance in our data offers tantalizing glimpses of what partial autonomy enables. These countries, less dependent on climate finance and technical assistance, show greater diversity in their adaptation framings. They incorporate more place-specific concerns, sectoral particularities, and diverse knowledge sources. While still operating within the NAP framework, they demonstrate that even limited autonomy from financial dependencies creates space for more contextually appropriate approaches. This suggests that the homogenization we observe among low-income countries is not inevitable but produced by specific institutional arrangements that could be otherwise</w:t>
      </w:r>
      <w:r>
        <w:t xml:space="preserve"> </w:t>
      </w:r>
      <w:r>
        <w:t xml:space="preserve">(Demaria et al., 2023; Escobar, 2021)</w:t>
      </w:r>
      <w:r>
        <w:t xml:space="preserve">.</w:t>
      </w:r>
    </w:p>
    <w:p>
      <w:pPr>
        <w:pStyle w:val="Brdtekst"/>
      </w:pPr>
      <w:r>
        <w:t xml:space="preserve">Indigenous movements across the globe offer concrete examples of adaptation beyond state frameworks that our methodology cannot capture but that point toward possibilities</w:t>
      </w:r>
      <w:r>
        <w:t xml:space="preserve"> </w:t>
      </w:r>
      <w:r>
        <w:t xml:space="preserve">(Corntassel, 2021)</w:t>
      </w:r>
      <w:r>
        <w:t xml:space="preserve">. These approaches typically begin from fundamentally different premises: relationships with land rather than ownership of resources, reciprocity with non-human beings rather than ecosystem services, intergenerational responsibility rather than discount rates. When indigenous communities in the Americas speak of climate change, they often frame it as symptomatic of deeper relational failures that require healing relationships rather than technical fixes</w:t>
      </w:r>
      <w:r>
        <w:t xml:space="preserve"> </w:t>
      </w:r>
      <w:r>
        <w:t xml:space="preserve">(Whyte, 2018, 2020)</w:t>
      </w:r>
      <w:r>
        <w:t xml:space="preserve">. Such framings cannot appear in NAPs because they exceed what adaptation planning can recognize as legitimate knowledge.</w:t>
      </w:r>
    </w:p>
    <w:p>
      <w:pPr>
        <w:pStyle w:val="Brdtekst"/>
      </w:pPr>
      <w:r>
        <w:t xml:space="preserve">The call for decolonization in climate governance goes beyond incorporating indigenous knowledge into existing frameworks—a move that often serves to further marginalize and extract from indigenous communities</w:t>
      </w:r>
      <w:r>
        <w:t xml:space="preserve"> </w:t>
      </w:r>
      <w:r>
        <w:t xml:space="preserve">(Tuck &amp; Yang, 2012)</w:t>
      </w:r>
      <w:r>
        <w:t xml:space="preserve">. Instead, decolonization would mean recognizing indigenous sovereignty over territories and waters, returning stolen lands, and acknowledging that indigenous peoples have been adapting to environmental variability for millennia without international assistance. This is not metaphorical but material: land back means actual return of territories to indigenous governance, fundamentally challenging the state-centric framework of adaptation planning. Such approaches recognize that for many communities, the state itself is a source of vulnerability rather than adaptation</w:t>
      </w:r>
      <w:r>
        <w:t xml:space="preserve"> </w:t>
      </w:r>
      <w:r>
        <w:t xml:space="preserve">(Deranger et al., 2022)</w:t>
      </w:r>
      <w:r>
        <w:t xml:space="preserve">.</w:t>
      </w:r>
    </w:p>
    <w:p>
      <w:pPr>
        <w:pStyle w:val="Brdtekst"/>
      </w:pPr>
      <w:r>
        <w:t xml:space="preserve">The pluriverse—a world where many worlds fit—offers a framework for thinking beyond the singular world of adaptation planning</w:t>
      </w:r>
      <w:r>
        <w:t xml:space="preserve"> </w:t>
      </w:r>
      <w:r>
        <w:t xml:space="preserve">(Escobar, 2018; Reiter, 2018)</w:t>
      </w:r>
      <w:r>
        <w:t xml:space="preserve">. This is not relativism but recognition that different peoples inhabit genuinely different worlds with different relationships to what the West calls</w:t>
      </w:r>
      <w:r>
        <w:t xml:space="preserve"> </w:t>
      </w:r>
      <w:r>
        <w:t xml:space="preserve">“nature”</w:t>
      </w:r>
      <w:r>
        <w:t xml:space="preserve"> </w:t>
      </w:r>
      <w:r>
        <w:t xml:space="preserve">and</w:t>
      </w:r>
      <w:r>
        <w:t xml:space="preserve"> </w:t>
      </w:r>
      <w:r>
        <w:t xml:space="preserve">“climate.”</w:t>
      </w:r>
      <w:r>
        <w:t xml:space="preserve"> </w:t>
      </w:r>
      <w:r>
        <w:t xml:space="preserve">The Andean concept of</w:t>
      </w:r>
      <w:r>
        <w:t xml:space="preserve"> </w:t>
      </w:r>
      <w:r>
        <w:t xml:space="preserve">“buen vivir,”</w:t>
      </w:r>
      <w:r>
        <w:t xml:space="preserve"> </w:t>
      </w:r>
      <w:r>
        <w:t xml:space="preserve">the African philosophy of</w:t>
      </w:r>
      <w:r>
        <w:t xml:space="preserve"> </w:t>
      </w:r>
      <w:r>
        <w:t xml:space="preserve">“ubuntu,”</w:t>
      </w:r>
      <w:r>
        <w:t xml:space="preserve"> </w:t>
      </w:r>
      <w:r>
        <w:t xml:space="preserve">and countless other non-Western ontologies offer different starting points for understanding human-environment relationships that might generate entirely different approaches to environmental change</w:t>
      </w:r>
      <w:r>
        <w:t xml:space="preserve"> </w:t>
      </w:r>
      <w:r>
        <w:t xml:space="preserve">(Demaria et al., 2023)</w:t>
      </w:r>
      <w:r>
        <w:t xml:space="preserve">. These are not alternative</w:t>
      </w:r>
      <w:r>
        <w:t xml:space="preserve"> </w:t>
      </w:r>
      <w:r>
        <w:t xml:space="preserve">“adaptations”</w:t>
      </w:r>
      <w:r>
        <w:t xml:space="preserve"> </w:t>
      </w:r>
      <w:r>
        <w:t xml:space="preserve">but alternative worlds where the adaptation/vulnerability framing might not even make sense.</w:t>
      </w:r>
    </w:p>
    <w:p>
      <w:pPr>
        <w:pStyle w:val="Brdtekst"/>
      </w:pPr>
      <w:r>
        <w:t xml:space="preserve">The concept of</w:t>
      </w:r>
      <w:r>
        <w:t xml:space="preserve"> </w:t>
      </w:r>
      <w:r>
        <w:t xml:space="preserve">“provincializing Europe”</w:t>
      </w:r>
      <w:r>
        <w:t xml:space="preserve"> </w:t>
      </w:r>
      <w:r>
        <w:t xml:space="preserve">helps understand what moving beyond state adaptation might entail</w:t>
      </w:r>
      <w:r>
        <w:t xml:space="preserve"> </w:t>
      </w:r>
      <w:r>
        <w:t xml:space="preserve">(Chakrabarty, 2009)</w:t>
      </w:r>
      <w:r>
        <w:t xml:space="preserve">. Rather than accepting European-derived categories (including the state, development, and adaptation) as universal, this approach reveals them as particular, historical products that achieved global dominance through colonial violence. Provincializing adaptation would mean recognizing it as one possible response to environmental change emerging from specific historical and institutional contexts, not a universal framework that all must adopt. This opens space for other histories, knowledge systems, and futures that have been suppressed by the universalizing tendencies of Western modernity</w:t>
      </w:r>
      <w:r>
        <w:t xml:space="preserve"> </w:t>
      </w:r>
      <w:r>
        <w:t xml:space="preserve">(Mignolo, 2011; Quijano &amp; Ennis, 2000)</w:t>
      </w:r>
      <w:r>
        <w:t xml:space="preserve">.</w:t>
      </w:r>
    </w:p>
    <w:p>
      <w:pPr>
        <w:pStyle w:val="Brdtekst"/>
      </w:pPr>
      <w:r>
        <w:t xml:space="preserve">The practical implications of moving beyond state adaptation are profound and challenging. It would mean redirecting climate finance from state bureaucracies to autonomous community organizations. It would mean recognizing knowledge systems that international institutions cannot easily quantify or control. It would mean accepting outcomes that do not fit into logical frameworks or results matrices. Most fundamentally, it would mean Northern countries addressing their own emissions and consumption rather than reshaping Southern societies through adaptation planning. As critics note, perhaps the most effective adaptation support would be rapid industrial decarbonization in the North, eliminating the problem at its source rather than managing its symptoms in the South</w:t>
      </w:r>
      <w:r>
        <w:t xml:space="preserve"> </w:t>
      </w:r>
      <w:r>
        <w:t xml:space="preserve">(Eriksen et al., 2021)</w:t>
      </w:r>
      <w:r>
        <w:t xml:space="preserve">.</w:t>
      </w:r>
    </w:p>
    <w:p>
      <w:pPr>
        <w:pStyle w:val="Brdtekst"/>
      </w:pPr>
      <w:r>
        <w:t xml:space="preserve">The barriers to such transformation are substantial. States jealously guard their sovereignty and their role as intermediaries for international resources. International institutions have invested heavily in frameworks, procedures, and expertise oriented toward state-led planning. The adaptation industry depends on continued funding for assessments, capacity building, and project implementation. Moving beyond state adaptation would threaten all these interests. Yet our analysis reveals that current approaches produce homogenization, depoliticization, and epistemicide—outcomes that serve institutional needs while failing those most vulnerable to climate impacts.</w:t>
      </w:r>
    </w:p>
    <w:p>
      <w:pPr>
        <w:pStyle w:val="Brdtekst"/>
      </w:pPr>
      <w:r>
        <w:t xml:space="preserve">The high discourse centralization documented in this research should not lead to despair but to clarity about the nature of the challenge. The adaptation regime, like the development regime before it, is not a natural or inevitable response to environmental change but a historically specific configuration of power that can be contested and transformed. The cracks in the system—the variance among middle-income countries, the persistence of community-based practices despite their marginalization, the growing critique from scholars and activists—suggest that other worlds remain possible. Whether these possibilities can flourish depends not on better planning or more finance but on fundamental shifts in power relations between North and South, states and communities, experts and inhabitants.</w:t>
      </w:r>
    </w:p>
    <w:p>
      <w:pPr>
        <w:pStyle w:val="Brdtekst"/>
      </w:pPr>
      <w:r>
        <w:t xml:space="preserve">This analysis returns us to fundamental questions about climate justice that transcend the technical framings of adaptation planning. If adaptation operates as a contemporary form of colonialism—imposing Northern frameworks, eliminating alternative knowledges, and foreclosing autonomous futures—then climate justice requires more than reformed institutions or increased finance. It requires recognizing and supporting the multiple worlds that exist beyond the singular world of development and adaptation. The implications of this recognition form the basis for our concluding reflections on the future of climate governance and the possibilities for genuine transformation in North-South relations.</w:t>
      </w:r>
    </w:p>
    <w:bookmarkEnd w:id="56"/>
    <w:bookmarkEnd w:id="57"/>
    <w:bookmarkStart w:id="62" w:name="sec-conclusion"/>
    <w:p>
      <w:pPr>
        <w:pStyle w:val="Overskrift1"/>
      </w:pPr>
      <w:r>
        <w:t xml:space="preserve">8. Conclusion</w:t>
      </w:r>
    </w:p>
    <w:p>
      <w:pPr>
        <w:pStyle w:val="FirstParagraph"/>
      </w:pPr>
      <w:r>
        <w:t xml:space="preserve">This thesis began with a simple observation: climate adaptation has become central to North-South relations, positioned as a solution to the injustices of climate change. The</w:t>
      </w:r>
      <w:r>
        <w:t xml:space="preserve"> </w:t>
      </w:r>
      <w:r>
        <w:t xml:space="preserve">“$100 billion promise”</w:t>
      </w:r>
      <w:r>
        <w:t xml:space="preserve"> </w:t>
      </w:r>
      <w:r>
        <w:t xml:space="preserve">made at Copenhagen, the proliferation of adaptation funds, and the mainstreaming of adaptation into development all suggest a global commitment to helping vulnerable countries prepare for climate impacts. Yet the analysis of 45 National Adaptation Plans reveals a troubling reality. Rather than diverse responses to diverse vulnerabilities, we find remarkable homogeneity—a discourse centralization of 0.956 that speaks more to institutional capture than climate response. The patterns uncovered through structural topic modeling answer the three questions posed at the outset in ways that fundamentally challenge the adaptation enterprise.</w:t>
      </w:r>
    </w:p>
    <w:p>
      <w:pPr>
        <w:pStyle w:val="Brdtekst"/>
      </w:pPr>
      <w:r>
        <w:t xml:space="preserve">What view of climate justice does adaptation have? The dominance of financial mechanisms and procedural frameworks across all NAPs reveals adaptation’s impoverished vision of justice. Climate justice is reduced to resource transfer—getting the right funds through the right channels to the right recipients. Vulnerability appears as a technical deficiency requiring Northern expertise rather than a product of historical and ongoing colonial relations. The near-absence of topics related to rights, reparations, or structural transformation shows how adaptation planning systematically excludes more expansive visions of justice. Countries must frame their needs in terms of institutional capacity and project pipelines rather than land sovereignty or economic restructuring. This is not climate justice but its bureaucratic simulation—a performance that maintains the very relations that produce vulnerability.</w:t>
      </w:r>
    </w:p>
    <w:p>
      <w:pPr>
        <w:pStyle w:val="Brdtekst"/>
      </w:pPr>
      <w:r>
        <w:t xml:space="preserve">How are climate adaptation interventions justified, and who decides? The variance decomposition provides a stark answer: regional institutional networks explain 20.1% of discourse patterns, while the actual geography of climate vulnerability explains merely 1.8%. This reveals adaptation planning as shaped by development banks, regional organizations, and the consultants who move between them—not by communities facing sea-level rise or desertification. The justification comes through technical assessments that construct vulnerability in particular ways, rendering complex political realities as manageable technical problems. The tools of adaptation—vulnerability indices, logical frameworks, monitoring systems—become what shapes adaptation possibilities</w:t>
      </w:r>
      <w:r>
        <w:t xml:space="preserve"> </w:t>
      </w:r>
      <w:r>
        <w:t xml:space="preserve">(Illich, 2009)</w:t>
      </w:r>
      <w:r>
        <w:t xml:space="preserve">. Countries learn to see themselves through these tools, to articulate needs these tools recognize, creating the convergence we observe.</w:t>
      </w:r>
    </w:p>
    <w:p>
      <w:pPr>
        <w:pStyle w:val="Brdtekst"/>
      </w:pPr>
      <w:r>
        <w:t xml:space="preserve">Is climate adaptation effective for delivering climate justice? The empirical evidence compels a negative answer. High discourse centralization reveals adaptation operating as epistemicide, systematically eliminating alternative ways of knowing and responding to environmental change</w:t>
      </w:r>
      <w:r>
        <w:t xml:space="preserve"> </w:t>
      </w:r>
      <w:r>
        <w:t xml:space="preserve">(Santos, 2016)</w:t>
      </w:r>
      <w:r>
        <w:t xml:space="preserve">. The convergence among low-income countries shows vulnerability being constructed rather than addressed, echoing how development discourse produced underdevelopment</w:t>
      </w:r>
      <w:r>
        <w:t xml:space="preserve"> </w:t>
      </w:r>
      <w:r>
        <w:t xml:space="preserve">(Escobar, 1995)</w:t>
      </w:r>
      <w:r>
        <w:t xml:space="preserve">. The dominance of technical and procedural concerns confirms adaptation functioning as an anti-politics machine, transforming questions of justice into matters of administration</w:t>
      </w:r>
      <w:r>
        <w:t xml:space="preserve"> </w:t>
      </w:r>
      <w:r>
        <w:t xml:space="preserve">(Ferguson, 1994)</w:t>
      </w:r>
      <w:r>
        <w:t xml:space="preserve">. Rather than enabling communities to navigate environmental change according to their own knowledge and values, adaptation planning imposes a singular framework that forecloses alternatives while appearing to help.</w:t>
      </w:r>
    </w:p>
    <w:bookmarkStart w:id="58" w:name="theoretical-contributions"/>
    <w:p>
      <w:pPr>
        <w:pStyle w:val="Overskrift2"/>
      </w:pPr>
      <w:r>
        <w:t xml:space="preserve">8.1 Theoretical Contributions</w:t>
      </w:r>
    </w:p>
    <w:p>
      <w:pPr>
        <w:pStyle w:val="FirstParagraph"/>
      </w:pPr>
      <w:r>
        <w:t xml:space="preserve">This research makes several theoretical contributions by providing empirical validation for post-development critiques of climate governance. First, it demonstrates quantitatively what critical scholars have argued qualitatively: that adaptation represents not a break from development paradigms but their continuation through new vocabularies. The vulnerability/adaptation nexus emerges as the contemporary form of the underdevelopment/development nexus, maintaining colonial relations while appearing to address their consequences. Second, the analysis operationalizes the concept of epistemicide, showing how it occurs not through dramatic suppression but through the quiet violence of bureaucratic frameworks that render alternative knowledge systems literally unspeakable in planning documents.</w:t>
      </w:r>
    </w:p>
    <w:p>
      <w:pPr>
        <w:pStyle w:val="Brdtekst"/>
      </w:pPr>
      <w:r>
        <w:t xml:space="preserve">Third, the research bridges critical theory and computational methods, demonstrating how topic modeling can reveal patterns of power and knowledge that might otherwise remain hidden in the sheer volume of policy documents. By making Northern adaptation discourse legible—showing its repetitions, convergences, and silences—we can better understand how power operates through seemingly neutral technical processes. The method reveals not what Southern countries think about adaptation but what they must say to participate in international climate governance. This distinction is crucial for understanding adaptation planning as a technology of governance rather than genuine response to climate impacts.</w:t>
      </w:r>
    </w:p>
    <w:p>
      <w:pPr>
        <w:pStyle w:val="Brdtekst"/>
      </w:pPr>
      <w:r>
        <w:t xml:space="preserve">Finally, the analysis contributes to understanding the specific mechanisms through which colonial relations reproduce themselves in contemporary environmental governance. The regional clustering patterns reveal the crucial role of intermediary institutions and development brokers in creating discursive homogeneity. The state-centric nature of planning combined with technical requirements creates conditions where only certain actors can speak and only certain things can be said. These mechanisms operate not through coercion but through the promise of resources, creating self-reinforcing cycles where countries must perform vulnerability to access funds that reinforce their dependent status.</w:t>
      </w:r>
    </w:p>
    <w:bookmarkEnd w:id="58"/>
    <w:bookmarkStart w:id="59" w:name="the-cop-out"/>
    <w:p>
      <w:pPr>
        <w:pStyle w:val="Overskrift2"/>
      </w:pPr>
      <w:r>
        <w:t xml:space="preserve">8.2 The COP-out</w:t>
      </w:r>
    </w:p>
    <w:p>
      <w:pPr>
        <w:pStyle w:val="FirstParagraph"/>
      </w:pPr>
      <w:r>
        <w:t xml:space="preserve">The title of this thesis carries a double meaning that the analysis confirms. Adaptation finance represents both a literal</w:t>
      </w:r>
      <w:r>
        <w:t xml:space="preserve"> </w:t>
      </w:r>
      <w:r>
        <w:t xml:space="preserve">“Conference of Parties outcome”</w:t>
      </w:r>
      <w:r>
        <w:t xml:space="preserve">—the institutional response to demands for climate justice—and a</w:t>
      </w:r>
      <w:r>
        <w:t xml:space="preserve"> </w:t>
      </w:r>
      <w:r>
        <w:t xml:space="preserve">“cop-out”</w:t>
      </w:r>
      <w:r>
        <w:t xml:space="preserve"> </w:t>
      </w:r>
      <w:r>
        <w:t xml:space="preserve">in the colloquial sense—an evasion of responsibility. While Southern countries reshape their societies through adaptation planning, Northern countries continue the emissions that drive climate change. The Paris Agreement’s careful separation of mitigation, adaptation, and loss and damage serves this evasion, allowing wealthy countries to provide</w:t>
      </w:r>
      <w:r>
        <w:t xml:space="preserve"> </w:t>
      </w:r>
      <w:r>
        <w:t xml:space="preserve">“support”</w:t>
      </w:r>
      <w:r>
        <w:t xml:space="preserve"> </w:t>
      </w:r>
      <w:r>
        <w:t xml:space="preserve">for adaptation while avoiding binding emissions reductions or accepting liability for climate damages.</w:t>
      </w:r>
    </w:p>
    <w:p>
      <w:pPr>
        <w:pStyle w:val="Brdtekst"/>
      </w:pPr>
      <w:r>
        <w:t xml:space="preserve">The irony is profound: homogeneous planning for heterogeneous impacts. Countries facing fundamentally different climate futures—small islands confronting submersion, mountain regions losing glaciers, drylands facing intensified droughts—produce remarkably similar documents focused on institutional arrangements and financial mechanisms. This homogeneity reveals adaptation planning serving institutional rather than environmental purposes. It creates legible subjects for climate finance, standardized problems for technical assistance, and manageable interventions for development agencies. Meanwhile, the actual diversity of climate impacts and potential responses remains largely unaddressed.</w:t>
      </w:r>
    </w:p>
    <w:p>
      <w:pPr>
        <w:pStyle w:val="Brdtekst"/>
      </w:pPr>
      <w:r>
        <w:t xml:space="preserve">The recent COP29 pledge of $300 billion in climate finance by 2035 continues this pattern. Framed as a triumph of multilateralism, it represents another decade of focusing on adaptation in the South rather than mitigation in the North. The logic of the climate damage flowchart remains reversed: rather than stopping emissions at the source, the international community invests in managing symptoms at the periphery. This is not mere inefficiency but active displacement—every dollar spent on adaptation planning is a dollar not spent on industrial transformation in the countries actually driving climate change.</w:t>
      </w:r>
    </w:p>
    <w:p>
      <w:pPr>
        <w:pStyle w:val="Brdtekst"/>
      </w:pPr>
      <w:r>
        <w:t xml:space="preserve">The systematic exclusion of loss and damage from adaptation planning, despite its formal recognition in the Paris Agreement, reveals the limits of acceptable discourse. Countries can discuss future vulnerabilities and adaptation needs but not present damages and historical responsibility. They can request capacity building but not reparations. They can plan for resilience but not demand compensation. These exclusions maintain the fiction that climate change is a future problem requiring technical preparation rather than a present injustice requiring political transformation.</w:t>
      </w:r>
    </w:p>
    <w:bookmarkEnd w:id="59"/>
    <w:bookmarkStart w:id="60" w:name="future-research-directions"/>
    <w:p>
      <w:pPr>
        <w:pStyle w:val="Overskrift2"/>
      </w:pPr>
      <w:r>
        <w:t xml:space="preserve">8.3 Future Research Directions</w:t>
      </w:r>
    </w:p>
    <w:p>
      <w:pPr>
        <w:pStyle w:val="FirstParagraph"/>
      </w:pPr>
      <w:r>
        <w:t xml:space="preserve">This analysis opens several critical avenues for future research. First, studying community responses outside state frameworks could reveal the alternative epistemologies and practices that NAPs systematically exclude. How do fishing communities, forest dwellers, and pastoralists actually navigate environmental change? What knowledge systems guide their responses? How do these differ from state plans? Such research requires methods that can capture knowledge expressed through practice rather than policy documents.</w:t>
      </w:r>
    </w:p>
    <w:p>
      <w:pPr>
        <w:pStyle w:val="Brdtekst"/>
      </w:pPr>
      <w:r>
        <w:t xml:space="preserve">Second, tracking how adaptation projects actually unfold on the ground could illuminate the gap between planning and reality. Do the homogeneous plans produce homogeneous outcomes? How do communities resist, reshape, or repurpose adaptation interventions? What happens when technocratic plans meet complex social realities? Understanding implementation could reveal both the limits of planning and the spaces where alternatives emerge.</w:t>
      </w:r>
    </w:p>
    <w:p>
      <w:pPr>
        <w:pStyle w:val="Brdtekst"/>
      </w:pPr>
      <w:r>
        <w:t xml:space="preserve">Third, the</w:t>
      </w:r>
      <w:r>
        <w:t xml:space="preserve"> </w:t>
      </w:r>
      <w:r>
        <w:t xml:space="preserve">“cracks”</w:t>
      </w:r>
      <w:r>
        <w:t xml:space="preserve"> </w:t>
      </w:r>
      <w:r>
        <w:t xml:space="preserve">in the system deserve deeper investigation. Why do middle-income countries show greater discourse diversity? What enables their partial autonomy? Could these spaces of relative freedom provide models for escaping the adaptation regime? Similarly, examining regional variations could reveal how different institutional configurations enable or constrain alternative approaches.</w:t>
      </w:r>
    </w:p>
    <w:p>
      <w:pPr>
        <w:pStyle w:val="Brdtekst"/>
      </w:pPr>
      <w:r>
        <w:t xml:space="preserve">Finally, developing methods for amplifying marginalized knowledge systems remains crucial. If current research methods privilege written documents and formal institutions, how might we develop approaches that recognize oral traditions, embodied practices, and communal knowledge? This is not merely a methodological challenge but a political one—requiring researchers to question their own role in either reproducing or challenging epistemicide.</w:t>
      </w:r>
    </w:p>
    <w:bookmarkEnd w:id="60"/>
    <w:bookmarkStart w:id="61" w:name="whose-futures"/>
    <w:p>
      <w:pPr>
        <w:pStyle w:val="Overskrift2"/>
      </w:pPr>
      <w:r>
        <w:t xml:space="preserve">8.4 Whose Futures?</w:t>
      </w:r>
    </w:p>
    <w:p>
      <w:pPr>
        <w:pStyle w:val="FirstParagraph"/>
      </w:pPr>
      <w:r>
        <w:t xml:space="preserve">This thesis began with questions about climate justice and power: who gets to imagine whose future in a changing climate? The analysis provides a clear if troubling answer. Through the apparatus of adaptation planning, Northern institutions imagine Southern futures. They determine what counts as vulnerability, what constitutes appropriate response, and what makes successful adaptation. Southern countries must translate their complex realities into forms these institutions recognize—vulnerability assessments, logical frameworks, project documents—or remain excluded from climate finance.</w:t>
      </w:r>
    </w:p>
    <w:p>
      <w:pPr>
        <w:pStyle w:val="Brdtekst"/>
      </w:pPr>
      <w:r>
        <w:t xml:space="preserve">The patterns revealed through topic modeling show this is not climate adaptation but institutional adaptation. Countries adapt not to changing rainfall or rising seas but to donor requirements and funding criteria. They develop the capacity not to navigate environmental change but to navigate international bureaucracies. The knowledge that matters is not traditional ecological wisdom or community innovation but the ability to produce documents that secure resources. This represents a profound foreclosure of possibilities—eliminating alternative futures before they can be imagined.</w:t>
      </w:r>
    </w:p>
    <w:p>
      <w:pPr>
        <w:pStyle w:val="Brdtekst"/>
      </w:pPr>
      <w:r>
        <w:t xml:space="preserve">The necessary shift requires recognizing that communities have always adapted to environmental variability and continue to do so outside state and international frameworks. Before NAPs, before UNFCCC, before development itself, human communities developed sophisticated ways of living with environmental uncertainty. These approaches—based on reciprocity rather than resource management, embedded in place rather than abstracted into models, responsive to local rather than global signals—persist despite their marginalization. Supporting them requires not new planning frameworks but stepping back from the pretense that adaptation must be managed from above.</w:t>
      </w:r>
    </w:p>
    <w:p>
      <w:pPr>
        <w:pStyle w:val="Brdtekst"/>
      </w:pPr>
      <w:r>
        <w:t xml:space="preserve">The paradox that emerges from this analysis is that effective climate justice may require less adaptation planning, not more. Each NAP, each vulnerability assessment, each project document further entrenches the frameworks that produce homogenization and epistemicide. Rather than reformed institutions or increased finance, climate justice requires fundamentally different starting points—recognizing indigenous sovereignty, supporting community autonomy, addressing structural drivers of vulnerability. Most fundamentally, it requires Northern countries to rapidly reduce their own emissions rather than reshaping Southern societies through adaptation planning.</w:t>
      </w:r>
    </w:p>
    <w:p>
      <w:pPr>
        <w:pStyle w:val="Brdtekst"/>
      </w:pPr>
      <w:r>
        <w:t xml:space="preserve">This brings us to a stark choice that extends beyond climate governance to the future of North-South relations. Do we continue down the path of epistemicide—eliminating knowledge diversity, imposing singular frameworks, foreclosing alternative futures? Or do we nurture the pluriverse—recognizing multiple ways of knowing and being, supporting diverse responses to environmental change, enabling communities to create their own futures? The high discourse centralization documented in this research shows the current path leads toward homogenization, depoliticization, and continued colonial relations disguised as climate response.</w:t>
      </w:r>
    </w:p>
    <w:p>
      <w:pPr>
        <w:pStyle w:val="Brdtekst"/>
      </w:pPr>
      <w:r>
        <w:t xml:space="preserve">The 100 billion dollar question is not whether wealthy countries will provide adaptation finance—they already are, and will likely provide more. The question is whether this finance will continue to operate as a COP-out, allowing the North to avoid fundamental changes while appearing to help the South. The answer lies not in better planning or more resources but in recognizing that climate justice cannot be delivered through the same institutions and frameworks that produce climate injustice. Real transformation requires abandoning the pretense that Northern institutions can manage Southern adaptation. It requires recognizing that the most effective adaptation support the North can provide is to stop driving the climate change that makes adaptation necessary in the first place. Until then, adaptation remains what this analysis reveals it to be: not climate justice but its most sophisticated evasion.</w:t>
      </w:r>
    </w:p>
    <w:bookmarkEnd w:id="61"/>
    <w:bookmarkEnd w:id="62"/>
    <w:bookmarkStart w:id="197" w:name="references"/>
    <w:p>
      <w:pPr>
        <w:pStyle w:val="Overskrift1"/>
      </w:pPr>
      <w:r>
        <w:t xml:space="preserve">References</w:t>
      </w:r>
    </w:p>
    <w:bookmarkStart w:id="196" w:name="refs"/>
    <w:bookmarkStart w:id="63"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63"/>
    <w:bookmarkStart w:id="65"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64">
        <w:r>
          <w:rPr>
            <w:rStyle w:val="Hyperlink"/>
          </w:rPr>
          <w:t xml:space="preserve">https://doi.org/10.1016/j.landusepol.2020.104898</w:t>
        </w:r>
      </w:hyperlink>
    </w:p>
    <w:bookmarkEnd w:id="65"/>
    <w:bookmarkStart w:id="66"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66"/>
    <w:bookmarkStart w:id="67" w:name="ref-bierschenk2002"/>
    <w:p>
      <w:pPr>
        <w:pStyle w:val="Bibliografi"/>
      </w:pPr>
      <w:r>
        <w:t xml:space="preserve">Bierschenk, T., Chauveau, J.-P., &amp; de Sardan, J.-P. O. (2002).</w:t>
      </w:r>
      <w:r>
        <w:t xml:space="preserve"> </w:t>
      </w:r>
      <w:r>
        <w:rPr>
          <w:i/>
          <w:iCs/>
        </w:rPr>
        <w:t xml:space="preserve">Local development brokers in africa</w:t>
      </w:r>
      <w:r>
        <w:t xml:space="preserve"> </w:t>
      </w:r>
      <w:r>
        <w:t xml:space="preserve">(13). Institut für Ethnologie und Afrikastudien, Johannes Gutenberg-Universität.</w:t>
      </w:r>
    </w:p>
    <w:bookmarkEnd w:id="67"/>
    <w:bookmarkStart w:id="69" w:name="ref-brinks2025"/>
    <w:p>
      <w:pPr>
        <w:pStyle w:val="Bibliografi"/>
      </w:pPr>
      <w:r>
        <w:t xml:space="preserve">Brinks, V., &amp; Donner, F. (2025). Approaching</w:t>
      </w:r>
      <w:r>
        <w:t xml:space="preserve"> </w:t>
      </w:r>
      <w:r>
        <w:t xml:space="preserve">“the expert”</w:t>
      </w:r>
      <w:r>
        <w:t xml:space="preserve"> </w:t>
      </w:r>
      <w:r>
        <w:t xml:space="preserve">in times of (digital) disruptions: Towards a geography of expertise.</w:t>
      </w:r>
      <w:r>
        <w:t xml:space="preserve"> </w:t>
      </w:r>
      <w:r>
        <w:rPr>
          <w:i/>
          <w:iCs/>
        </w:rPr>
        <w:t xml:space="preserve">Progress in Human Geography</w:t>
      </w:r>
      <w:r>
        <w:t xml:space="preserve">, 03091325251337717.</w:t>
      </w:r>
      <w:r>
        <w:t xml:space="preserve"> </w:t>
      </w:r>
      <w:hyperlink r:id="rId68">
        <w:r>
          <w:rPr>
            <w:rStyle w:val="Hyperlink"/>
          </w:rPr>
          <w:t xml:space="preserve">https://doi.org/10.1177/03091325251337717</w:t>
        </w:r>
      </w:hyperlink>
    </w:p>
    <w:bookmarkEnd w:id="69"/>
    <w:bookmarkStart w:id="71" w:name="ref-chakrabarty2009"/>
    <w:p>
      <w:pPr>
        <w:pStyle w:val="Bibliografi"/>
      </w:pPr>
      <w:r>
        <w:t xml:space="preserve">Chakrabarty, D. (2009).</w:t>
      </w:r>
      <w:r>
        <w:t xml:space="preserve"> </w:t>
      </w:r>
      <w:r>
        <w:rPr>
          <w:i/>
          <w:iCs/>
        </w:rPr>
        <w:t xml:space="preserve">Provincializing europe: Postcolonial thought and historical difference</w:t>
      </w:r>
      <w:r>
        <w:t xml:space="preserve"> </w:t>
      </w:r>
      <w:r>
        <w:t xml:space="preserve">(New edition with a new preface by the author). Princeton University Press.</w:t>
      </w:r>
      <w:r>
        <w:t xml:space="preserve"> </w:t>
      </w:r>
      <w:hyperlink r:id="rId70">
        <w:r>
          <w:rPr>
            <w:rStyle w:val="Hyperlink"/>
          </w:rPr>
          <w:t xml:space="preserve">https://doi.org/10.1515/9781400828654</w:t>
        </w:r>
      </w:hyperlink>
    </w:p>
    <w:bookmarkEnd w:id="71"/>
    <w:bookmarkStart w:id="7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72">
        <w:r>
          <w:rPr>
            <w:rStyle w:val="Hyperlink"/>
          </w:rPr>
          <w:t xml:space="preserve">https://doi.org/10.1016/0305-750X(94)90030-2</w:t>
        </w:r>
      </w:hyperlink>
    </w:p>
    <w:bookmarkEnd w:id="73"/>
    <w:bookmarkStart w:id="75" w:name="ref-cons2021"/>
    <w:p>
      <w:pPr>
        <w:pStyle w:val="Bibliografi"/>
      </w:pPr>
      <w:r>
        <w:t xml:space="preserve">Cons, J. (2021). Ecologies of capture in bangladesh’s sundarbans.</w:t>
      </w:r>
      <w:r>
        <w:t xml:space="preserve"> </w:t>
      </w:r>
      <w:r>
        <w:rPr>
          <w:i/>
          <w:iCs/>
        </w:rPr>
        <w:t xml:space="preserve">American Ethnologist</w:t>
      </w:r>
      <w:r>
        <w:t xml:space="preserve">,</w:t>
      </w:r>
      <w:r>
        <w:t xml:space="preserve"> </w:t>
      </w:r>
      <w:r>
        <w:rPr>
          <w:i/>
          <w:iCs/>
        </w:rPr>
        <w:t xml:space="preserve">48</w:t>
      </w:r>
      <w:r>
        <w:t xml:space="preserve">(3), 245–259.</w:t>
      </w:r>
      <w:r>
        <w:t xml:space="preserve"> </w:t>
      </w:r>
      <w:hyperlink r:id="rId74">
        <w:r>
          <w:rPr>
            <w:rStyle w:val="Hyperlink"/>
          </w:rPr>
          <w:t xml:space="preserve">https://doi.org/10.1111/amet.13022</w:t>
        </w:r>
      </w:hyperlink>
    </w:p>
    <w:bookmarkEnd w:id="75"/>
    <w:bookmarkStart w:id="76" w:name="ref-cons2025"/>
    <w:p>
      <w:pPr>
        <w:pStyle w:val="Bibliografi"/>
      </w:pPr>
      <w:r>
        <w:t xml:space="preserve">Cons, J. (2025).</w:t>
      </w:r>
      <w:r>
        <w:t xml:space="preserve"> </w:t>
      </w:r>
      <w:r>
        <w:rPr>
          <w:i/>
          <w:iCs/>
        </w:rPr>
        <w:t xml:space="preserve">Delta futures: Time, territory, and capture on a climate frontier</w:t>
      </w:r>
      <w:r>
        <w:t xml:space="preserve">. University of California Press.</w:t>
      </w:r>
    </w:p>
    <w:bookmarkEnd w:id="76"/>
    <w:bookmarkStart w:id="77" w:name="ref-cons2019"/>
    <w:p>
      <w:pPr>
        <w:pStyle w:val="Bibliografi"/>
      </w:pPr>
      <w:r>
        <w:t xml:space="preserve">Cons, J., &amp; Eilenberg, M. (Eds.). (2019).</w:t>
      </w:r>
      <w:r>
        <w:t xml:space="preserve"> </w:t>
      </w:r>
      <w:r>
        <w:rPr>
          <w:i/>
          <w:iCs/>
        </w:rPr>
        <w:t xml:space="preserve">Frontier assemblages: The emergent politics of resource frontiers in asia</w:t>
      </w:r>
      <w:r>
        <w:t xml:space="preserve">. Wiley.</w:t>
      </w:r>
    </w:p>
    <w:bookmarkEnd w:id="77"/>
    <w:bookmarkStart w:id="78" w:name="ref-corntassel2021"/>
    <w:p>
      <w:pPr>
        <w:pStyle w:val="Bibliografi"/>
      </w:pPr>
      <w:r>
        <w:t xml:space="preserve">Corntassel, J. (2021). Life beyond the state: Regenerating indigenous international relations and everyday challenges to settler colonialism.</w:t>
      </w:r>
      <w:r>
        <w:t xml:space="preserve"> </w:t>
      </w:r>
      <w:r>
        <w:rPr>
          <w:i/>
          <w:iCs/>
        </w:rPr>
        <w:t xml:space="preserve">Anarchist Developments in Cultural Studies</w:t>
      </w:r>
      <w:r>
        <w:t xml:space="preserve">,</w:t>
      </w:r>
      <w:r>
        <w:t xml:space="preserve"> </w:t>
      </w:r>
      <w:r>
        <w:rPr>
          <w:i/>
          <w:iCs/>
        </w:rPr>
        <w:t xml:space="preserve">1</w:t>
      </w:r>
      <w:r>
        <w:t xml:space="preserve">(1), 28.</w:t>
      </w:r>
    </w:p>
    <w:bookmarkEnd w:id="78"/>
    <w:bookmarkStart w:id="80"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79">
        <w:r>
          <w:rPr>
            <w:rStyle w:val="Hyperlink"/>
          </w:rPr>
          <w:t xml:space="preserve">https://www.climatepolicyinitiative.org/wp-content/uploads/2023/11/GLCF-2023-Methodology.pdf</w:t>
        </w:r>
      </w:hyperlink>
    </w:p>
    <w:bookmarkEnd w:id="80"/>
    <w:bookmarkStart w:id="82"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81">
        <w:r>
          <w:rPr>
            <w:rStyle w:val="Hyperlink"/>
          </w:rPr>
          <w:t xml:space="preserve">https://doi.org/10.1080/1177083X.2024.2344497</w:t>
        </w:r>
      </w:hyperlink>
    </w:p>
    <w:bookmarkEnd w:id="82"/>
    <w:bookmarkStart w:id="84" w:name="ref-demaria2023"/>
    <w:p>
      <w:pPr>
        <w:pStyle w:val="Bibliografi"/>
      </w:pPr>
      <w:r>
        <w:t xml:space="preserve">Demaria, F., Kothari, A., Salleh, A., Escobar, A., &amp; Acosta, A. (2023). Post-development: From the critique of development to a pluriverse of alternatives. In S. Villamayor-Tomas &amp; R. Muradian (Eds.),</w:t>
      </w:r>
      <w:r>
        <w:t xml:space="preserve"> </w:t>
      </w:r>
      <w:r>
        <w:rPr>
          <w:i/>
          <w:iCs/>
        </w:rPr>
        <w:t xml:space="preserve">The barcelona school of ecological economics and political ecology: A companion in honour of joan martinez-alier</w:t>
      </w:r>
      <w:r>
        <w:t xml:space="preserve"> </w:t>
      </w:r>
      <w:r>
        <w:t xml:space="preserve">(pp. 59–69). Springer International Publishing.</w:t>
      </w:r>
      <w:r>
        <w:t xml:space="preserve"> </w:t>
      </w:r>
      <w:hyperlink r:id="rId83">
        <w:r>
          <w:rPr>
            <w:rStyle w:val="Hyperlink"/>
          </w:rPr>
          <w:t xml:space="preserve">https://doi.org/10.1007/978-3-031-22566-6_6</w:t>
        </w:r>
      </w:hyperlink>
    </w:p>
    <w:bookmarkEnd w:id="84"/>
    <w:bookmarkStart w:id="86" w:name="ref-deranger2022"/>
    <w:p>
      <w:pPr>
        <w:pStyle w:val="Bibliografi"/>
      </w:pPr>
      <w:r>
        <w:t xml:space="preserve">Deranger, E. T., Sinclair, R., Gray, B., McGregor, D., &amp; Gobby, J. (2022). Decolonizing climate research and policy: Making space to tell our own stories, in our own ways.</w:t>
      </w:r>
      <w:r>
        <w:t xml:space="preserve"> </w:t>
      </w:r>
      <w:r>
        <w:rPr>
          <w:i/>
          <w:iCs/>
        </w:rPr>
        <w:t xml:space="preserve">Community Development Journal</w:t>
      </w:r>
      <w:r>
        <w:t xml:space="preserve">,</w:t>
      </w:r>
      <w:r>
        <w:t xml:space="preserve"> </w:t>
      </w:r>
      <w:r>
        <w:rPr>
          <w:i/>
          <w:iCs/>
        </w:rPr>
        <w:t xml:space="preserve">57</w:t>
      </w:r>
      <w:r>
        <w:t xml:space="preserve">(1), 52–73.</w:t>
      </w:r>
      <w:r>
        <w:t xml:space="preserve"> </w:t>
      </w:r>
      <w:hyperlink r:id="rId85">
        <w:r>
          <w:rPr>
            <w:rStyle w:val="Hyperlink"/>
          </w:rPr>
          <w:t xml:space="preserve">https://doi.org/10.1093/cdj/bsab050</w:t>
        </w:r>
      </w:hyperlink>
    </w:p>
    <w:bookmarkEnd w:id="86"/>
    <w:bookmarkStart w:id="87"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87"/>
    <w:bookmarkStart w:id="89" w:name="ref-dewan2021"/>
    <w:p>
      <w:pPr>
        <w:pStyle w:val="Bibliografi"/>
      </w:pPr>
      <w:r>
        <w:t xml:space="preserve">Dewan, C. (2021).</w:t>
      </w:r>
      <w:r>
        <w:t xml:space="preserve"> </w:t>
      </w:r>
      <w:r>
        <w:rPr>
          <w:i/>
          <w:iCs/>
        </w:rPr>
        <w:t xml:space="preserve">Misreading the bengal delta: Climate change, development, and livelihoods in coastal</w:t>
      </w:r>
      <w:r>
        <w:rPr>
          <w:i/>
          <w:iCs/>
        </w:rPr>
        <w:t xml:space="preserve"> </w:t>
      </w:r>
      <w:r>
        <w:rPr>
          <w:i/>
          <w:iCs/>
        </w:rPr>
        <w:t xml:space="preserve">bangladesh</w:t>
      </w:r>
      <w:r>
        <w:t xml:space="preserve">. University of Washington Press.</w:t>
      </w:r>
      <w:r>
        <w:t xml:space="preserve"> </w:t>
      </w:r>
      <w:hyperlink r:id="rId88">
        <w:r>
          <w:rPr>
            <w:rStyle w:val="Hyperlink"/>
          </w:rPr>
          <w:t xml:space="preserve">https://www.jstor.org/stable/j.ctv2114fm3</w:t>
        </w:r>
      </w:hyperlink>
    </w:p>
    <w:bookmarkEnd w:id="89"/>
    <w:bookmarkStart w:id="91"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90">
        <w:r>
          <w:rPr>
            <w:rStyle w:val="Hyperlink"/>
          </w:rPr>
          <w:t xml:space="preserve">https://doi.org/10.1080/00141844.2020.1788109</w:t>
        </w:r>
      </w:hyperlink>
    </w:p>
    <w:bookmarkEnd w:id="91"/>
    <w:bookmarkStart w:id="93"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92">
        <w:r>
          <w:rPr>
            <w:rStyle w:val="Hyperlink"/>
          </w:rPr>
          <w:t xml:space="preserve">https://doi.org/10.1080/13642987.2017.1397633</w:t>
        </w:r>
      </w:hyperlink>
    </w:p>
    <w:bookmarkEnd w:id="93"/>
    <w:bookmarkStart w:id="95" w:name="ref-eilenberg2015"/>
    <w:p>
      <w:pPr>
        <w:pStyle w:val="Bibliografi"/>
      </w:pPr>
      <w:r>
        <w:t xml:space="preserve">Eilenberg, M. (2015). Shades of green and REDD: Local and global contestations over the value of forest versus plantation development on the indonesian forest frontier.</w:t>
      </w:r>
      <w:r>
        <w:t xml:space="preserve"> </w:t>
      </w:r>
      <w:r>
        <w:rPr>
          <w:i/>
          <w:iCs/>
        </w:rPr>
        <w:t xml:space="preserve">Asia Pacific Viewpoint</w:t>
      </w:r>
      <w:r>
        <w:t xml:space="preserve">,</w:t>
      </w:r>
      <w:r>
        <w:t xml:space="preserve"> </w:t>
      </w:r>
      <w:r>
        <w:rPr>
          <w:i/>
          <w:iCs/>
        </w:rPr>
        <w:t xml:space="preserve">56</w:t>
      </w:r>
      <w:r>
        <w:t xml:space="preserve">(1), 48–61.</w:t>
      </w:r>
      <w:r>
        <w:t xml:space="preserve"> </w:t>
      </w:r>
      <w:hyperlink r:id="rId94">
        <w:r>
          <w:rPr>
            <w:rStyle w:val="Hyperlink"/>
          </w:rPr>
          <w:t xml:space="preserve">https://doi.org/10.1111/apv.12084</w:t>
        </w:r>
      </w:hyperlink>
    </w:p>
    <w:bookmarkEnd w:id="95"/>
    <w:bookmarkStart w:id="97" w:name="ref-eilenberg2022"/>
    <w:p>
      <w:pPr>
        <w:pStyle w:val="Bibliografi"/>
      </w:pPr>
      <w:r>
        <w:t xml:space="preserve">Eilenberg, M. (2022). The last enclosure: Smoke, fire and crisis on the indonesian forest frontier.</w:t>
      </w:r>
      <w:r>
        <w:t xml:space="preserve"> </w:t>
      </w:r>
      <w:r>
        <w:rPr>
          <w:i/>
          <w:iCs/>
        </w:rPr>
        <w:t xml:space="preserve">The Journal of Peasant Studies</w:t>
      </w:r>
      <w:r>
        <w:t xml:space="preserve">,</w:t>
      </w:r>
      <w:r>
        <w:t xml:space="preserve"> </w:t>
      </w:r>
      <w:r>
        <w:rPr>
          <w:i/>
          <w:iCs/>
        </w:rPr>
        <w:t xml:space="preserve">49</w:t>
      </w:r>
      <w:r>
        <w:t xml:space="preserve">(5), 969–998.</w:t>
      </w:r>
      <w:r>
        <w:t xml:space="preserve"> </w:t>
      </w:r>
      <w:hyperlink r:id="rId96">
        <w:r>
          <w:rPr>
            <w:rStyle w:val="Hyperlink"/>
          </w:rPr>
          <w:t xml:space="preserve">https://doi.org/10.1080/03066150.2021.1907355</w:t>
        </w:r>
      </w:hyperlink>
    </w:p>
    <w:bookmarkEnd w:id="97"/>
    <w:bookmarkStart w:id="99"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98">
        <w:r>
          <w:rPr>
            <w:rStyle w:val="Hyperlink"/>
          </w:rPr>
          <w:t xml:space="preserve">https://doi.org/10.3362/9781780440415.001</w:t>
        </w:r>
      </w:hyperlink>
    </w:p>
    <w:bookmarkEnd w:id="99"/>
    <w:bookmarkStart w:id="101"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100">
        <w:r>
          <w:rPr>
            <w:rStyle w:val="Hyperlink"/>
          </w:rPr>
          <w:t xml:space="preserve">https://doi.org/10.1016/j.worlddev.2020.105383</w:t>
        </w:r>
      </w:hyperlink>
    </w:p>
    <w:bookmarkEnd w:id="101"/>
    <w:bookmarkStart w:id="103"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102">
        <w:r>
          <w:rPr>
            <w:rStyle w:val="Hyperlink"/>
          </w:rPr>
          <w:t xml:space="preserve">https://www.jstor.org/stable/j.ctt7rtgw</w:t>
        </w:r>
      </w:hyperlink>
    </w:p>
    <w:bookmarkEnd w:id="103"/>
    <w:bookmarkStart w:id="104"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104"/>
    <w:bookmarkStart w:id="105"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105"/>
    <w:bookmarkStart w:id="107" w:name="ref-escobar2021"/>
    <w:p>
      <w:pPr>
        <w:pStyle w:val="Bibliografi"/>
      </w:pPr>
      <w:r>
        <w:t xml:space="preserve">Escobar, A. (2021). Reframing civilization(s): From critique to transitions.</w:t>
      </w:r>
      <w:r>
        <w:t xml:space="preserve"> </w:t>
      </w:r>
      <w:r>
        <w:rPr>
          <w:i/>
          <w:iCs/>
        </w:rPr>
        <w:t xml:space="preserve">Globalizations</w:t>
      </w:r>
      <w:r>
        <w:t xml:space="preserve">,</w:t>
      </w:r>
      <w:r>
        <w:t xml:space="preserve"> </w:t>
      </w:r>
      <w:r>
        <w:rPr>
          <w:i/>
          <w:iCs/>
        </w:rPr>
        <w:t xml:space="preserve">0</w:t>
      </w:r>
      <w:r>
        <w:t xml:space="preserve">(0), 1–18.</w:t>
      </w:r>
      <w:r>
        <w:t xml:space="preserve"> </w:t>
      </w:r>
      <w:hyperlink r:id="rId106">
        <w:r>
          <w:rPr>
            <w:rStyle w:val="Hyperlink"/>
          </w:rPr>
          <w:t xml:space="preserve">https://doi.org/10.1080/14747731.2021.2002673</w:t>
        </w:r>
      </w:hyperlink>
    </w:p>
    <w:bookmarkEnd w:id="107"/>
    <w:bookmarkStart w:id="108"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108"/>
    <w:bookmarkStart w:id="110" w:name="ref-figueroa-helland2014"/>
    <w:p>
      <w:pPr>
        <w:pStyle w:val="Bibliografi"/>
      </w:pPr>
      <w:r>
        <w:t xml:space="preserve">Figueroa-Helland, L., &amp; Borg, S. (2014). The lure of state failure: A critique of state failure discourse in world politics.</w:t>
      </w:r>
      <w:r>
        <w:t xml:space="preserve"> </w:t>
      </w:r>
      <w:r>
        <w:rPr>
          <w:i/>
          <w:iCs/>
        </w:rPr>
        <w:t xml:space="preserve">Interventions</w:t>
      </w:r>
      <w:r>
        <w:t xml:space="preserve">,</w:t>
      </w:r>
      <w:r>
        <w:t xml:space="preserve"> </w:t>
      </w:r>
      <w:r>
        <w:rPr>
          <w:i/>
          <w:iCs/>
        </w:rPr>
        <w:t xml:space="preserve">16</w:t>
      </w:r>
      <w:r>
        <w:t xml:space="preserve">(6), 877–897.</w:t>
      </w:r>
      <w:r>
        <w:t xml:space="preserve"> </w:t>
      </w:r>
      <w:hyperlink r:id="rId109">
        <w:r>
          <w:rPr>
            <w:rStyle w:val="Hyperlink"/>
          </w:rPr>
          <w:t xml:space="preserve">https://doi.org/10.1080/1369801X.2013.798140</w:t>
        </w:r>
      </w:hyperlink>
    </w:p>
    <w:bookmarkEnd w:id="110"/>
    <w:bookmarkStart w:id="111"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111"/>
    <w:bookmarkStart w:id="112"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112"/>
    <w:bookmarkStart w:id="114"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113">
        <w:r>
          <w:rPr>
            <w:rStyle w:val="Hyperlink"/>
          </w:rPr>
          <w:t xml:space="preserve">https://doi.org/10.3384/cu.2000.1525.1790615</w:t>
        </w:r>
      </w:hyperlink>
    </w:p>
    <w:bookmarkEnd w:id="114"/>
    <w:bookmarkStart w:id="116"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115">
        <w:r>
          <w:rPr>
            <w:rStyle w:val="Hyperlink"/>
          </w:rPr>
          <w:t xml:space="preserve">https://doi.org/10.1177/1354066117725157</w:t>
        </w:r>
      </w:hyperlink>
    </w:p>
    <w:bookmarkEnd w:id="116"/>
    <w:bookmarkStart w:id="118" w:name="ref-hulme2008"/>
    <w:p>
      <w:pPr>
        <w:pStyle w:val="Bibliografi"/>
      </w:pPr>
      <w:r>
        <w:t xml:space="preserve">Hulme, M. (2008). The conquering of climate: Discourses of fear and their dissolution.</w:t>
      </w:r>
      <w:r>
        <w:t xml:space="preserve"> </w:t>
      </w:r>
      <w:r>
        <w:rPr>
          <w:i/>
          <w:iCs/>
        </w:rPr>
        <w:t xml:space="preserve">The Geographical Journal</w:t>
      </w:r>
      <w:r>
        <w:t xml:space="preserve">,</w:t>
      </w:r>
      <w:r>
        <w:t xml:space="preserve"> </w:t>
      </w:r>
      <w:r>
        <w:rPr>
          <w:i/>
          <w:iCs/>
        </w:rPr>
        <w:t xml:space="preserve">174</w:t>
      </w:r>
      <w:r>
        <w:t xml:space="preserve">(1), 5–16.</w:t>
      </w:r>
      <w:r>
        <w:t xml:space="preserve"> </w:t>
      </w:r>
      <w:hyperlink r:id="rId117">
        <w:r>
          <w:rPr>
            <w:rStyle w:val="Hyperlink"/>
          </w:rPr>
          <w:t xml:space="preserve">https://doi.org/10.1111/j.1475-4959.2008.00266.x</w:t>
        </w:r>
      </w:hyperlink>
    </w:p>
    <w:bookmarkEnd w:id="118"/>
    <w:bookmarkStart w:id="120"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119">
        <w:r>
          <w:rPr>
            <w:rStyle w:val="Hyperlink"/>
          </w:rPr>
          <w:t xml:space="preserve">https://doi.org/10.1086/661274</w:t>
        </w:r>
      </w:hyperlink>
    </w:p>
    <w:bookmarkEnd w:id="120"/>
    <w:bookmarkStart w:id="121" w:name="ref-hulme2023"/>
    <w:p>
      <w:pPr>
        <w:pStyle w:val="Bibliografi"/>
      </w:pPr>
      <w:r>
        <w:t xml:space="preserve">Hulme, M. (2023).</w:t>
      </w:r>
      <w:r>
        <w:t xml:space="preserve"> </w:t>
      </w:r>
      <w:r>
        <w:rPr>
          <w:i/>
          <w:iCs/>
        </w:rPr>
        <w:t xml:space="preserve">Climate change isn’t everything</w:t>
      </w:r>
      <w:r>
        <w:t xml:space="preserve">. Polity Press.</w:t>
      </w:r>
    </w:p>
    <w:bookmarkEnd w:id="121"/>
    <w:bookmarkStart w:id="122" w:name="ref-illich2009"/>
    <w:p>
      <w:pPr>
        <w:pStyle w:val="Bibliografi"/>
      </w:pPr>
      <w:r>
        <w:t xml:space="preserve">Illich, I. (2009).</w:t>
      </w:r>
      <w:r>
        <w:t xml:space="preserve"> </w:t>
      </w:r>
      <w:r>
        <w:rPr>
          <w:i/>
          <w:iCs/>
        </w:rPr>
        <w:t xml:space="preserve">Tools for conviviality</w:t>
      </w:r>
      <w:r>
        <w:t xml:space="preserve">. Marion Boyars.</w:t>
      </w:r>
    </w:p>
    <w:bookmarkEnd w:id="122"/>
    <w:bookmarkStart w:id="124"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123">
        <w:r>
          <w:rPr>
            <w:rStyle w:val="Hyperlink"/>
          </w:rPr>
          <w:t xml:space="preserve">https://doi.org/10.1016/0016-3287(90)90077-U</w:t>
        </w:r>
      </w:hyperlink>
    </w:p>
    <w:bookmarkEnd w:id="124"/>
    <w:bookmarkStart w:id="126"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125">
        <w:r>
          <w:rPr>
            <w:rStyle w:val="Hyperlink"/>
          </w:rPr>
          <w:t xml:space="preserve">https://doi.org/10.3763/cdev.2010.0053</w:t>
        </w:r>
      </w:hyperlink>
    </w:p>
    <w:bookmarkEnd w:id="126"/>
    <w:bookmarkStart w:id="128"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127">
        <w:r>
          <w:rPr>
            <w:rStyle w:val="Hyperlink"/>
          </w:rPr>
          <w:t xml:space="preserve">https://doi.org/10.1016/j.geoforum.2013.01.005</w:t>
        </w:r>
      </w:hyperlink>
    </w:p>
    <w:bookmarkEnd w:id="128"/>
    <w:bookmarkStart w:id="130"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129">
        <w:r>
          <w:rPr>
            <w:rStyle w:val="Hyperlink"/>
          </w:rPr>
          <w:t xml:space="preserve">https://doi.org/10.1080/14693062.2021.1947177</w:t>
        </w:r>
      </w:hyperlink>
    </w:p>
    <w:bookmarkEnd w:id="130"/>
    <w:bookmarkStart w:id="131"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131"/>
    <w:bookmarkStart w:id="133" w:name="ref-li2007"/>
    <w:p>
      <w:pPr>
        <w:pStyle w:val="Bibliografi"/>
      </w:pPr>
      <w:r>
        <w:t xml:space="preserve">Li, T. M. (2007).</w:t>
      </w:r>
      <w:r>
        <w:t xml:space="preserve"> </w:t>
      </w:r>
      <w:r>
        <w:rPr>
          <w:i/>
          <w:iCs/>
        </w:rPr>
        <w:t xml:space="preserve">The will to improve: Governmentality, development, and the practice of politics</w:t>
      </w:r>
      <w:r>
        <w:t xml:space="preserve">. Duke University Press.</w:t>
      </w:r>
      <w:r>
        <w:t xml:space="preserve"> </w:t>
      </w:r>
      <w:hyperlink r:id="rId132">
        <w:r>
          <w:rPr>
            <w:rStyle w:val="Hyperlink"/>
          </w:rPr>
          <w:t xml:space="preserve">https://doi.org/10.2307/j.ctv11smt9s</w:t>
        </w:r>
      </w:hyperlink>
    </w:p>
    <w:bookmarkEnd w:id="133"/>
    <w:bookmarkStart w:id="135"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134">
        <w:r>
          <w:rPr>
            <w:rStyle w:val="Hyperlink"/>
          </w:rPr>
          <w:t xml:space="preserve">https://doi.org/10.1080/01436597.2015.1045482</w:t>
        </w:r>
      </w:hyperlink>
    </w:p>
    <w:bookmarkEnd w:id="135"/>
    <w:bookmarkStart w:id="137"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136">
        <w:r>
          <w:rPr>
            <w:rStyle w:val="Hyperlink"/>
          </w:rPr>
          <w:t xml:space="preserve">https://doi.org/10.1007/s11625-020-00807-9</w:t>
        </w:r>
      </w:hyperlink>
    </w:p>
    <w:bookmarkEnd w:id="137"/>
    <w:bookmarkStart w:id="139" w:name="ref-mignolo2011"/>
    <w:p>
      <w:pPr>
        <w:pStyle w:val="Bibliografi"/>
      </w:pPr>
      <w:r>
        <w:t xml:space="preserve">Mignolo, W. D. (2011).</w:t>
      </w:r>
      <w:r>
        <w:t xml:space="preserve"> </w:t>
      </w:r>
      <w:r>
        <w:rPr>
          <w:i/>
          <w:iCs/>
        </w:rPr>
        <w:t xml:space="preserve">The darker side of western modernity: Global futures, decolonial options</w:t>
      </w:r>
      <w:r>
        <w:t xml:space="preserve">. Duke University Press.</w:t>
      </w:r>
      <w:r>
        <w:t xml:space="preserve"> </w:t>
      </w:r>
      <w:hyperlink r:id="rId138">
        <w:r>
          <w:rPr>
            <w:rStyle w:val="Hyperlink"/>
          </w:rPr>
          <w:t xml:space="preserve">https://doi.org/10.1515/9780822394501</w:t>
        </w:r>
      </w:hyperlink>
    </w:p>
    <w:bookmarkEnd w:id="139"/>
    <w:bookmarkStart w:id="141"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140">
        <w:r>
          <w:rPr>
            <w:rStyle w:val="Hyperlink"/>
          </w:rPr>
          <w:t xml:space="preserve">https://doi.org/10.1080/14693062.2024.2378194</w:t>
        </w:r>
      </w:hyperlink>
    </w:p>
    <w:bookmarkEnd w:id="141"/>
    <w:bookmarkStart w:id="142" w:name="ref-mosse2011"/>
    <w:p>
      <w:pPr>
        <w:pStyle w:val="Bibliografi"/>
      </w:pPr>
      <w:r>
        <w:t xml:space="preserve">Mosse, D. (2011).</w:t>
      </w:r>
      <w:r>
        <w:t xml:space="preserve"> </w:t>
      </w:r>
      <w:r>
        <w:rPr>
          <w:i/>
          <w:iCs/>
        </w:rPr>
        <w:t xml:space="preserve">Adventures in aidland: The anthropology of professionals in international development</w:t>
      </w:r>
      <w:r>
        <w:t xml:space="preserve">. Berghahn Books.</w:t>
      </w:r>
    </w:p>
    <w:bookmarkEnd w:id="142"/>
    <w:bookmarkStart w:id="144"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43">
        <w:r>
          <w:rPr>
            <w:rStyle w:val="Hyperlink"/>
          </w:rPr>
          <w:t xml:space="preserve">https://doi.org/10.1016/j.gloenvcha.2022.102527</w:t>
        </w:r>
      </w:hyperlink>
    </w:p>
    <w:bookmarkEnd w:id="144"/>
    <w:bookmarkStart w:id="146" w:name="ref-nightingale2020"/>
    <w:p>
      <w:pPr>
        <w:pStyle w:val="Bibliografi"/>
      </w:pPr>
      <w:r>
        <w:t xml:space="preserve">Nightingale, A. J., Eriksen, S., Taylor, M., Forsyth, T., Pelling, M., Newsham, A., Boyd, E., Brown, K., Harvey, B., Jones, L., Bezner Kerr, R., Mehta, L., Naess, L. O., Ockwell, D., Scoones, I., Tanner, T., &amp; Whitfield, S. (2020). Beyond technical fixes: Climate solutions and the great derangement.</w:t>
      </w:r>
      <w:r>
        <w:t xml:space="preserve"> </w:t>
      </w:r>
      <w:r>
        <w:rPr>
          <w:i/>
          <w:iCs/>
        </w:rPr>
        <w:t xml:space="preserve">Climate and Development</w:t>
      </w:r>
      <w:r>
        <w:t xml:space="preserve">,</w:t>
      </w:r>
      <w:r>
        <w:t xml:space="preserve"> </w:t>
      </w:r>
      <w:r>
        <w:rPr>
          <w:i/>
          <w:iCs/>
        </w:rPr>
        <w:t xml:space="preserve">12</w:t>
      </w:r>
      <w:r>
        <w:t xml:space="preserve">(4), 343–352.</w:t>
      </w:r>
      <w:r>
        <w:t xml:space="preserve"> </w:t>
      </w:r>
      <w:hyperlink r:id="rId145">
        <w:r>
          <w:rPr>
            <w:rStyle w:val="Hyperlink"/>
          </w:rPr>
          <w:t xml:space="preserve">https://doi.org/10.1080/17565529.2019.1624495</w:t>
        </w:r>
      </w:hyperlink>
    </w:p>
    <w:bookmarkEnd w:id="146"/>
    <w:bookmarkStart w:id="148"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47">
        <w:r>
          <w:rPr>
            <w:rStyle w:val="Hyperlink"/>
          </w:rPr>
          <w:t xml:space="preserve">https://doi.org/10.1080/24694452.2017.1406330</w:t>
        </w:r>
      </w:hyperlink>
    </w:p>
    <w:bookmarkEnd w:id="148"/>
    <w:bookmarkStart w:id="150" w:name="ref-paprocki2019"/>
    <w:p>
      <w:pPr>
        <w:pStyle w:val="Bibliografi"/>
      </w:pPr>
      <w:r>
        <w:t xml:space="preserve">Paprocki, K. (2019). All that is solid melts into the bay: Anticipatory ruination and climate change adaptation.</w:t>
      </w:r>
      <w:r>
        <w:t xml:space="preserve"> </w:t>
      </w:r>
      <w:r>
        <w:rPr>
          <w:i/>
          <w:iCs/>
        </w:rPr>
        <w:t xml:space="preserve">Antipode</w:t>
      </w:r>
      <w:r>
        <w:t xml:space="preserve">,</w:t>
      </w:r>
      <w:r>
        <w:t xml:space="preserve"> </w:t>
      </w:r>
      <w:r>
        <w:rPr>
          <w:i/>
          <w:iCs/>
        </w:rPr>
        <w:t xml:space="preserve">51</w:t>
      </w:r>
      <w:r>
        <w:t xml:space="preserve">(1), 295–315.</w:t>
      </w:r>
      <w:r>
        <w:t xml:space="preserve"> </w:t>
      </w:r>
      <w:hyperlink r:id="rId149">
        <w:r>
          <w:rPr>
            <w:rStyle w:val="Hyperlink"/>
          </w:rPr>
          <w:t xml:space="preserve">https://doi.org/10.1111/anti.12421</w:t>
        </w:r>
      </w:hyperlink>
    </w:p>
    <w:bookmarkEnd w:id="150"/>
    <w:bookmarkStart w:id="152"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51">
        <w:r>
          <w:rPr>
            <w:rStyle w:val="Hyperlink"/>
          </w:rPr>
          <w:t xml:space="preserve">https://doi.org/10.1080/14693062.2013.879514</w:t>
        </w:r>
      </w:hyperlink>
    </w:p>
    <w:bookmarkEnd w:id="152"/>
    <w:bookmarkStart w:id="154"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53">
        <w:r>
          <w:rPr>
            <w:rStyle w:val="Hyperlink"/>
          </w:rPr>
          <w:t xml:space="preserve">https://doi.org/10.1016/j.envsci.2010.10.004</w:t>
        </w:r>
      </w:hyperlink>
    </w:p>
    <w:bookmarkEnd w:id="154"/>
    <w:bookmarkStart w:id="156" w:name="ref-quijano2000"/>
    <w:p>
      <w:pPr>
        <w:pStyle w:val="Bibliografi"/>
      </w:pPr>
      <w:r>
        <w:t xml:space="preserve">Quijano, A., &amp; Ennis, M. (2000). Coloniality of power, eurocentrism, and latin america.</w:t>
      </w:r>
      <w:r>
        <w:t xml:space="preserve"> </w:t>
      </w:r>
      <w:r>
        <w:rPr>
          <w:i/>
          <w:iCs/>
        </w:rPr>
        <w:t xml:space="preserve">Nepantla: Views from South</w:t>
      </w:r>
      <w:r>
        <w:t xml:space="preserve">,</w:t>
      </w:r>
      <w:r>
        <w:t xml:space="preserve"> </w:t>
      </w:r>
      <w:r>
        <w:rPr>
          <w:i/>
          <w:iCs/>
        </w:rPr>
        <w:t xml:space="preserve">1</w:t>
      </w:r>
      <w:r>
        <w:t xml:space="preserve">(3), 533–580.</w:t>
      </w:r>
      <w:r>
        <w:t xml:space="preserve"> </w:t>
      </w:r>
      <w:hyperlink r:id="rId155">
        <w:r>
          <w:rPr>
            <w:rStyle w:val="Hyperlink"/>
          </w:rPr>
          <w:t xml:space="preserve">https://muse.jhu.edu/pub/4/article/23906</w:t>
        </w:r>
      </w:hyperlink>
    </w:p>
    <w:bookmarkEnd w:id="156"/>
    <w:bookmarkStart w:id="157" w:name="ref-reiter2018"/>
    <w:p>
      <w:pPr>
        <w:pStyle w:val="Bibliografi"/>
      </w:pPr>
      <w:r>
        <w:t xml:space="preserve">Reiter, B. (2018).</w:t>
      </w:r>
      <w:r>
        <w:t xml:space="preserve"> </w:t>
      </w:r>
      <w:r>
        <w:rPr>
          <w:i/>
          <w:iCs/>
        </w:rPr>
        <w:t xml:space="preserve">Constructing the pluriverse: The geopolitics of knowledge</w:t>
      </w:r>
      <w:r>
        <w:t xml:space="preserve">. Duke University Press.</w:t>
      </w:r>
    </w:p>
    <w:bookmarkEnd w:id="157"/>
    <w:bookmarkStart w:id="158"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58"/>
    <w:bookmarkStart w:id="160"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59">
        <w:r>
          <w:rPr>
            <w:rStyle w:val="Hyperlink"/>
          </w:rPr>
          <w:t xml:space="preserve">https://doi.org/10.1111/j.1549-0831.2003.tb00133.x</w:t>
        </w:r>
      </w:hyperlink>
    </w:p>
    <w:bookmarkEnd w:id="160"/>
    <w:bookmarkStart w:id="161"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61"/>
    <w:bookmarkStart w:id="163"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62">
        <w:r>
          <w:rPr>
            <w:rStyle w:val="Hyperlink"/>
          </w:rPr>
          <w:t xml:space="preserve">https://doi.org/10.1080/17565529.2016.1184608</w:t>
        </w:r>
      </w:hyperlink>
    </w:p>
    <w:bookmarkEnd w:id="163"/>
    <w:bookmarkStart w:id="165"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64">
        <w:r>
          <w:rPr>
            <w:rStyle w:val="Hyperlink"/>
          </w:rPr>
          <w:t xml:space="preserve">https://doi.org/10.1080/01621459.2016.1141684</w:t>
        </w:r>
      </w:hyperlink>
    </w:p>
    <w:bookmarkEnd w:id="165"/>
    <w:bookmarkStart w:id="167"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66">
        <w:r>
          <w:rPr>
            <w:rStyle w:val="Hyperlink"/>
          </w:rPr>
          <w:t xml:space="preserve">https://doi.org/10.18637/jss.v091.i02</w:t>
        </w:r>
      </w:hyperlink>
    </w:p>
    <w:bookmarkEnd w:id="167"/>
    <w:bookmarkStart w:id="169"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68">
        <w:r>
          <w:rPr>
            <w:rStyle w:val="Hyperlink"/>
          </w:rPr>
          <w:t xml:space="preserve">https://doi.org/10.4324/9781315634876</w:t>
        </w:r>
      </w:hyperlink>
    </w:p>
    <w:bookmarkEnd w:id="169"/>
    <w:bookmarkStart w:id="171"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70">
        <w:r>
          <w:rPr>
            <w:rStyle w:val="Hyperlink"/>
          </w:rPr>
          <w:t xml:space="preserve">https://doi.org/10.1016/j.oneear.2020.09.014</w:t>
        </w:r>
      </w:hyperlink>
    </w:p>
    <w:bookmarkEnd w:id="171"/>
    <w:bookmarkStart w:id="172" w:name="ref-scott1998"/>
    <w:p>
      <w:pPr>
        <w:pStyle w:val="Bibliografi"/>
      </w:pPr>
      <w:r>
        <w:t xml:space="preserve">Scott, J. C. (1998).</w:t>
      </w:r>
      <w:r>
        <w:t xml:space="preserve"> </w:t>
      </w:r>
      <w:r>
        <w:rPr>
          <w:i/>
          <w:iCs/>
        </w:rPr>
        <w:t xml:space="preserve">Seeing like a state: How certain schemes to improve the human condition have failed</w:t>
      </w:r>
      <w:r>
        <w:t xml:space="preserve"> </w:t>
      </w:r>
      <w:r>
        <w:t xml:space="preserve">(Veritas paperback edition). Yale University Press.</w:t>
      </w:r>
    </w:p>
    <w:bookmarkEnd w:id="172"/>
    <w:bookmarkStart w:id="17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73">
        <w:r>
          <w:rPr>
            <w:rStyle w:val="Hyperlink"/>
          </w:rPr>
          <w:t xml:space="preserve">https://doi.org/10.1016/j.worlddev.2019.104683</w:t>
        </w:r>
      </w:hyperlink>
    </w:p>
    <w:bookmarkEnd w:id="174"/>
    <w:bookmarkStart w:id="17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75"/>
    <w:bookmarkStart w:id="17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76">
        <w:r>
          <w:rPr>
            <w:rStyle w:val="Hyperlink"/>
          </w:rPr>
          <w:t xml:space="preserve">https://www.tidytextmining.com/</w:t>
        </w:r>
      </w:hyperlink>
    </w:p>
    <w:bookmarkEnd w:id="177"/>
    <w:bookmarkStart w:id="17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78"/>
    <w:bookmarkStart w:id="180" w:name="ref-tornel2024"/>
    <w:p>
      <w:pPr>
        <w:pStyle w:val="Bibliografi"/>
      </w:pPr>
      <w:r>
        <w:t xml:space="preserve">Tornel, C. (2024). Development as terracide: Sacrifice zones and extractivism as state policy in mexico.</w:t>
      </w:r>
      <w:r>
        <w:t xml:space="preserve"> </w:t>
      </w:r>
      <w:r>
        <w:rPr>
          <w:i/>
          <w:iCs/>
        </w:rPr>
        <w:t xml:space="preserve">Globalizations</w:t>
      </w:r>
      <w:r>
        <w:t xml:space="preserve">,</w:t>
      </w:r>
      <w:r>
        <w:t xml:space="preserve"> </w:t>
      </w:r>
      <w:r>
        <w:rPr>
          <w:i/>
          <w:iCs/>
        </w:rPr>
        <w:t xml:space="preserve">0</w:t>
      </w:r>
      <w:r>
        <w:t xml:space="preserve">(0), 1–25.</w:t>
      </w:r>
      <w:r>
        <w:t xml:space="preserve"> </w:t>
      </w:r>
      <w:hyperlink r:id="rId179">
        <w:r>
          <w:rPr>
            <w:rStyle w:val="Hyperlink"/>
          </w:rPr>
          <w:t xml:space="preserve">https://doi.org/10.1080/14747731.2024.2424075</w:t>
        </w:r>
      </w:hyperlink>
    </w:p>
    <w:bookmarkEnd w:id="180"/>
    <w:bookmarkStart w:id="182"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81">
        <w:r>
          <w:rPr>
            <w:rStyle w:val="Hyperlink"/>
          </w:rPr>
          <w:t xml:space="preserve">https://doi.org/10.1111/reel.12335</w:t>
        </w:r>
      </w:hyperlink>
    </w:p>
    <w:bookmarkEnd w:id="182"/>
    <w:bookmarkStart w:id="183" w:name="ref-tuck2012"/>
    <w:p>
      <w:pPr>
        <w:pStyle w:val="Bibliografi"/>
      </w:pPr>
      <w:r>
        <w:t xml:space="preserve">Tuck, E., &amp; Yang, K. W. (2012). Decolonization is not a metaphor.</w:t>
      </w:r>
      <w:r>
        <w:t xml:space="preserve"> </w:t>
      </w:r>
      <w:r>
        <w:rPr>
          <w:i/>
          <w:iCs/>
        </w:rPr>
        <w:t xml:space="preserve">Decolonization: Indigeneity, Education &amp; Society</w:t>
      </w:r>
      <w:r>
        <w:t xml:space="preserve">,</w:t>
      </w:r>
      <w:r>
        <w:t xml:space="preserve"> </w:t>
      </w:r>
      <w:r>
        <w:rPr>
          <w:i/>
          <w:iCs/>
        </w:rPr>
        <w:t xml:space="preserve">1</w:t>
      </w:r>
      <w:r>
        <w:t xml:space="preserve">(1), 40.</w:t>
      </w:r>
    </w:p>
    <w:bookmarkEnd w:id="183"/>
    <w:bookmarkStart w:id="185"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84">
        <w:r>
          <w:rPr>
            <w:rStyle w:val="Hyperlink"/>
          </w:rPr>
          <w:t xml:space="preserve">https://doi.org/10.1162/GLEP_a_00379</w:t>
        </w:r>
      </w:hyperlink>
    </w:p>
    <w:bookmarkEnd w:id="185"/>
    <w:bookmarkStart w:id="187"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86">
        <w:r>
          <w:rPr>
            <w:rStyle w:val="Hyperlink"/>
          </w:rPr>
          <w:t xml:space="preserve">https://doi.org/10.1162/glep_a_00723</w:t>
        </w:r>
      </w:hyperlink>
    </w:p>
    <w:bookmarkEnd w:id="187"/>
    <w:bookmarkStart w:id="189" w:name="ref-whyte2018"/>
    <w:p>
      <w:pPr>
        <w:pStyle w:val="Bibliografi"/>
      </w:pPr>
      <w:r>
        <w:t xml:space="preserve">Whyte, K. (2018). Settler colonialism, ecology, and environmental injustice.</w:t>
      </w:r>
      <w:r>
        <w:t xml:space="preserve"> </w:t>
      </w:r>
      <w:r>
        <w:rPr>
          <w:i/>
          <w:iCs/>
        </w:rPr>
        <w:t xml:space="preserve">Environment and Society</w:t>
      </w:r>
      <w:r>
        <w:t xml:space="preserve">,</w:t>
      </w:r>
      <w:r>
        <w:t xml:space="preserve"> </w:t>
      </w:r>
      <w:r>
        <w:rPr>
          <w:i/>
          <w:iCs/>
        </w:rPr>
        <w:t xml:space="preserve">9</w:t>
      </w:r>
      <w:r>
        <w:t xml:space="preserve">(1), 125–144.</w:t>
      </w:r>
      <w:r>
        <w:t xml:space="preserve"> </w:t>
      </w:r>
      <w:hyperlink r:id="rId188">
        <w:r>
          <w:rPr>
            <w:rStyle w:val="Hyperlink"/>
          </w:rPr>
          <w:t xml:space="preserve">https://doi.org/10.3167/ares.2018.090109</w:t>
        </w:r>
      </w:hyperlink>
    </w:p>
    <w:bookmarkEnd w:id="189"/>
    <w:bookmarkStart w:id="191" w:name="ref-whyte2020"/>
    <w:p>
      <w:pPr>
        <w:pStyle w:val="Bibliografi"/>
      </w:pPr>
      <w:r>
        <w:t xml:space="preserve">Whyte, K. (2020). Too late for indigenous climate justice: Ecological and relational tipping points.</w:t>
      </w:r>
      <w:r>
        <w:t xml:space="preserve"> </w:t>
      </w:r>
      <w:r>
        <w:rPr>
          <w:i/>
          <w:iCs/>
        </w:rPr>
        <w:t xml:space="preserve">WIREs Climate Change</w:t>
      </w:r>
      <w:r>
        <w:t xml:space="preserve">,</w:t>
      </w:r>
      <w:r>
        <w:t xml:space="preserve"> </w:t>
      </w:r>
      <w:r>
        <w:rPr>
          <w:i/>
          <w:iCs/>
        </w:rPr>
        <w:t xml:space="preserve">11</w:t>
      </w:r>
      <w:r>
        <w:t xml:space="preserve">(1).</w:t>
      </w:r>
      <w:r>
        <w:t xml:space="preserve"> </w:t>
      </w:r>
      <w:hyperlink r:id="rId190">
        <w:r>
          <w:rPr>
            <w:rStyle w:val="Hyperlink"/>
          </w:rPr>
          <w:t xml:space="preserve">https://doi.org/10.1002/wcc.603</w:t>
        </w:r>
      </w:hyperlink>
    </w:p>
    <w:bookmarkEnd w:id="191"/>
    <w:bookmarkStart w:id="193"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92">
        <w:r>
          <w:rPr>
            <w:rStyle w:val="Hyperlink"/>
          </w:rPr>
          <w:t xml:space="preserve">https://doi.org/10.1007/s10584-019-02620-5</w:t>
        </w:r>
      </w:hyperlink>
    </w:p>
    <w:bookmarkEnd w:id="193"/>
    <w:bookmarkStart w:id="195"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94">
        <w:r>
          <w:rPr>
            <w:rStyle w:val="Hyperlink"/>
          </w:rPr>
          <w:t xml:space="preserve">https://doi.org/10.1007/s10113-023-02113-3</w:t>
        </w:r>
      </w:hyperlink>
    </w:p>
    <w:bookmarkEnd w:id="195"/>
    <w:bookmarkEnd w:id="196"/>
    <w:bookmarkEnd w:id="197"/>
    <w:bookmarkStart w:id="198" w:name="r-packages"/>
    <w:p>
      <w:pPr>
        <w:pStyle w:val="Overskrift1"/>
      </w:pPr>
      <w:r>
        <w:t xml:space="preserve">R-packages</w:t>
      </w:r>
    </w:p>
    <w:bookmarkEnd w:id="198"/>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hyperlink" Id="rId190" Target="https://doi.org/10.1002/wcc.603" TargetMode="External" /><Relationship Type="http://schemas.openxmlformats.org/officeDocument/2006/relationships/hyperlink" Id="rId83" Target="https://doi.org/10.1007/978-3-031-22566-6_6" TargetMode="External" /><Relationship Type="http://schemas.openxmlformats.org/officeDocument/2006/relationships/hyperlink" Id="rId194" Target="https://doi.org/10.1007/s10113-023-02113-3" TargetMode="External" /><Relationship Type="http://schemas.openxmlformats.org/officeDocument/2006/relationships/hyperlink" Id="rId192" Target="https://doi.org/10.1007/s10584-019-02620-5" TargetMode="External" /><Relationship Type="http://schemas.openxmlformats.org/officeDocument/2006/relationships/hyperlink" Id="rId136" Target="https://doi.org/10.1007/s11625-020-00807-9" TargetMode="External" /><Relationship Type="http://schemas.openxmlformats.org/officeDocument/2006/relationships/hyperlink" Id="rId123" Target="https://doi.org/10.1016/0016-3287(90)90077-U" TargetMode="External" /><Relationship Type="http://schemas.openxmlformats.org/officeDocument/2006/relationships/hyperlink" Id="rId72" Target="https://doi.org/10.1016/0305-750X(94)90030-2" TargetMode="External" /><Relationship Type="http://schemas.openxmlformats.org/officeDocument/2006/relationships/hyperlink" Id="rId153" Target="https://doi.org/10.1016/j.envsci.2010.10.004" TargetMode="External" /><Relationship Type="http://schemas.openxmlformats.org/officeDocument/2006/relationships/hyperlink" Id="rId127" Target="https://doi.org/10.1016/j.geoforum.2013.01.005" TargetMode="External" /><Relationship Type="http://schemas.openxmlformats.org/officeDocument/2006/relationships/hyperlink" Id="rId143" Target="https://doi.org/10.1016/j.gloenvcha.2022.102527" TargetMode="External" /><Relationship Type="http://schemas.openxmlformats.org/officeDocument/2006/relationships/hyperlink" Id="rId64" Target="https://doi.org/10.1016/j.landusepol.2020.104898" TargetMode="External" /><Relationship Type="http://schemas.openxmlformats.org/officeDocument/2006/relationships/hyperlink" Id="rId170" Target="https://doi.org/10.1016/j.oneear.2020.09.014" TargetMode="External" /><Relationship Type="http://schemas.openxmlformats.org/officeDocument/2006/relationships/hyperlink" Id="rId173" Target="https://doi.org/10.1016/j.worlddev.2019.104683" TargetMode="External" /><Relationship Type="http://schemas.openxmlformats.org/officeDocument/2006/relationships/hyperlink" Id="rId100" Target="https://doi.org/10.1016/j.worlddev.2020.105383" TargetMode="External" /><Relationship Type="http://schemas.openxmlformats.org/officeDocument/2006/relationships/hyperlink" Id="rId90" Target="https://doi.org/10.1080/00141844.2020.1788109" TargetMode="External" /><Relationship Type="http://schemas.openxmlformats.org/officeDocument/2006/relationships/hyperlink" Id="rId134" Target="https://doi.org/10.1080/01436597.2015.1045482" TargetMode="External" /><Relationship Type="http://schemas.openxmlformats.org/officeDocument/2006/relationships/hyperlink" Id="rId164" Target="https://doi.org/10.1080/01621459.2016.1141684" TargetMode="External" /><Relationship Type="http://schemas.openxmlformats.org/officeDocument/2006/relationships/hyperlink" Id="rId96" Target="https://doi.org/10.1080/03066150.2021.1907355" TargetMode="External" /><Relationship Type="http://schemas.openxmlformats.org/officeDocument/2006/relationships/hyperlink" Id="rId81" Target="https://doi.org/10.1080/1177083X.2024.2344497" TargetMode="External" /><Relationship Type="http://schemas.openxmlformats.org/officeDocument/2006/relationships/hyperlink" Id="rId92" Target="https://doi.org/10.1080/13642987.2017.1397633" TargetMode="External" /><Relationship Type="http://schemas.openxmlformats.org/officeDocument/2006/relationships/hyperlink" Id="rId109" Target="https://doi.org/10.1080/1369801X.2013.798140" TargetMode="External" /><Relationship Type="http://schemas.openxmlformats.org/officeDocument/2006/relationships/hyperlink" Id="rId151" Target="https://doi.org/10.1080/14693062.2013.879514" TargetMode="External" /><Relationship Type="http://schemas.openxmlformats.org/officeDocument/2006/relationships/hyperlink" Id="rId129" Target="https://doi.org/10.1080/14693062.2021.1947177" TargetMode="External" /><Relationship Type="http://schemas.openxmlformats.org/officeDocument/2006/relationships/hyperlink" Id="rId140" Target="https://doi.org/10.1080/14693062.2024.2378194" TargetMode="External" /><Relationship Type="http://schemas.openxmlformats.org/officeDocument/2006/relationships/hyperlink" Id="rId106" Target="https://doi.org/10.1080/14747731.2021.2002673" TargetMode="External" /><Relationship Type="http://schemas.openxmlformats.org/officeDocument/2006/relationships/hyperlink" Id="rId179" Target="https://doi.org/10.1080/14747731.2024.2424075" TargetMode="External" /><Relationship Type="http://schemas.openxmlformats.org/officeDocument/2006/relationships/hyperlink" Id="rId162" Target="https://doi.org/10.1080/17565529.2016.1184608" TargetMode="External" /><Relationship Type="http://schemas.openxmlformats.org/officeDocument/2006/relationships/hyperlink" Id="rId145" Target="https://doi.org/10.1080/17565529.2019.1624495" TargetMode="External" /><Relationship Type="http://schemas.openxmlformats.org/officeDocument/2006/relationships/hyperlink" Id="rId147" Target="https://doi.org/10.1080/24694452.2017.1406330" TargetMode="External" /><Relationship Type="http://schemas.openxmlformats.org/officeDocument/2006/relationships/hyperlink" Id="rId119" Target="https://doi.org/10.1086/661274" TargetMode="External" /><Relationship Type="http://schemas.openxmlformats.org/officeDocument/2006/relationships/hyperlink" Id="rId85" Target="https://doi.org/10.1093/cdj/bsab050" TargetMode="External" /><Relationship Type="http://schemas.openxmlformats.org/officeDocument/2006/relationships/hyperlink" Id="rId74" Target="https://doi.org/10.1111/amet.13022" TargetMode="External" /><Relationship Type="http://schemas.openxmlformats.org/officeDocument/2006/relationships/hyperlink" Id="rId149" Target="https://doi.org/10.1111/anti.12421" TargetMode="External" /><Relationship Type="http://schemas.openxmlformats.org/officeDocument/2006/relationships/hyperlink" Id="rId94" Target="https://doi.org/10.1111/apv.12084" TargetMode="External" /><Relationship Type="http://schemas.openxmlformats.org/officeDocument/2006/relationships/hyperlink" Id="rId117" Target="https://doi.org/10.1111/j.1475-4959.2008.00266.x" TargetMode="External" /><Relationship Type="http://schemas.openxmlformats.org/officeDocument/2006/relationships/hyperlink" Id="rId159" Target="https://doi.org/10.1111/j.1549-0831.2003.tb00133.x" TargetMode="External" /><Relationship Type="http://schemas.openxmlformats.org/officeDocument/2006/relationships/hyperlink" Id="rId181" Target="https://doi.org/10.1111/reel.12335" TargetMode="External" /><Relationship Type="http://schemas.openxmlformats.org/officeDocument/2006/relationships/hyperlink" Id="rId184" Target="https://doi.org/10.1162/GLEP_a_00379" TargetMode="External" /><Relationship Type="http://schemas.openxmlformats.org/officeDocument/2006/relationships/hyperlink" Id="rId186" Target="https://doi.org/10.1162/glep_a_00723" TargetMode="External" /><Relationship Type="http://schemas.openxmlformats.org/officeDocument/2006/relationships/hyperlink" Id="rId68" Target="https://doi.org/10.1177/03091325251337717" TargetMode="External" /><Relationship Type="http://schemas.openxmlformats.org/officeDocument/2006/relationships/hyperlink" Id="rId115" Target="https://doi.org/10.1177/1354066117725157" TargetMode="External" /><Relationship Type="http://schemas.openxmlformats.org/officeDocument/2006/relationships/hyperlink" Id="rId138" Target="https://doi.org/10.1515/9780822394501" TargetMode="External" /><Relationship Type="http://schemas.openxmlformats.org/officeDocument/2006/relationships/hyperlink" Id="rId70" Target="https://doi.org/10.1515/9781400828654" TargetMode="External" /><Relationship Type="http://schemas.openxmlformats.org/officeDocument/2006/relationships/hyperlink" Id="rId166" Target="https://doi.org/10.18637/jss.v091.i02" TargetMode="External" /><Relationship Type="http://schemas.openxmlformats.org/officeDocument/2006/relationships/hyperlink" Id="rId132" Target="https://doi.org/10.2307/j.ctv11smt9s" TargetMode="External" /><Relationship Type="http://schemas.openxmlformats.org/officeDocument/2006/relationships/hyperlink" Id="rId188" Target="https://doi.org/10.3167/ares.2018.090109" TargetMode="External" /><Relationship Type="http://schemas.openxmlformats.org/officeDocument/2006/relationships/hyperlink" Id="rId98" Target="https://doi.org/10.3362/9781780440415.001" TargetMode="External" /><Relationship Type="http://schemas.openxmlformats.org/officeDocument/2006/relationships/hyperlink" Id="rId113" Target="https://doi.org/10.3384/cu.2000.1525.1790615" TargetMode="External" /><Relationship Type="http://schemas.openxmlformats.org/officeDocument/2006/relationships/hyperlink" Id="rId125" Target="https://doi.org/10.3763/cdev.2010.0053" TargetMode="External" /><Relationship Type="http://schemas.openxmlformats.org/officeDocument/2006/relationships/hyperlink" Id="rId168" Target="https://doi.org/10.4324/9781315634876" TargetMode="External" /><Relationship Type="http://schemas.openxmlformats.org/officeDocument/2006/relationships/hyperlink" Id="rId155" Target="https://muse.jhu.edu/pub/4/article/23906" TargetMode="External" /><Relationship Type="http://schemas.openxmlformats.org/officeDocument/2006/relationships/hyperlink" Id="rId79" Target="https://www.climatepolicyinitiative.org/wp-content/uploads/2023/11/GLCF-2023-Methodology.pdf" TargetMode="External" /><Relationship Type="http://schemas.openxmlformats.org/officeDocument/2006/relationships/hyperlink" Id="rId102" Target="https://www.jstor.org/stable/j.ctt7rtgw" TargetMode="External" /><Relationship Type="http://schemas.openxmlformats.org/officeDocument/2006/relationships/hyperlink" Id="rId88" Target="https://www.jstor.org/stable/j.ctv2114fm3" TargetMode="External" /><Relationship Type="http://schemas.openxmlformats.org/officeDocument/2006/relationships/hyperlink" Id="rId17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90" Target="https://doi.org/10.1002/wcc.603" TargetMode="External" /><Relationship Type="http://schemas.openxmlformats.org/officeDocument/2006/relationships/hyperlink" Id="rId83" Target="https://doi.org/10.1007/978-3-031-22566-6_6" TargetMode="External" /><Relationship Type="http://schemas.openxmlformats.org/officeDocument/2006/relationships/hyperlink" Id="rId194" Target="https://doi.org/10.1007/s10113-023-02113-3" TargetMode="External" /><Relationship Type="http://schemas.openxmlformats.org/officeDocument/2006/relationships/hyperlink" Id="rId192" Target="https://doi.org/10.1007/s10584-019-02620-5" TargetMode="External" /><Relationship Type="http://schemas.openxmlformats.org/officeDocument/2006/relationships/hyperlink" Id="rId136" Target="https://doi.org/10.1007/s11625-020-00807-9" TargetMode="External" /><Relationship Type="http://schemas.openxmlformats.org/officeDocument/2006/relationships/hyperlink" Id="rId123" Target="https://doi.org/10.1016/0016-3287(90)90077-U" TargetMode="External" /><Relationship Type="http://schemas.openxmlformats.org/officeDocument/2006/relationships/hyperlink" Id="rId72" Target="https://doi.org/10.1016/0305-750X(94)90030-2" TargetMode="External" /><Relationship Type="http://schemas.openxmlformats.org/officeDocument/2006/relationships/hyperlink" Id="rId153" Target="https://doi.org/10.1016/j.envsci.2010.10.004" TargetMode="External" /><Relationship Type="http://schemas.openxmlformats.org/officeDocument/2006/relationships/hyperlink" Id="rId127" Target="https://doi.org/10.1016/j.geoforum.2013.01.005" TargetMode="External" /><Relationship Type="http://schemas.openxmlformats.org/officeDocument/2006/relationships/hyperlink" Id="rId143" Target="https://doi.org/10.1016/j.gloenvcha.2022.102527" TargetMode="External" /><Relationship Type="http://schemas.openxmlformats.org/officeDocument/2006/relationships/hyperlink" Id="rId64" Target="https://doi.org/10.1016/j.landusepol.2020.104898" TargetMode="External" /><Relationship Type="http://schemas.openxmlformats.org/officeDocument/2006/relationships/hyperlink" Id="rId170" Target="https://doi.org/10.1016/j.oneear.2020.09.014" TargetMode="External" /><Relationship Type="http://schemas.openxmlformats.org/officeDocument/2006/relationships/hyperlink" Id="rId173" Target="https://doi.org/10.1016/j.worlddev.2019.104683" TargetMode="External" /><Relationship Type="http://schemas.openxmlformats.org/officeDocument/2006/relationships/hyperlink" Id="rId100" Target="https://doi.org/10.1016/j.worlddev.2020.105383" TargetMode="External" /><Relationship Type="http://schemas.openxmlformats.org/officeDocument/2006/relationships/hyperlink" Id="rId90" Target="https://doi.org/10.1080/00141844.2020.1788109" TargetMode="External" /><Relationship Type="http://schemas.openxmlformats.org/officeDocument/2006/relationships/hyperlink" Id="rId134" Target="https://doi.org/10.1080/01436597.2015.1045482" TargetMode="External" /><Relationship Type="http://schemas.openxmlformats.org/officeDocument/2006/relationships/hyperlink" Id="rId164" Target="https://doi.org/10.1080/01621459.2016.1141684" TargetMode="External" /><Relationship Type="http://schemas.openxmlformats.org/officeDocument/2006/relationships/hyperlink" Id="rId96" Target="https://doi.org/10.1080/03066150.2021.1907355" TargetMode="External" /><Relationship Type="http://schemas.openxmlformats.org/officeDocument/2006/relationships/hyperlink" Id="rId81" Target="https://doi.org/10.1080/1177083X.2024.2344497" TargetMode="External" /><Relationship Type="http://schemas.openxmlformats.org/officeDocument/2006/relationships/hyperlink" Id="rId92" Target="https://doi.org/10.1080/13642987.2017.1397633" TargetMode="External" /><Relationship Type="http://schemas.openxmlformats.org/officeDocument/2006/relationships/hyperlink" Id="rId109" Target="https://doi.org/10.1080/1369801X.2013.798140" TargetMode="External" /><Relationship Type="http://schemas.openxmlformats.org/officeDocument/2006/relationships/hyperlink" Id="rId151" Target="https://doi.org/10.1080/14693062.2013.879514" TargetMode="External" /><Relationship Type="http://schemas.openxmlformats.org/officeDocument/2006/relationships/hyperlink" Id="rId129" Target="https://doi.org/10.1080/14693062.2021.1947177" TargetMode="External" /><Relationship Type="http://schemas.openxmlformats.org/officeDocument/2006/relationships/hyperlink" Id="rId140" Target="https://doi.org/10.1080/14693062.2024.2378194" TargetMode="External" /><Relationship Type="http://schemas.openxmlformats.org/officeDocument/2006/relationships/hyperlink" Id="rId106" Target="https://doi.org/10.1080/14747731.2021.2002673" TargetMode="External" /><Relationship Type="http://schemas.openxmlformats.org/officeDocument/2006/relationships/hyperlink" Id="rId179" Target="https://doi.org/10.1080/14747731.2024.2424075" TargetMode="External" /><Relationship Type="http://schemas.openxmlformats.org/officeDocument/2006/relationships/hyperlink" Id="rId162" Target="https://doi.org/10.1080/17565529.2016.1184608" TargetMode="External" /><Relationship Type="http://schemas.openxmlformats.org/officeDocument/2006/relationships/hyperlink" Id="rId145" Target="https://doi.org/10.1080/17565529.2019.1624495" TargetMode="External" /><Relationship Type="http://schemas.openxmlformats.org/officeDocument/2006/relationships/hyperlink" Id="rId147" Target="https://doi.org/10.1080/24694452.2017.1406330" TargetMode="External" /><Relationship Type="http://schemas.openxmlformats.org/officeDocument/2006/relationships/hyperlink" Id="rId119" Target="https://doi.org/10.1086/661274" TargetMode="External" /><Relationship Type="http://schemas.openxmlformats.org/officeDocument/2006/relationships/hyperlink" Id="rId85" Target="https://doi.org/10.1093/cdj/bsab050" TargetMode="External" /><Relationship Type="http://schemas.openxmlformats.org/officeDocument/2006/relationships/hyperlink" Id="rId74" Target="https://doi.org/10.1111/amet.13022" TargetMode="External" /><Relationship Type="http://schemas.openxmlformats.org/officeDocument/2006/relationships/hyperlink" Id="rId149" Target="https://doi.org/10.1111/anti.12421" TargetMode="External" /><Relationship Type="http://schemas.openxmlformats.org/officeDocument/2006/relationships/hyperlink" Id="rId94" Target="https://doi.org/10.1111/apv.12084" TargetMode="External" /><Relationship Type="http://schemas.openxmlformats.org/officeDocument/2006/relationships/hyperlink" Id="rId117" Target="https://doi.org/10.1111/j.1475-4959.2008.00266.x" TargetMode="External" /><Relationship Type="http://schemas.openxmlformats.org/officeDocument/2006/relationships/hyperlink" Id="rId159" Target="https://doi.org/10.1111/j.1549-0831.2003.tb00133.x" TargetMode="External" /><Relationship Type="http://schemas.openxmlformats.org/officeDocument/2006/relationships/hyperlink" Id="rId181" Target="https://doi.org/10.1111/reel.12335" TargetMode="External" /><Relationship Type="http://schemas.openxmlformats.org/officeDocument/2006/relationships/hyperlink" Id="rId184" Target="https://doi.org/10.1162/GLEP_a_00379" TargetMode="External" /><Relationship Type="http://schemas.openxmlformats.org/officeDocument/2006/relationships/hyperlink" Id="rId186" Target="https://doi.org/10.1162/glep_a_00723" TargetMode="External" /><Relationship Type="http://schemas.openxmlformats.org/officeDocument/2006/relationships/hyperlink" Id="rId68" Target="https://doi.org/10.1177/03091325251337717" TargetMode="External" /><Relationship Type="http://schemas.openxmlformats.org/officeDocument/2006/relationships/hyperlink" Id="rId115" Target="https://doi.org/10.1177/1354066117725157" TargetMode="External" /><Relationship Type="http://schemas.openxmlformats.org/officeDocument/2006/relationships/hyperlink" Id="rId138" Target="https://doi.org/10.1515/9780822394501" TargetMode="External" /><Relationship Type="http://schemas.openxmlformats.org/officeDocument/2006/relationships/hyperlink" Id="rId70" Target="https://doi.org/10.1515/9781400828654" TargetMode="External" /><Relationship Type="http://schemas.openxmlformats.org/officeDocument/2006/relationships/hyperlink" Id="rId166" Target="https://doi.org/10.18637/jss.v091.i02" TargetMode="External" /><Relationship Type="http://schemas.openxmlformats.org/officeDocument/2006/relationships/hyperlink" Id="rId132" Target="https://doi.org/10.2307/j.ctv11smt9s" TargetMode="External" /><Relationship Type="http://schemas.openxmlformats.org/officeDocument/2006/relationships/hyperlink" Id="rId188" Target="https://doi.org/10.3167/ares.2018.090109" TargetMode="External" /><Relationship Type="http://schemas.openxmlformats.org/officeDocument/2006/relationships/hyperlink" Id="rId98" Target="https://doi.org/10.3362/9781780440415.001" TargetMode="External" /><Relationship Type="http://schemas.openxmlformats.org/officeDocument/2006/relationships/hyperlink" Id="rId113" Target="https://doi.org/10.3384/cu.2000.1525.1790615" TargetMode="External" /><Relationship Type="http://schemas.openxmlformats.org/officeDocument/2006/relationships/hyperlink" Id="rId125" Target="https://doi.org/10.3763/cdev.2010.0053" TargetMode="External" /><Relationship Type="http://schemas.openxmlformats.org/officeDocument/2006/relationships/hyperlink" Id="rId168" Target="https://doi.org/10.4324/9781315634876" TargetMode="External" /><Relationship Type="http://schemas.openxmlformats.org/officeDocument/2006/relationships/hyperlink" Id="rId155" Target="https://muse.jhu.edu/pub/4/article/23906" TargetMode="External" /><Relationship Type="http://schemas.openxmlformats.org/officeDocument/2006/relationships/hyperlink" Id="rId79" Target="https://www.climatepolicyinitiative.org/wp-content/uploads/2023/11/GLCF-2023-Methodology.pdf" TargetMode="External" /><Relationship Type="http://schemas.openxmlformats.org/officeDocument/2006/relationships/hyperlink" Id="rId102" Target="https://www.jstor.org/stable/j.ctt7rtgw" TargetMode="External" /><Relationship Type="http://schemas.openxmlformats.org/officeDocument/2006/relationships/hyperlink" Id="rId88" Target="https://www.jstor.org/stable/j.ctv2114fm3" TargetMode="External" /><Relationship Type="http://schemas.openxmlformats.org/officeDocument/2006/relationships/hyperlink" Id="rId17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2025-05-25T15:16:29Z</dcterms:created>
  <dcterms:modified xsi:type="dcterms:W3CDTF">2025-05-25T15:16:29Z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2025-05-25</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