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2025-05-09</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5" w:name="sec-intro"/>
    <w:p>
      <w:pPr>
        <w:pStyle w:val="Overskrift1"/>
      </w:pPr>
      <w:r>
        <w:t xml:space="preserve">1. Introduction</w:t>
      </w:r>
    </w:p>
    <w:p>
      <w:pPr>
        <w:pStyle w:val="FirstParagraph"/>
      </w:pPr>
      <w:r>
        <w:t xml:space="preserve">Climate adaptation is emerging as one of the defining paradigms of North-South relations in the 21st century. As climate impacts intensify across the globe, the question of how societies should adapt to these changes has moved from the periphery to the center of international governance. Yet despite the growing importance of adaptation in climate summits, funding mechanisms, and policy discussions, there remains a troubling uniformity in how adaptation is conceptualized and implemented across diverse contexts.</w:t>
      </w:r>
    </w:p>
    <w:p>
      <w:pPr>
        <w:pStyle w:val="Brdtekst"/>
      </w:pPr>
      <w:r>
        <w:t xml:space="preserve">This homogeneity persists despite a rich body of literature arguing that truly effective responses to complex challenges require ontological and epistemological diversity—different ways of knowing and being in relation to climate futures. Scholars have argued that the dominant development paradigm systematically excludes alternative knowledges and possibilities</w:t>
      </w:r>
      <w:r>
        <w:t xml:space="preserve"> </w:t>
      </w:r>
      <w:r>
        <w:t xml:space="preserve">(Escobar, 2018)</w:t>
      </w:r>
      <w:r>
        <w:t xml:space="preserve"> </w:t>
      </w:r>
      <w:r>
        <w:t xml:space="preserve">and highlight the</w:t>
      </w:r>
      <w:r>
        <w:t xml:space="preserve"> </w:t>
      </w:r>
      <w:r>
        <w:t xml:space="preserve">“epistemicide”</w:t>
      </w:r>
      <w:r>
        <w:t xml:space="preserve"> </w:t>
      </w:r>
      <w:r>
        <w:t xml:space="preserve">that occurs when Western knowledge systems are universalized at the expense of other forms of knowing</w:t>
      </w:r>
      <w:r>
        <w:t xml:space="preserve"> </w:t>
      </w:r>
      <w:r>
        <w:t xml:space="preserve">(</w:t>
      </w:r>
      <w:r>
        <w:rPr>
          <w:b/>
          <w:bCs/>
        </w:rPr>
        <w:t xml:space="preserve">santos2016?</w:t>
      </w:r>
      <w:r>
        <w:t xml:space="preserve">)</w:t>
      </w:r>
      <w:r>
        <w:t xml:space="preserve">. These critiques suggest that effective climate adaptation would require not just technical adjustments within existing systems, but openness to fundamentally different ways of conceptualizing relationships between humans, non-humans, and future generations.</w:t>
      </w:r>
    </w:p>
    <w:p>
      <w:pPr>
        <w:pStyle w:val="Brdtekst"/>
      </w:pPr>
      <w:r>
        <w:t xml:space="preserve">This thesis examines the tension between the theoretical call for diverse approaches to adaptation and the apparent homogeneity in adaptation governance. Rather than assuming uniformity, however, I develop a methodological approach to empirically measure discourse centralization in climate adaptation. Through analysis of National Adaptation Plans (NAPs) submitted to the UNFCCC, I investigate to what extent adaptation discourse reflects a plurality of epistemological and ontological positions or the dominance of a singular global discourse.</w:t>
      </w:r>
      <w:r>
        <w:t xml:space="preserve"> </w:t>
      </w:r>
      <w:r>
        <w:t xml:space="preserve">## Climate Adaptation</w:t>
      </w:r>
    </w:p>
    <w:p>
      <w:pPr>
        <w:pStyle w:val="Brdtekst"/>
      </w:pPr>
      <w:r>
        <w:t xml:space="preserve">International climate change action has evolved significantly since the establishment of the United Nations Framework Convention on Climate Change (UNFCCC) in 1992. Initially focused primarily on mitigation—reducing greenhouse gas emissions—the climate governance architecture has expanded to include adaptation as a second pillar following the Cancun Agreements in 2010, and loss and damage as a third pillar with the Paris Agreement in 2015.</w:t>
      </w:r>
    </w:p>
    <w:p>
      <w:pPr>
        <w:pStyle w:val="Brdtekst"/>
      </w:pPr>
      <w:r>
        <w:t xml:space="preserve">This evolution reflects the growing recognition that some climate impacts are now unavoidable, even with ambitious mitigation efforts. The concept of</w:t>
      </w:r>
      <w:r>
        <w:t xml:space="preserve"> </w:t>
      </w:r>
      <w:r>
        <w:t xml:space="preserve">“common but differentiated responsibilities”</w:t>
      </w:r>
      <w:r>
        <w:t xml:space="preserve"> </w:t>
      </w:r>
      <w:r>
        <w:t xml:space="preserve">established at the Earth Summit has shaped how these pillars are operationalized, with industrialized countries seen as bearing greater responsibility both for emissions reductions and for providing support to developing countries facing disproportionate climate impacts despite contributing least to the problem.</w:t>
      </w:r>
    </w:p>
    <w:p>
      <w:pPr>
        <w:pStyle w:val="Brdtekst"/>
      </w:pPr>
      <w:r>
        <w:t xml:space="preserve">Climate adaptation has become increasingly central to Human Security frameworks. As defined by the UNDP (1994), Human Security broadens traditional security concepts to include threats to food security, environmental security, community security, and personal security—all domains directly affected by climate change. Climate adaptation intersects with each of these dimensions, potentially reshaping how security is conceptualized and pursued in international relations.</w:t>
      </w:r>
    </w:p>
    <w:p>
      <w:pPr>
        <w:pStyle w:val="Brdtekst"/>
      </w:pPr>
      <w:r>
        <w:t xml:space="preserve">The funding landscape for adaptation has evolved to include mechanisms like the Green Climate Fund, the Adaptation Fund, and various bilateral and multilateral arrangements. Despite pledges like the</w:t>
      </w:r>
      <w:r>
        <w:t xml:space="preserve"> </w:t>
      </w:r>
      <w:r>
        <w:t xml:space="preserve">“$100 billion promise”</w:t>
      </w:r>
      <w:r>
        <w:t xml:space="preserve"> </w:t>
      </w:r>
      <w:r>
        <w:t xml:space="preserve">and the recent $300 billion commitment at COP29 in Baku (2024), actual disbursement patterns remain contentious, with questions about what counts as adaptation finance and who controls how it is allocated and implemented.</w:t>
      </w:r>
    </w:p>
    <w:bookmarkStart w:id="22" w:name="homogeneity"/>
    <w:p>
      <w:pPr>
        <w:pStyle w:val="Overskrift2"/>
      </w:pPr>
      <w:r>
        <w:t xml:space="preserve">1.1 Homogeneity</w:t>
      </w:r>
    </w:p>
    <w:p>
      <w:pPr>
        <w:pStyle w:val="FirstParagraph"/>
      </w:pPr>
      <w:r>
        <w:t xml:space="preserve">Working within large climate policy organizations, one encounters a striking uniformity in how adaptation is conceptualized and approached. Despite operating across dramatically different geographical, cultural, and socioeconomic contexts, adaptation projects often employ remarkably similar framing, methodologies, and solutions. This homogeneity exists in tension with the diverse climate impacts experienced across regions and the heterogeneous social, economic, and cultural contexts in which adaptation must occur.</w:t>
      </w:r>
    </w:p>
    <w:p>
      <w:pPr>
        <w:pStyle w:val="Brdtekst"/>
      </w:pPr>
      <w:r>
        <w:t xml:space="preserve">The field of climate adaptation research reveals this tension clearly. On one hand, the</w:t>
      </w:r>
      <w:r>
        <w:t xml:space="preserve"> </w:t>
      </w:r>
      <w:r>
        <w:t xml:space="preserve">“adaptation nexus”</w:t>
      </w:r>
      <w:r>
        <w:t xml:space="preserve"> </w:t>
      </w:r>
      <w:r>
        <w:t xml:space="preserve">approach, drawing from participatory development traditions, emphasizes technical adjustments and institution-building within existing systems. On the other hand, the</w:t>
      </w:r>
      <w:r>
        <w:t xml:space="preserve"> </w:t>
      </w:r>
      <w:r>
        <w:t xml:space="preserve">“adaptation regime”</w:t>
      </w:r>
      <w:r>
        <w:t xml:space="preserve"> </w:t>
      </w:r>
      <w:r>
        <w:t xml:space="preserve">critique, emerging from post-structural analysis, argues that adaptation discourse functions as a technique of power that reproduces rather than challenges existing inequalities. Between these approaches lies a fundamental disagreement about what adaptation is and ought to be.</w:t>
      </w:r>
    </w:p>
    <w:p>
      <w:pPr>
        <w:pStyle w:val="Brdtekst"/>
      </w:pPr>
      <w:r>
        <w:t xml:space="preserve">This tension reflects a broader challenge in addressing complex global challenges: how to navigate between universal frameworks needed for coordination and the diverse knowledge systems, ontologies, and epistemologies that might offer more contextually appropriate and transformative solutions. Scholars like Raworth (2017), Mazzucato (2021), and Scott (1998) have proposed alternative frameworks for governance that could potentially accommodate greater diversity in approaches to complex challenges like climate adaptation.</w:t>
      </w:r>
    </w:p>
    <w:p>
      <w:pPr>
        <w:pStyle w:val="Brdtekst"/>
      </w:pPr>
      <w:r>
        <w:t xml:space="preserve">But how homogeneous is adaptation discourse in practice? Rather than assuming either complete uniformity or radical diversity, this thesis develops a methodological approach to empirically measure discourse centralization in climate adaptation. This approach allows us to move beyond binary oppositions to understand the actual patterns of discourse in adaptation governance.</w:t>
      </w:r>
    </w:p>
    <w:bookmarkEnd w:id="22"/>
    <w:bookmarkStart w:id="23" w:name="research-questions"/>
    <w:p>
      <w:pPr>
        <w:pStyle w:val="Overskrift2"/>
      </w:pPr>
      <w:r>
        <w:t xml:space="preserve">1.2 Research Questions</w:t>
      </w:r>
    </w:p>
    <w:p>
      <w:pPr>
        <w:pStyle w:val="FirstParagraph"/>
      </w:pPr>
      <w:r>
        <w:t xml:space="preserve">This thesis addresses three central research questions:</w:t>
      </w:r>
    </w:p>
    <w:p>
      <w:pPr>
        <w:pStyle w:val="Compact"/>
        <w:numPr>
          <w:ilvl w:val="0"/>
          <w:numId w:val="1001"/>
        </w:numPr>
      </w:pPr>
      <w:r>
        <w:t xml:space="preserve">To what extent is climate adaptation discourse centralized or diverse across different contexts?</w:t>
      </w:r>
    </w:p>
    <w:p>
      <w:pPr>
        <w:pStyle w:val="Compact"/>
        <w:numPr>
          <w:ilvl w:val="0"/>
          <w:numId w:val="1001"/>
        </w:numPr>
      </w:pPr>
      <w:r>
        <w:t xml:space="preserve">What do patterns of discourse centralization reveal about power dynamics in climate adaptation governance?</w:t>
      </w:r>
    </w:p>
    <w:p>
      <w:pPr>
        <w:pStyle w:val="Compact"/>
        <w:numPr>
          <w:ilvl w:val="0"/>
          <w:numId w:val="1001"/>
        </w:numPr>
      </w:pPr>
      <w:r>
        <w:t xml:space="preserve">What implications do these discourse patterns have for the future of climate adaptation as a framework for North-South relations?</w:t>
      </w:r>
    </w:p>
    <w:p>
      <w:pPr>
        <w:pStyle w:val="FirstParagraph"/>
      </w:pPr>
      <w:r>
        <w:t xml:space="preserve">To address these questions, I develop a methodological approach centered around the</w:t>
      </w:r>
      <w:r>
        <w:t xml:space="preserve"> </w:t>
      </w:r>
      <w:r>
        <w:t xml:space="preserve">“Dominance Index”</w:t>
      </w:r>
      <w:r>
        <w:t xml:space="preserve">—a measurement tool for quantifying the degree of discourse centralization across different contexts. This approach combines structural topic modeling of National Adaptation Plans with calculations of topic dominance to identify patterns in how adaptation is conceptualized in official policy documents.</w:t>
      </w:r>
    </w:p>
    <w:p>
      <w:pPr>
        <w:pStyle w:val="Brdtekst"/>
      </w:pPr>
      <w:r>
        <w:t xml:space="preserve">While the Dominance Index itself is relatively straightforward, its application to questions of discourse centralization represents a functional bridge between critical theory and quantitative methods. This interdisciplinary approach allows for empirical assessment of theoretical claims about discourse homogeneity while maintaining sensitivity to power dynamics in climate governance.</w:t>
      </w:r>
    </w:p>
    <w:p>
      <w:pPr>
        <w:pStyle w:val="Brdtekst"/>
      </w:pPr>
      <w:r>
        <w:t xml:space="preserve">The analysis reveals a surprising finding: adaptation discourse clusters most strongly by region rather than income level or geography. This suggests that regional epistemic communities and institutions may shape adaptation conceptualizations more significantly than either purely global frameworks or purely local knowledge systems. This finding complicates both the adaptation nexus and adaptation regime perspectives, pointing toward a more complex landscape of knowledge production in climate adaptation.</w:t>
      </w:r>
    </w:p>
    <w:bookmarkEnd w:id="23"/>
    <w:bookmarkStart w:id="24" w:name="structure"/>
    <w:p>
      <w:pPr>
        <w:pStyle w:val="Overskrift2"/>
      </w:pPr>
      <w:r>
        <w:t xml:space="preserve">1.3 Structure</w:t>
      </w:r>
    </w:p>
    <w:p>
      <w:pPr>
        <w:pStyle w:val="FirstParagraph"/>
      </w:pPr>
      <w:r>
        <w:t xml:space="preserve">This thesis makes three primary contributions to our understanding of climate adaptation governance:</w:t>
      </w:r>
    </w:p>
    <w:p>
      <w:pPr>
        <w:pStyle w:val="Compact"/>
        <w:numPr>
          <w:ilvl w:val="0"/>
          <w:numId w:val="1002"/>
        </w:numPr>
      </w:pPr>
      <w:r>
        <w:t xml:space="preserve">First, it provides a theoretical framework for understanding adaptation as a site of contested futures where epistemological and ontological assumptions shape which adaptation pathways are considered possible or impossible. By drawing connections between critical future studies and adaptation governance, the thesis illuminates how discourse centralization can function as a form of</w:t>
      </w:r>
      <w:r>
        <w:t xml:space="preserve"> </w:t>
      </w:r>
      <w:r>
        <w:t xml:space="preserve">“defuturing”</w:t>
      </w:r>
      <w:r>
        <w:t xml:space="preserve">—actively reducing rather than expanding future possibilities.</w:t>
      </w:r>
    </w:p>
    <w:p>
      <w:pPr>
        <w:pStyle w:val="Compact"/>
        <w:numPr>
          <w:ilvl w:val="0"/>
          <w:numId w:val="1002"/>
        </w:numPr>
      </w:pPr>
      <w:r>
        <w:t xml:space="preserve">Second, it develops a methodological approach for measuring discourse centralization that can be applied beyond climate adaptation to other domains of global governance. The Dominance Index offers a way to empirically assess the degree to which discourse reflects a diversity of perspectives or the dominance of particular ways of knowing and being.</w:t>
      </w:r>
    </w:p>
    <w:p>
      <w:pPr>
        <w:pStyle w:val="Compact"/>
        <w:numPr>
          <w:ilvl w:val="0"/>
          <w:numId w:val="1002"/>
        </w:numPr>
      </w:pPr>
      <w:r>
        <w:t xml:space="preserve">Third, it offers empirical insights about regional patterns in adaptation discourse that challenge simplistic narratives about global-local dynamics in climate governance. These findings have implications for how we understand the role of regional institutions in mediating between global frameworks and local implementation.</w:t>
      </w:r>
    </w:p>
    <w:p>
      <w:pPr>
        <w:pStyle w:val="FirstParagraph"/>
      </w:pPr>
      <w:r>
        <w:t xml:space="preserve">The thesis is structured in three parts:</w:t>
      </w:r>
    </w:p>
    <w:p>
      <w:pPr>
        <w:pStyle w:val="Compact"/>
        <w:numPr>
          <w:ilvl w:val="0"/>
          <w:numId w:val="1003"/>
        </w:numPr>
      </w:pPr>
      <w:r>
        <w:t xml:space="preserve">Part 1 establishes climate adaptation as a case study. Chapter 1 traces the evolution of adaptation within international climate governance. Chapter 2 reviews competing paradigms in adaptation research, contrasting the adaptation nexus and adaptation regime approaches.</w:t>
      </w:r>
    </w:p>
    <w:p>
      <w:pPr>
        <w:pStyle w:val="Compact"/>
        <w:numPr>
          <w:ilvl w:val="0"/>
          <w:numId w:val="1003"/>
        </w:numPr>
      </w:pPr>
      <w:r>
        <w:t xml:space="preserve">Part 2 develops the theoretical and methodological framework. Chapter 3 presents a theoretical framework drawing from critical future studies to understand adaptation as a site of contested futures. Chapter 4 outlines the methodological approach, including the development of the Dominance Index and its application to NAPs.</w:t>
      </w:r>
    </w:p>
    <w:p>
      <w:pPr>
        <w:pStyle w:val="Compact"/>
        <w:numPr>
          <w:ilvl w:val="0"/>
          <w:numId w:val="1003"/>
        </w:numPr>
      </w:pPr>
      <w:r>
        <w:t xml:space="preserve">Part 3 presents the analysis and implications. Chapter 5 presents findings on discourse centralization patterns across different dimensions. Chapter 6 discusses the implications of these patterns for power dynamics in adaptation governance and the future of climate adaptation as a framework for North-South relations. Chapter 7 concludes by reflecting on the broader significance of these findings for addressing complex global challenges.</w:t>
      </w:r>
    </w:p>
    <w:p>
      <w:pPr>
        <w:pStyle w:val="FirstParagraph"/>
      </w:pPr>
      <w:r>
        <w:t xml:space="preserve">Through this structure, the thesis bridges critical theoretical perspectives with empirical analysis to offer new insights into how climate adaptation discourse is shaped and what this means for addressing one of the defining challenges of our time.</w:t>
      </w:r>
    </w:p>
    <w:bookmarkEnd w:id="24"/>
    <w:bookmarkEnd w:id="25"/>
    <w:bookmarkStart w:id="30" w:name="sec-context"/>
    <w:p>
      <w:pPr>
        <w:pStyle w:val="Overskrift1"/>
      </w:pPr>
      <w:r>
        <w:t xml:space="preserve">2. Context: Climate action</w:t>
      </w:r>
    </w:p>
    <w:p>
      <w:pPr>
        <w:pStyle w:val="FirstParagraph"/>
      </w:pPr>
      <w:r>
        <w:t xml:space="preserve">International climate change action is governed by the United Nations Framework Convention on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rdteks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This principle has become a cornerstone of international climate negotiations, though its interpretation has evolved over time, particularly as the economic circumstances of various countries have changed</w:t>
      </w:r>
      <w:r>
        <w:t xml:space="preserve"> </w:t>
      </w:r>
      <w:r>
        <w:t xml:space="preserve">(</w:t>
      </w:r>
      <w:r>
        <w:rPr>
          <w:b/>
          <w:bCs/>
        </w:rPr>
        <w:t xml:space="preserve">rajamani2000?</w:t>
      </w:r>
      <w:r>
        <w:t xml:space="preserve">)</w:t>
      </w:r>
      <w:r>
        <w:t xml:space="preserve">.</w:t>
      </w:r>
    </w:p>
    <w:p>
      <w:pPr>
        <w:pStyle w:val="Brdtekst"/>
      </w:pPr>
      <w:r>
        <w:t xml:space="preserve">Official development assistance, an OECD measurement for foreign aid, was adapted to the Summit, known as the Rio markers, making it possible to code North-South aid as contributing towards the goals established in these conventions [source]. The Rio markers system allows donors to indicate when activities target climate mitigation, climate adaptation, biodiversity, or desertification as either a</w:t>
      </w:r>
      <w:r>
        <w:t xml:space="preserve"> </w:t>
      </w:r>
      <w:r>
        <w:t xml:space="preserve">“principal”</w:t>
      </w:r>
      <w:r>
        <w:t xml:space="preserve"> </w:t>
      </w:r>
      <w:r>
        <w:t xml:space="preserve">or</w:t>
      </w:r>
      <w:r>
        <w:t xml:space="preserve"> </w:t>
      </w:r>
      <w:r>
        <w:t xml:space="preserve">“significant”</w:t>
      </w:r>
      <w:r>
        <w:t xml:space="preserve"> </w:t>
      </w:r>
      <w:r>
        <w:t xml:space="preserve">objective. This tracking system has become increasingly important as climate finance has grown in prominence, though it has been criticized for inconsistent application across donors and for potentially inflating climate finance figures</w:t>
      </w:r>
      <w:r>
        <w:t xml:space="preserve"> </w:t>
      </w:r>
      <w:r>
        <w:t xml:space="preserve">(</w:t>
      </w:r>
      <w:r>
        <w:rPr>
          <w:b/>
          <w:bCs/>
        </w:rPr>
        <w:t xml:space="preserve">weikmans2017?</w:t>
      </w:r>
      <w:r>
        <w:t xml:space="preserve">)</w:t>
      </w:r>
      <w:r>
        <w:t xml:space="preserve">.</w:t>
      </w:r>
    </w:p>
    <w:bookmarkStart w:id="26" w:name="mitigation"/>
    <w:p>
      <w:pPr>
        <w:pStyle w:val="Overskrift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The Kyoto Protocol set legally binding emissions reduction targets for 37 industrialized countries and economies in transition, with an average reduction of 5.2% from 1990 levels to be achieved by 2012</w:t>
      </w:r>
      <w:r>
        <w:t xml:space="preserve"> </w:t>
      </w:r>
      <w:r>
        <w:t xml:space="preserve">(</w:t>
      </w:r>
      <w:r>
        <w:rPr>
          <w:b/>
          <w:bCs/>
        </w:rPr>
        <w:t xml:space="preserve">böhringer2003?</w:t>
      </w:r>
      <w:r>
        <w:t xml:space="preserve">)</w:t>
      </w:r>
      <w:r>
        <w:t xml:space="preserve">.</w:t>
      </w:r>
    </w:p>
    <w:p>
      <w:pPr>
        <w:pStyle w:val="Brdtekst"/>
      </w:pPr>
      <w:r>
        <w:t xml:space="preserve">It also created a market for carbon, called</w:t>
      </w:r>
      <w:r>
        <w:t xml:space="preserve"> </w:t>
      </w:r>
      <w:r>
        <w:t xml:space="preserve">“Flexibility mechanisms”</w:t>
      </w:r>
      <w:r>
        <w:t xml:space="preserve">, where emissions could be traded from developing countries to industrialized countries [source].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r>
        <w:t xml:space="preserve"> </w:t>
      </w:r>
      <w:r>
        <w:t xml:space="preserve">(</w:t>
      </w:r>
      <w:r>
        <w:rPr>
          <w:b/>
          <w:bCs/>
        </w:rPr>
        <w:t xml:space="preserve">michaelowa2007?</w:t>
      </w:r>
      <w:r>
        <w:t xml:space="preserve">)</w:t>
      </w:r>
      <w:r>
        <w:t xml:space="preserve">.</w:t>
      </w:r>
    </w:p>
    <w:p>
      <w:pPr>
        <w:pStyle w:val="Brdtekst"/>
      </w:pPr>
      <w:r>
        <w:t xml:space="preserve">In this way, developing countries that are under no obligation to cut their emissions, could sell carbon credits [source]. This approach was designed to reduce the overall costs of meeting mitigation targets while providing sustainable development benefits to host countries. However, the geographic distribution of CDM projects has been uneven, with the majority concentrated in larger emerging economies like China, India, and Brazil, while least developed countries, particularly in Africa, have hosted relatively few projects</w:t>
      </w:r>
      <w:r>
        <w:t xml:space="preserve"> </w:t>
      </w:r>
      <w:r>
        <w:t xml:space="preserve">(</w:t>
      </w:r>
      <w:r>
        <w:rPr>
          <w:b/>
          <w:bCs/>
        </w:rPr>
        <w:t xml:space="preserve">corbera2009?</w:t>
      </w:r>
      <w:r>
        <w:t xml:space="preserve">)</w:t>
      </w:r>
      <w:r>
        <w:t xml:space="preserve">.</w:t>
      </w:r>
    </w:p>
    <w:p>
      <w:pPr>
        <w:pStyle w:val="Brdtekst"/>
      </w:pPr>
      <w:r>
        <w:t xml:space="preserve">The Paris Agreement, adopted at COP21 in 2015, strengthened the commitment to mitigation, calling for a target to limit climate change to 1,5 degrees [source]. This marked a significant shift from the Kyoto approach, establishing a universal framework where all countries contribute to mitigation efforts according to their capacities and circumstances, through</w:t>
      </w:r>
      <w:r>
        <w:t xml:space="preserve"> </w:t>
      </w:r>
      <w:r>
        <w:t xml:space="preserve">“nationally determined contributions”</w:t>
      </w:r>
      <w:r>
        <w:t xml:space="preserve"> </w:t>
      </w:r>
      <w:r>
        <w:t xml:space="preserve">(NDCs). Unlike Kyoto’s top-down approach with specific targets for developed countries, Paris introduced a hybrid system combining bottom-up national pledges with international oversight</w:t>
      </w:r>
      <w:r>
        <w:t xml:space="preserve"> </w:t>
      </w:r>
      <w:r>
        <w:t xml:space="preserve">(</w:t>
      </w:r>
      <w:r>
        <w:rPr>
          <w:b/>
          <w:bCs/>
        </w:rPr>
        <w:t xml:space="preserve">falkner2016?</w:t>
      </w:r>
      <w:r>
        <w:t xml:space="preserve">)</w:t>
      </w:r>
      <w:r>
        <w:t xml:space="preserve">.</w:t>
      </w:r>
    </w:p>
    <w:p>
      <w:pPr>
        <w:pStyle w:val="Brdtekst"/>
      </w:pPr>
      <w:r>
        <w:t xml:space="preserve">The Paris system attempted to resolve long-standing tensions in the climate regime. By allowing countries to determine their own contributions based on national circumstances, it achieved near-universal participation while maintaining the principle of common but differentiated responsibilities. However, this flexibility came at the cost of ambition, with the first round of NDCs collectively putting the world on track for approximately 3°C of warming rather than the Agreement’s 1.5-2°C goal</w:t>
      </w:r>
      <w:r>
        <w:t xml:space="preserve"> </w:t>
      </w:r>
      <w:r>
        <w:t xml:space="preserve">(</w:t>
      </w:r>
      <w:r>
        <w:rPr>
          <w:b/>
          <w:bCs/>
        </w:rPr>
        <w:t xml:space="preserve">unep2017?</w:t>
      </w:r>
      <w:r>
        <w:t xml:space="preserve">)</w:t>
      </w:r>
      <w:r>
        <w:t xml:space="preserve">.</w:t>
      </w:r>
    </w:p>
    <w:bookmarkEnd w:id="26"/>
    <w:bookmarkStart w:id="27" w:name="adaptation"/>
    <w:p>
      <w:pPr>
        <w:pStyle w:val="Overskrift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This emerged from growing recognition that even with ambitious mitigation efforts, some climate impacts were already occurring and others were inevitable, necessitating organized adaptation efforts</w:t>
      </w:r>
      <w:r>
        <w:t xml:space="preserve"> </w:t>
      </w:r>
      <w:r>
        <w:t xml:space="preserve">(</w:t>
      </w:r>
      <w:r>
        <w:rPr>
          <w:b/>
          <w:bCs/>
        </w:rPr>
        <w:t xml:space="preserve">klein2003?</w:t>
      </w:r>
      <w:r>
        <w:t xml:space="preserve">)</w:t>
      </w:r>
      <w:r>
        <w:t xml:space="preserve">.</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 The 2004 Buenos Aires Programme of Work on Adaptation and Response Measures and the 2006 Nairobi Work Programme on Impacts, Vulnerability, and Adaptation provided frameworks for knowledge sharing and capacity building</w:t>
      </w:r>
      <w:r>
        <w:t xml:space="preserve"> </w:t>
      </w:r>
      <w:r>
        <w:t xml:space="preserve">(</w:t>
      </w:r>
      <w:r>
        <w:rPr>
          <w:b/>
          <w:bCs/>
        </w:rPr>
        <w:t xml:space="preserve">khan2016?</w:t>
      </w:r>
      <w:r>
        <w:t xml:space="preserve">)</w:t>
      </w:r>
      <w:r>
        <w:t xml:space="preserve">.</w:t>
      </w:r>
    </w:p>
    <w:p>
      <w:pPr>
        <w:pStyle w:val="Brdtekst"/>
      </w:pPr>
      <w:r>
        <w:t xml:space="preserve">The Cancun Adaptation Framework established several important mechanisms, including the Adaptation Committee to promote coherent implementation of adaptation actions, the process for formulating and implementing National Adaptation Plans (NAPs), and approaches to address loss and damage. This framework represented a significant step forward in balancing adaptation and mitigation within the climate regime</w:t>
      </w:r>
      <w:r>
        <w:t xml:space="preserve"> </w:t>
      </w:r>
      <w:r>
        <w:t xml:space="preserve">(</w:t>
      </w:r>
      <w:r>
        <w:rPr>
          <w:b/>
          <w:bCs/>
        </w:rPr>
        <w:t xml:space="preserve">roberts2011?</w:t>
      </w:r>
      <w:r>
        <w:t xml:space="preserve">)</w:t>
      </w:r>
      <w:r>
        <w:t xml:space="preserve">.</w:t>
      </w:r>
    </w:p>
    <w:p>
      <w:pPr>
        <w:pStyle w:val="Brdtekst"/>
      </w:pPr>
      <w:r>
        <w:t xml:space="preserve">Climate adaptation are all measures to reduce climate damages. In industrialized countries, adaptation usually means managing surface runoff and in low-lying countries, sea-level level rise and storm surges, with a mix of mechanical- and nature-based interventions. These include infrastructure modifications like sea walls, expanded drainage systems, and elevated buildings, alongside ecosystem-based approaches like wetland restoration, managed retreat from coastlines, and urban greening</w:t>
      </w:r>
      <w:r>
        <w:t xml:space="preserve"> </w:t>
      </w:r>
      <w:r>
        <w:t xml:space="preserve">(</w:t>
      </w:r>
      <w:r>
        <w:rPr>
          <w:b/>
          <w:bCs/>
        </w:rPr>
        <w:t xml:space="preserve">kates2012?</w:t>
      </w:r>
      <w:r>
        <w:t xml:space="preserve">)</w:t>
      </w:r>
      <w:r>
        <w:t xml:space="preserve">.</w:t>
      </w:r>
    </w:p>
    <w:p>
      <w:pPr>
        <w:pStyle w:val="Brdtekst"/>
      </w:pPr>
      <w:r>
        <w:t xml:space="preserve">In developing countries, this process is more complex and something I will explore further below</w:t>
      </w:r>
      <w:r>
        <w:t xml:space="preserve"> </w:t>
      </w:r>
      <w:hyperlink w:anchor="sec-lit">
        <w:r>
          <w:rPr>
            <w:rStyle w:val="Hyperlink"/>
          </w:rPr>
          <w:t xml:space="preserve">Chapter 3</w:t>
        </w:r>
      </w:hyperlink>
      <w:r>
        <w:t xml:space="preserve">. Adaptation in these contexts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w:t>
      </w:r>
      <w:r>
        <w:rPr>
          <w:b/>
          <w:bCs/>
        </w:rPr>
        <w:t xml:space="preserve">ayers2012?</w:t>
      </w:r>
      <w:r>
        <w:t xml:space="preserve">)</w:t>
      </w:r>
      <w:r>
        <w:t xml:space="preserve">.</w:t>
      </w:r>
    </w:p>
    <w:p>
      <w:pPr>
        <w:pStyle w:val="Brdtekst"/>
      </w:pPr>
      <w:r>
        <w:t xml:space="preserve">The adaptation landscape includes diverse financing mechanisms, including the Adaptation Fund (established under the Kyoto Protocol), the Least Developed Countries Fund, the Special Climate Change Fund, and the Green Climate Fund. Despite these multiple channels, adaptation finance has consistently lagged behind mitigation finance, creating tensions in international negotiations</w:t>
      </w:r>
      <w:r>
        <w:t xml:space="preserve"> </w:t>
      </w:r>
      <w:r>
        <w:t xml:space="preserve">(</w:t>
      </w:r>
      <w:r>
        <w:rPr>
          <w:b/>
          <w:bCs/>
        </w:rPr>
        <w:t xml:space="preserve">khan2019?</w:t>
      </w:r>
      <w:r>
        <w:t xml:space="preserve">)</w:t>
      </w:r>
      <w:r>
        <w:t xml:space="preserve">. The Green Climate Fund, established in 2010 and operationalized in 2015, has a mandate to balance its funding between mitigation and adaptation, but has struggled to achieve this balance in practice</w:t>
      </w:r>
      <w:r>
        <w:t xml:space="preserve"> </w:t>
      </w:r>
      <w:r>
        <w:t xml:space="preserve">(</w:t>
      </w:r>
      <w:r>
        <w:rPr>
          <w:b/>
          <w:bCs/>
        </w:rPr>
        <w:t xml:space="preserve">nakhooda2015?</w:t>
      </w:r>
      <w:r>
        <w:t xml:space="preserve">)</w:t>
      </w:r>
      <w:r>
        <w:t xml:space="preserv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w:t>
      </w:r>
      <w:r>
        <w:rPr>
          <w:b/>
          <w:bCs/>
        </w:rPr>
        <w:t xml:space="preserve">barrett2014?</w:t>
      </w:r>
      <w:r>
        <w:t xml:space="preserve">)</w:t>
      </w:r>
      <w:r>
        <w:t xml:space="preserve">. The absence of universally agreed metrics for assessing adaptation effectiveness—unlike mitigation, where greenhouse gas emissions provide a common metric—creates challenges for prioritizing investments and demonstrating results</w:t>
      </w:r>
      <w:r>
        <w:t xml:space="preserve"> </w:t>
      </w:r>
      <w:r>
        <w:t xml:space="preserve">(</w:t>
      </w:r>
      <w:r>
        <w:rPr>
          <w:b/>
          <w:bCs/>
        </w:rPr>
        <w:t xml:space="preserve">bours2014?</w:t>
      </w:r>
      <w:r>
        <w:t xml:space="preserve">)</w:t>
      </w:r>
      <w:r>
        <w:t xml:space="preserve">.</w:t>
      </w:r>
    </w:p>
    <w:p>
      <w:pPr>
        <w:pStyle w:val="Brdtekst"/>
      </w:pPr>
      <w:r>
        <w:t xml:space="preserve">Private sector engagement in adaptation has been more limited than in mitigation, where carbon markets and renewable energy investments have created clearer business opportunities. Adaptation often involves public goods like flood protection or heat warning systems that don’t generate direct financial returns, making private investment more challenging</w:t>
      </w:r>
      <w:r>
        <w:t xml:space="preserve"> </w:t>
      </w:r>
      <w:r>
        <w:t xml:space="preserve">(</w:t>
      </w:r>
      <w:r>
        <w:rPr>
          <w:b/>
          <w:bCs/>
        </w:rPr>
        <w:t xml:space="preserve">surminski2018?</w:t>
      </w:r>
      <w:r>
        <w:t xml:space="preserve">)</w:t>
      </w:r>
      <w:r>
        <w:t xml:space="preserve">. Insurance mechanisms represent one area of private sector engagement, with initiatives like the InsuResilience Global Partnership aiming to expand climate risk insurance coverage in vulnerable countries</w:t>
      </w:r>
      <w:r>
        <w:t xml:space="preserve"> </w:t>
      </w:r>
      <w:r>
        <w:t xml:space="preserve">(</w:t>
      </w:r>
      <w:r>
        <w:rPr>
          <w:b/>
          <w:bCs/>
        </w:rPr>
        <w:t xml:space="preserve">weingärtner2017?</w:t>
      </w:r>
      <w:r>
        <w:t xml:space="preserve">)</w:t>
      </w:r>
      <w:r>
        <w:t xml:space="preserve">.</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w:t>
      </w:r>
      <w:r>
        <w:rPr>
          <w:b/>
          <w:bCs/>
        </w:rPr>
        <w:t xml:space="preserve">adger2005?</w:t>
      </w:r>
      <w:r>
        <w:t xml:space="preserve">)</w:t>
      </w:r>
      <w:r>
        <w:t xml:space="preserve">. This creates challenges for coherence across scales and for ensuring that global policies and financing mechanisms effectively support local adaptation needs.</w:t>
      </w:r>
    </w:p>
    <w:bookmarkEnd w:id="27"/>
    <w:bookmarkStart w:id="28" w:name="loss-and-damage"/>
    <w:p>
      <w:pPr>
        <w:pStyle w:val="Overskrift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The concept emerged from the recognition that there are limits to adaptation—some climate impacts simply cannot be adapted to, particularly for vulnerable nations facing existential threats</w:t>
      </w:r>
      <w:r>
        <w:t xml:space="preserve"> </w:t>
      </w:r>
      <w:r>
        <w:t xml:space="preserve">(</w:t>
      </w:r>
      <w:r>
        <w:rPr>
          <w:b/>
          <w:bCs/>
        </w:rPr>
        <w:t xml:space="preserve">warner2013?</w:t>
      </w:r>
      <w:r>
        <w:t xml:space="preserve">)</w:t>
      </w:r>
      <w:r>
        <w:t xml:space="preserve">.</w:t>
      </w:r>
    </w:p>
    <w:p>
      <w:pPr>
        <w:pStyle w:val="Brdtekst"/>
      </w:pPr>
      <w:r>
        <w:t xml:space="preserve">The Alliance of Small Island States (AOSIS) first proposed an international insurance pool for loss and damage from sea-level rise in 1991, well before the UNFCCC was established.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w:t>
      </w:r>
      <w:r>
        <w:rPr>
          <w:b/>
          <w:bCs/>
        </w:rPr>
        <w:t xml:space="preserve">boyd2017?</w:t>
      </w:r>
      <w:r>
        <w:t xml:space="preserve">)</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w:t>
      </w:r>
      <w:r>
        <w:rPr>
          <w:b/>
          <w:bCs/>
        </w:rPr>
        <w:t xml:space="preserve">calliari2018?</w:t>
      </w:r>
      <w:r>
        <w:t xml:space="preserve">)</w:t>
      </w:r>
      <w:r>
        <w:t xml:space="preserve">.</w:t>
      </w:r>
    </w:p>
    <w:p>
      <w:pPr>
        <w:pStyle w:val="Brdtekst"/>
      </w:pPr>
      <w:r>
        <w:t xml:space="preserve">This led to both a sharpening of the original target from 1997, to a new one to limit global warming to 1,5° C, and the establishment of the loss and damage pillar [source]. The 1.5°C target emerged largely from research showing the dramatically different implications of 1.5°C versus 2°C warming, particularly for vulnerable regions and ecosystems. The IPCC Special Report on Global Warming of 1.5°C, released in 2018, provided comprehensive scientific evidence for these differences, noting substantially reduced risks at 1.5°C compared to 2°C</w:t>
      </w:r>
      <w:r>
        <w:t xml:space="preserve"> </w:t>
      </w:r>
      <w:r>
        <w:t xml:space="preserve">(</w:t>
      </w:r>
      <w:r>
        <w:rPr>
          <w:b/>
          <w:bCs/>
        </w:rPr>
        <w:t xml:space="preserve">ipcc2018?</w:t>
      </w:r>
      <w:r>
        <w:t xml:space="preserve">)</w:t>
      </w:r>
      <w:r>
        <w:t xml:space="preserve">.</w:t>
      </w:r>
    </w:p>
    <w:p>
      <w:pPr>
        <w:pStyle w:val="Brdteks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r>
        <w:t xml:space="preserve"> </w:t>
      </w:r>
      <w:r>
        <w:t xml:space="preserve">(</w:t>
      </w:r>
      <w:r>
        <w:rPr>
          <w:b/>
          <w:bCs/>
        </w:rPr>
        <w:t xml:space="preserve">mayer2017?</w:t>
      </w:r>
      <w:r>
        <w:t xml:space="preserve">)</w:t>
      </w:r>
      <w:r>
        <w:t xml:space="preserve">.</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t>
      </w:r>
      <w:r>
        <w:rPr>
          <w:b/>
          <w:bCs/>
        </w:rPr>
        <w:t xml:space="preserve">otto2017?</w:t>
      </w:r>
      <w:r>
        <w:t xml:space="preserve">)</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Second, as a form of risk management, where risk is reduced through adaptation measures, transferred through insurance schemes and retained through resilience measures [source]. This approach includes both economic and non-economic losses, with the latter encompassing losses of culture, identity, territory, and indigenous knowledge that cannot be readily monetized</w:t>
      </w:r>
      <w:r>
        <w:t xml:space="preserve"> </w:t>
      </w:r>
      <w:r>
        <w:t xml:space="preserve">(</w:t>
      </w:r>
      <w:r>
        <w:rPr>
          <w:b/>
          <w:bCs/>
        </w:rPr>
        <w:t xml:space="preserve">barnett2016?</w:t>
      </w:r>
      <w:r>
        <w:t xml:space="preserve">)</w:t>
      </w:r>
      <w:r>
        <w:t xml:space="preserve">. Insurance-based approaches have gained particular traction, with initiatives like the InsuResilience Global Partnership aiming to provide climate and disaster risk finance and insurance solutions to 500 million vulnerable people</w:t>
      </w:r>
      <w:r>
        <w:t xml:space="preserve"> </w:t>
      </w:r>
      <w:r>
        <w:t xml:space="preserve">(</w:t>
      </w:r>
      <w:r>
        <w:rPr>
          <w:b/>
          <w:bCs/>
        </w:rPr>
        <w:t xml:space="preserve">weingärtner2019?</w:t>
      </w:r>
      <w:r>
        <w:t xml:space="preserve">)</w:t>
      </w:r>
      <w:r>
        <w:t xml:space="preserve">.</w:t>
      </w:r>
    </w:p>
    <w:p>
      <w:pPr>
        <w:pStyle w:val="Brdtekst"/>
      </w:pPr>
      <w:r>
        <w:t xml:space="preserve">A breakthrough came at COP27 in Sharm el-Sheikh with the establishment of funding arrangements for loss and damage, followed by the operationalization of the Loss and Damage Fund at COP28 in Dubai. These developments represent significant progress, though questions remain about the fund’s size, who contributes, who can access it, and under what circumstances</w:t>
      </w:r>
      <w:r>
        <w:t xml:space="preserve"> </w:t>
      </w:r>
      <w:r>
        <w:t xml:space="preserve">(</w:t>
      </w:r>
      <w:r>
        <w:rPr>
          <w:b/>
          <w:bCs/>
        </w:rPr>
        <w:t xml:space="preserve">roberts2023?</w:t>
      </w:r>
      <w:r>
        <w:t xml:space="preserve">)</w:t>
      </w:r>
      <w:r>
        <w:t xml:space="preserve">. Initial pledges totaled approximately $700 million—far below estimates of loss and damage costs, which range from $290-580 billion annually by 2030 for developing countries alone</w:t>
      </w:r>
      <w:r>
        <w:t xml:space="preserve"> </w:t>
      </w:r>
      <w:r>
        <w:t xml:space="preserve">(</w:t>
      </w:r>
      <w:r>
        <w:rPr>
          <w:b/>
          <w:bCs/>
        </w:rPr>
        <w:t xml:space="preserve">markandya2018?</w:t>
      </w:r>
      <w:r>
        <w:t xml:space="preserve">)</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r>
        <w:tc>
          <w:tcPr/>
          <w:p>
            <w:pPr>
              <w:pStyle w:val="Compact"/>
            </w:pPr>
            <w:r>
              <w:t xml:space="preserve">: Timeline of the main climate summits {.striped .hover}</w:t>
            </w:r>
          </w:p>
        </w:tc>
        <w:tc>
          <w:tcPr/>
          <w:p>
            <w:pPr>
              <w:pStyle w:val="Compact"/>
            </w:pPr>
          </w:p>
        </w:tc>
        <w:tc>
          <w:tcPr/>
          <w:p>
            <w:pPr>
              <w:pStyle w:val="Compact"/>
            </w:pPr>
          </w:p>
        </w:tc>
        <w:tc>
          <w:tcPr/>
          <w:p>
            <w:pPr>
              <w:pStyle w:val="Compact"/>
            </w:pPr>
          </w:p>
        </w:tc>
      </w:tr>
    </w:tbl>
    <w:bookmarkEnd w:id="28"/>
    <w:bookmarkStart w:id="29" w:name="unfccc-negotiations"/>
    <w:p>
      <w:pPr>
        <w:pStyle w:val="Overskrift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r>
        <w:t xml:space="preserve"> </w:t>
      </w:r>
      <w:r>
        <w:t xml:space="preserve">(</w:t>
      </w:r>
      <w:r>
        <w:rPr>
          <w:b/>
          <w:bCs/>
        </w:rPr>
        <w:t xml:space="preserve">bodansky2016?</w:t>
      </w:r>
      <w:r>
        <w:t xml:space="preserve">)</w:t>
      </w:r>
      <w:r>
        <w:t xml:space="preserve">.</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w:t>
      </w:r>
      <w:r>
        <w:rPr>
          <w:b/>
          <w:bCs/>
        </w:rPr>
        <w:t xml:space="preserve">betzold2012?</w:t>
      </w:r>
      <w:r>
        <w:t xml:space="preserve">)</w:t>
      </w:r>
      <w:r>
        <w:t xml:space="preserve">. These coalitions provide developing countries with greater negotiating power than they would have individually, though the diverse interests within groups like the G77 can create internal tensions</w:t>
      </w:r>
      <w:r>
        <w:t xml:space="preserve"> </w:t>
      </w:r>
      <w:r>
        <w:t xml:space="preserve">(</w:t>
      </w:r>
      <w:r>
        <w:rPr>
          <w:b/>
          <w:bCs/>
        </w:rPr>
        <w:t xml:space="preserve">ciplet2015?</w:t>
      </w:r>
      <w:r>
        <w:t xml:space="preserve">)</w:t>
      </w:r>
      <w:r>
        <w:t xml:space="preserve">.</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w:t>
      </w:r>
      <w:r>
        <w:rPr>
          <w:b/>
          <w:bCs/>
        </w:rPr>
        <w:t xml:space="preserve">schroeder2010?</w:t>
      </w:r>
      <w:r>
        <w:t xml:space="preserve">)</w:t>
      </w:r>
      <w:r>
        <w:t xml:space="preserve">. Civil society organizations often provide technical support to vulnerable country delegations, while also using various forms of advocacy to influence the negotiation process</w:t>
      </w:r>
      <w:r>
        <w:t xml:space="preserve"> </w:t>
      </w:r>
      <w:r>
        <w:t xml:space="preserve">(</w:t>
      </w:r>
      <w:r>
        <w:rPr>
          <w:b/>
          <w:bCs/>
        </w:rPr>
        <w:t xml:space="preserve">allan2020?</w:t>
      </w:r>
      <w:r>
        <w:t xml:space="preserve">)</w:t>
      </w:r>
      <w:r>
        <w:t xml:space="preserve">. The private sector, particularly fossil fuel industries, also exercises significant influence, both through direct lobbying and by shaping national positions of major economies</w:t>
      </w:r>
      <w:r>
        <w:t xml:space="preserve"> </w:t>
      </w:r>
      <w:r>
        <w:t xml:space="preserve">(</w:t>
      </w:r>
      <w:r>
        <w:rPr>
          <w:b/>
          <w:bCs/>
        </w:rPr>
        <w:t xml:space="preserve">newell2000?</w:t>
      </w:r>
      <w:r>
        <w:t xml:space="preserve">)</w:t>
      </w:r>
      <w:r>
        <w:t xml:space="preserve">.</w:t>
      </w:r>
    </w:p>
    <w:p>
      <w:pPr>
        <w:pStyle w:val="Brdtekst"/>
      </w:pPr>
      <w:r>
        <w:t xml:space="preserve">Many see the relationship between climate action and economic growth as opposites, resisting binding agreements and preferring unsubstatiaded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w:t>
      </w:r>
      <w:r>
        <w:rPr>
          <w:b/>
          <w:bCs/>
        </w:rPr>
        <w:t xml:space="preserve">nordhaus2019?</w:t>
      </w:r>
      <w:r>
        <w:t xml:space="preserve">)</w:t>
      </w:r>
      <w:r>
        <w:t xml:space="preserve">.</w:t>
      </w:r>
    </w:p>
    <w:p>
      <w:pPr>
        <w:pStyle w:val="Brdteks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r>
        <w:t xml:space="preserve"> </w:t>
      </w:r>
      <w:r>
        <w:t xml:space="preserve">(</w:t>
      </w:r>
      <w:r>
        <w:rPr>
          <w:b/>
          <w:bCs/>
        </w:rPr>
        <w:t xml:space="preserve">tol2009?</w:t>
      </w:r>
      <w:r>
        <w:t xml:space="preserve">)</w:t>
      </w:r>
      <w:r>
        <w:t xml:space="preserve">.</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w:t>
      </w:r>
      <w:r>
        <w:rPr>
          <w:b/>
          <w:bCs/>
        </w:rPr>
        <w:t xml:space="preserve">tol2018?</w:t>
      </w:r>
      <w:r>
        <w:t xml:space="preserve">)</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w:t>
      </w:r>
      <w:r>
        <w:t xml:space="preserve"> </w:t>
      </w:r>
      <w:r>
        <w:t xml:space="preserve">(</w:t>
      </w:r>
      <w:r>
        <w:rPr>
          <w:b/>
          <w:bCs/>
        </w:rPr>
        <w:t xml:space="preserve">adger2006?</w:t>
      </w:r>
      <w:r>
        <w:t xml:space="preserve">)</w:t>
      </w:r>
      <w:r>
        <w:t xml:space="preserve">. Second, it struggles to account for non-economic values, including cultural heritage, biodiversity, and human lives, that cannot be readily monetized</w:t>
      </w:r>
      <w:r>
        <w:t xml:space="preserve"> </w:t>
      </w:r>
      <w:r>
        <w:t xml:space="preserve">(</w:t>
      </w:r>
      <w:r>
        <w:rPr>
          <w:b/>
          <w:bCs/>
        </w:rPr>
        <w:t xml:space="preserve">fanning2020?</w:t>
      </w:r>
      <w:r>
        <w:t xml:space="preserve">)</w:t>
      </w:r>
      <w:r>
        <w:t xml:space="preserve">. Third, it typically applies high discount rates that effectively devalue future impacts, raising intergenerational equity concerns</w:t>
      </w:r>
      <w:r>
        <w:t xml:space="preserve"> </w:t>
      </w:r>
      <w:r>
        <w:t xml:space="preserve">(</w:t>
      </w:r>
      <w:r>
        <w:rPr>
          <w:b/>
          <w:bCs/>
        </w:rPr>
        <w:t xml:space="preserve">stern2007?</w:t>
      </w:r>
      <w:r>
        <w:t xml:space="preserve">)</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w:t>
      </w:r>
      <w:r>
        <w:rPr>
          <w:b/>
          <w:bCs/>
        </w:rPr>
        <w:t xml:space="preserve">schlosberg2014?</w:t>
      </w:r>
      <w:r>
        <w:t xml:space="preserve">)</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w:t>
      </w:r>
      <w:r>
        <w:t xml:space="preserve"> </w:t>
      </w:r>
      <w:r>
        <w:t xml:space="preserve">(</w:t>
      </w:r>
      <w:r>
        <w:rPr>
          <w:b/>
          <w:bCs/>
        </w:rPr>
        <w:t xml:space="preserve">whyte2017?</w:t>
      </w:r>
      <w:r>
        <w:t xml:space="preserve">)</w:t>
      </w:r>
      <w:r>
        <w:t xml:space="preserve">. These approaches typically involve more holistic understandings of climate change that situate it within broader patterns of colonialism, extraction, and disruption of Indigenous relationships with lands and waters.</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w:t>
      </w:r>
      <w:r>
        <w:t xml:space="preserve"> </w:t>
      </w:r>
      <w:r>
        <w:t xml:space="preserve">(</w:t>
      </w:r>
      <w:r>
        <w:rPr>
          <w:b/>
          <w:bCs/>
        </w:rPr>
        <w:t xml:space="preserve">hulme2010?</w:t>
      </w:r>
      <w:r>
        <w:t xml:space="preserve">)</w:t>
      </w:r>
      <w:r>
        <w:t xml:space="preserve">.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r>
        <w:t xml:space="preserve"> </w:t>
      </w:r>
      <w:r>
        <w:t xml:space="preserve">(</w:t>
      </w:r>
      <w:r>
        <w:rPr>
          <w:b/>
          <w:bCs/>
        </w:rPr>
        <w:t xml:space="preserve">roberts2021?</w:t>
      </w:r>
      <w:r>
        <w:t xml:space="preserve">)</w:t>
      </w:r>
      <w:r>
        <w:t xml:space="preserve">.</w:t>
      </w:r>
    </w:p>
    <w:p>
      <w:pPr>
        <w:pStyle w:val="Brdtekst"/>
      </w:pPr>
      <w:r>
        <w:t xml:space="preserve">The formal separation of these pillars within the climate regime reflects both organizational convenience and political compromises, but in practice, they are deeply interconnected. The level of mitigation determines the scale of adaptation and loss and damage needed, while effective adaptation reduces but does not eliminate loss and damage. Recognizing these interconnections, some scholars and practitioners advocate for more integrated approaches to climate governance that address all three pillars in coordinated ways</w:t>
      </w:r>
      <w:r>
        <w:t xml:space="preserve"> </w:t>
      </w:r>
      <w:r>
        <w:t xml:space="preserve">(</w:t>
      </w:r>
      <w:r>
        <w:rPr>
          <w:b/>
          <w:bCs/>
        </w:rPr>
        <w:t xml:space="preserve">klein2007?</w:t>
      </w:r>
      <w:r>
        <w:t xml:space="preserve">)</w:t>
      </w:r>
      <w:r>
        <w:t xml:space="preserve">.</w:t>
      </w:r>
    </w:p>
    <w:p>
      <w:pPr>
        <w:pStyle w:val="Brdtekst"/>
      </w:pPr>
      <w:r>
        <w:t xml:space="preserve">These debates about the relationship between mitigation, adaptation, and loss and damage are not merely academic but have profound implications for the direction of climate policy and finance. They shape decisions about resource allocation, institutional arrangements, and priority-setting at international, national, and local levels. As climate impacts intensify and the limitations of conventional approaches become increasingly apparent, these fundamental questions about how to conceptualize and respond to climate change remain at the center of climate politics and governance.</w:t>
      </w:r>
    </w:p>
    <w:bookmarkEnd w:id="29"/>
    <w:bookmarkEnd w:id="30"/>
    <w:bookmarkStart w:id="33" w:name="sec-lit"/>
    <w:p>
      <w:pPr>
        <w:pStyle w:val="Overskrift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the thinking in the field of development studies, where the study of interventions, projects that seek to change societies abroad, has a long theoretical history. These competing paradigms reveal fundamentally different understandings of what adaptation is, how vulnerability is produced, and consequently, what appropriate interventions look like.</w:t>
      </w:r>
    </w:p>
    <w:bookmarkStart w:id="31" w:name="sec-nexus"/>
    <w:p>
      <w:pPr>
        <w:pStyle w:val="Overskrift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r>
        <w:t xml:space="preserve"> </w:t>
      </w:r>
      <w:r>
        <w:t xml:space="preserve">(Desai &amp; Potter, 2006)</w:t>
      </w:r>
      <w:r>
        <w:t xml:space="preserve">. This represented a significant departure from conventional research methodologies that maintained clear boundaries between researcher and subject.</w:t>
      </w:r>
    </w:p>
    <w:p>
      <w:pPr>
        <w:pStyle w:val="Brdtekst"/>
      </w:pPr>
      <w:r>
        <w:t xml:space="preserve">New methods were developed to better map communities and engage them in knowledge production, such as participatory rural appraisal [source]. These methodologies included techniques like transect walks, community mapping, seasonal calendars, and wealth ranking exercises that enabled communities to visualize and analyze their own situations. Unlike conventional survey techniques that often reinforced power differentials, these approaches were designed to be accessible to non-literate participants and to foster collective analysis. The emphasis on visual tools and group discussions helped bypass literacy barriers and created opportunities for more inclusive participation, particularly among marginalized community members</w:t>
      </w:r>
      <w:r>
        <w:t xml:space="preserve"> </w:t>
      </w:r>
      <w:r>
        <w:t xml:space="preserve">(Chambers, 1994)</w:t>
      </w:r>
      <w:r>
        <w:t xml:space="preserve">.</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The Sustainable Livelihoods Framework became particularly influential, conceptualizing households as managing portfolios of five types of capital—natural, physical, financial, human, and social—in pursuit of diverse livelihood strategies</w:t>
      </w:r>
      <w:r>
        <w:t xml:space="preserve"> </w:t>
      </w:r>
      <w:r>
        <w:t xml:space="preserve">(</w:t>
      </w:r>
      <w:r>
        <w:rPr>
          <w:b/>
          <w:bCs/>
        </w:rPr>
        <w:t xml:space="preserve">scoones1998?</w:t>
      </w:r>
      <w:r>
        <w:t xml:space="preserve">)</w:t>
      </w:r>
      <w:r>
        <w:t xml:space="preserve">. This framework provided a more holistic understanding of how people navigate complex environments than previous approaches focused narrowly on income or employment.</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 This approach provided a normative framework for evaluating development interventions based on their contribution to expanding substantive freedoms rather than simply increasing income or consumption.</w:t>
      </w:r>
    </w:p>
    <w:p>
      <w:pPr>
        <w:pStyle w:val="Brdtekst"/>
      </w:pPr>
      <w:r>
        <w:t xml:space="preserve">Jesse Ribot’s theory of access complemented these frameworks by examining the mechanisms through which people gain, control, and maintain access to resources</w:t>
      </w:r>
      <w:r>
        <w:t xml:space="preserve"> </w:t>
      </w:r>
      <w:r>
        <w:t xml:space="preserve">(Ribot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(CBNRM) emerged as one application of these insights, based on the premise that local users with secure rights over resources would manage them more sustainably than distant state authorities</w:t>
      </w:r>
      <w:r>
        <w:t xml:space="preserve"> </w:t>
      </w:r>
      <w:r>
        <w:t xml:space="preserve">(</w:t>
      </w:r>
      <w:r>
        <w:rPr>
          <w:b/>
          <w:bCs/>
        </w:rPr>
        <w:t xml:space="preserve">agrawal2001?</w:t>
      </w:r>
      <w:r>
        <w:t xml:space="preserve">)</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r>
        <w:t xml:space="preserve"> </w:t>
      </w:r>
      <w:r>
        <w:t xml:space="preserve">(</w:t>
      </w:r>
      <w:r>
        <w:rPr>
          <w:b/>
          <w:bCs/>
        </w:rPr>
        <w:t xml:space="preserve">ostrom2009?</w:t>
      </w:r>
      <w:r>
        <w:t xml:space="preserve">)</w:t>
      </w:r>
      <w:r>
        <w:t xml:space="preserve">.</w:t>
      </w:r>
    </w:p>
    <w:p>
      <w:pPr>
        <w:pStyle w:val="Brdtekst"/>
      </w:pPr>
      <w:r>
        <w:t xml:space="preserve">These approaches were not without criticism. Some scholars argued that participatory methods could be co-opted by powerful actors, reinforcing rather than challenging existing power structures</w:t>
      </w:r>
      <w:r>
        <w:t xml:space="preserve"> </w:t>
      </w:r>
      <w:r>
        <w:t xml:space="preserve">(</w:t>
      </w:r>
      <w:r>
        <w:rPr>
          <w:b/>
          <w:bCs/>
        </w:rPr>
        <w:t xml:space="preserve">cooke2001?</w:t>
      </w:r>
      <w:r>
        <w:t xml:space="preserve">)</w:t>
      </w:r>
      <w:r>
        <w:t xml:space="preserve">. Others noted that an uncritical focus on</w:t>
      </w:r>
      <w:r>
        <w:t xml:space="preserve"> </w:t>
      </w:r>
      <w:r>
        <w:t xml:space="preserve">“the local”</w:t>
      </w:r>
      <w:r>
        <w:t xml:space="preserve"> </w:t>
      </w:r>
      <w:r>
        <w:t xml:space="preserve">might romanticize communities and obscure internal divisions along lines of gender, class, caste, or age</w:t>
      </w:r>
      <w:r>
        <w:t xml:space="preserve"> </w:t>
      </w:r>
      <w:r>
        <w:t xml:space="preserve">(</w:t>
      </w:r>
      <w:r>
        <w:rPr>
          <w:b/>
          <w:bCs/>
        </w:rPr>
        <w:t xml:space="preserve">agarwal2001?</w:t>
      </w:r>
      <w:r>
        <w:t xml:space="preserve">)</w:t>
      </w:r>
      <w:r>
        <w:t xml:space="preserv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[source].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w:t>
      </w:r>
      <w:r>
        <w:t xml:space="preserve"> </w:t>
      </w:r>
      <w:r>
        <w:t xml:space="preserve">(</w:t>
      </w:r>
      <w:r>
        <w:rPr>
          <w:b/>
          <w:bCs/>
        </w:rPr>
        <w:t xml:space="preserve">mansuri2013?</w:t>
      </w:r>
      <w:r>
        <w:t xml:space="preserve">)</w:t>
      </w:r>
      <w:r>
        <w:t xml:space="preserve">. Similarly, the United Nations Development Programme incorporated community-based adaptation into its climate programming, emphasizing local knowledge and decision-making while providing technical and financial support.</w:t>
      </w:r>
    </w:p>
    <w:p>
      <w:pPr>
        <w:pStyle w:val="Brdtekst"/>
      </w:pPr>
      <w:r>
        <w:t xml:space="preserve">They see climate adaptation as just one policy area amongst all the others, and is searching for some key sectors and for synergies between them [source].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w:t>
      </w:r>
      <w:r>
        <w:t xml:space="preserve"> </w:t>
      </w:r>
      <w:r>
        <w:t xml:space="preserve">(</w:t>
      </w:r>
      <w:r>
        <w:rPr>
          <w:b/>
          <w:bCs/>
        </w:rPr>
        <w:t xml:space="preserve">huq2004?</w:t>
      </w:r>
      <w:r>
        <w:t xml:space="preserve">)</w:t>
      </w:r>
      <w:r>
        <w:t xml:space="preserve">. Proponents argue that mainstreaming promotes efficiency, sustainability, and coherence across different policy domains. Key sectors typically identified for adaptation mainstreaming include agriculture, water management, health, disaster risk reduction, and infrastructure</w:t>
      </w:r>
      <w:r>
        <w:t xml:space="preserve"> </w:t>
      </w:r>
      <w:r>
        <w:t xml:space="preserve">(</w:t>
      </w:r>
      <w:r>
        <w:rPr>
          <w:b/>
          <w:bCs/>
        </w:rPr>
        <w:t xml:space="preserve">klein2007?</w:t>
      </w:r>
      <w:r>
        <w:t xml:space="preserve">)</w:t>
      </w:r>
      <w:r>
        <w:t xml:space="preserv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4"/>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4"/>
        </w:numPr>
      </w:pPr>
      <w:r>
        <w:t xml:space="preserve">Food security through production of fruit</w:t>
      </w:r>
    </w:p>
    <w:p>
      <w:pPr>
        <w:pStyle w:val="Compact"/>
        <w:numPr>
          <w:ilvl w:val="0"/>
          <w:numId w:val="1004"/>
        </w:numPr>
      </w:pPr>
      <w:r>
        <w:t xml:space="preserve">Gender equality by giving the responsibility for managing the trees to women</w:t>
      </w:r>
    </w:p>
    <w:p>
      <w:pPr>
        <w:pStyle w:val="Compact"/>
        <w:numPr>
          <w:ilvl w:val="0"/>
          <w:numId w:val="1004"/>
        </w:numPr>
      </w:pPr>
      <w:r>
        <w:t xml:space="preserve">Environmental security by providing shade with leaves and reduce soil erosion with roots.</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r>
        <w:t xml:space="preserve"> </w:t>
      </w:r>
      <w:r>
        <w:t xml:space="preserve">(Almenar et al., 2021)</w:t>
      </w:r>
      <w:r>
        <w:t xml:space="preserve">.</w:t>
      </w:r>
    </w:p>
    <w:p>
      <w:pPr>
        <w:pStyle w:val="Brdtekst"/>
      </w:pPr>
      <w:r>
        <w:t xml:space="preserve">The adaptation nexus approach has gained traction partly because it aligns well with existing institutional arrangements and funding streams. By emphasizing the integration of adaptation into existing development sectors and identifying potential synergies between adaptation and other objectives, this approach minimizes disruption to established organizational structures and processes. This alignment makes the approach attractive to large development institutions and bilateral donors that prefer working through existing channels and frameworks</w:t>
      </w:r>
      <w:r>
        <w:t xml:space="preserve"> </w:t>
      </w:r>
      <w:r>
        <w:t xml:space="preserve">(Schipper, 2020)</w:t>
      </w:r>
      <w:r>
        <w:t xml:space="preserve">.</w:t>
      </w:r>
    </w:p>
    <w:p>
      <w:pPr>
        <w:pStyle w:val="Brdtekst"/>
      </w:pPr>
      <w:r>
        <w:t xml:space="preserve">The nexus approach is also compatible with the rise of resilience thinking in development and adaptation. Resilience frameworks emphasize building the capacity of systems (whether households, communities, or ecosystems) to absorb shocks, self-organize, and adapt or transform in response to change</w:t>
      </w:r>
      <w:r>
        <w:t xml:space="preserve"> </w:t>
      </w:r>
      <w:r>
        <w:t xml:space="preserve">(</w:t>
      </w:r>
      <w:r>
        <w:rPr>
          <w:b/>
          <w:bCs/>
        </w:rPr>
        <w:t xml:space="preserve">folke2006?</w:t>
      </w:r>
      <w:r>
        <w:t xml:space="preserve">)</w:t>
      </w:r>
      <w:r>
        <w:t xml:space="preserve">. This emphasis on building adaptive capacity aligns well with the nexus approach’s focus on enhancing assets, capabilities, and institutional arrangements across multiple sectors.</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 This conceptualization of vulnerability focuses on characteristics of individuals or communities that make them susceptible to harm, such as limited assets, poor infrastructure, or weak institutions</w:t>
      </w:r>
      <w:r>
        <w:t xml:space="preserve"> </w:t>
      </w:r>
      <w:r>
        <w:t xml:space="preserve">(</w:t>
      </w:r>
      <w:r>
        <w:rPr>
          <w:b/>
          <w:bCs/>
        </w:rPr>
        <w:t xml:space="preserve">kelly2000?</w:t>
      </w:r>
      <w:r>
        <w:t xml:space="preserve">)</w:t>
      </w:r>
      <w:r>
        <w:t xml:space="preserve">. It tends to frame vulnerability as a condition rather than a process, emphasizing what people lack rather than examining how and why they came to lack these resources or capabilities.</w:t>
      </w:r>
    </w:p>
    <w:p>
      <w:pPr>
        <w:pStyle w:val="Brdtekst"/>
      </w:pPr>
      <w:r>
        <w:t xml:space="preserve">This framing aligns with asset-based approaches to development that focus on building the capitals that households and communities can draw upon to respond to stresses and shocks. By enhancing these assets and capabilities, the logic goes, individuals and communities will be better able to navigate not only climate challenges but a range of other stresses they might face. This logic underpins many mainstream adaptation interventions, from livelihood diversification programs to improved infrastructure to early warning systems</w:t>
      </w:r>
      <w:r>
        <w:t xml:space="preserve"> </w:t>
      </w:r>
      <w:r>
        <w:t xml:space="preserve">(</w:t>
      </w:r>
      <w:r>
        <w:rPr>
          <w:b/>
          <w:bCs/>
        </w:rPr>
        <w:t xml:space="preserve">lemos2007?</w:t>
      </w:r>
      <w:r>
        <w:t xml:space="preserve">)</w:t>
      </w:r>
      <w:r>
        <w:t xml:space="preserve">.</w:t>
      </w:r>
    </w:p>
    <w:p>
      <w:pPr>
        <w:pStyle w:val="Brdtekst"/>
      </w:pPr>
      <w:r>
        <w:t xml:space="preserve">However, 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w:t>
      </w:r>
      <w:r>
        <w:rPr>
          <w:b/>
          <w:bCs/>
        </w:rPr>
        <w:t xml:space="preserve">taylor2015?</w:t>
      </w:r>
      <w:r>
        <w:t xml:space="preserve">)</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(Eriksen et al., 2021)</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1"/>
    <w:bookmarkStart w:id="32" w:name="sec-regime"/>
    <w:p>
      <w:pPr>
        <w:pStyle w:val="Overskrift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Foucault’s concepts of discourse, governmentality, and biopolitics, to analyze how power operates through knowledge production and institutional practices</w:t>
      </w:r>
      <w:r>
        <w:t xml:space="preserve"> </w:t>
      </w:r>
      <w:r>
        <w:t xml:space="preserve">(Lewis &amp; Mosse, 2006)</w:t>
      </w:r>
      <w:r>
        <w:t xml:space="preserve">.</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w:t>
      </w:r>
      <w:r>
        <w:t xml:space="preserve"> </w:t>
      </w:r>
      <w:r>
        <w:t xml:space="preserve">(</w:t>
      </w:r>
      <w:r>
        <w:rPr>
          <w:b/>
          <w:bCs/>
        </w:rPr>
        <w:t xml:space="preserve">foucault1980?</w:t>
      </w:r>
      <w:r>
        <w:t xml:space="preserve">)</w:t>
      </w:r>
      <w:r>
        <w:t xml:space="preserve">.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Escobar similarly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These critiques laid the groundwork for the post-development school, which questioned whether development should be reformed or rejected altogether. 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w:t>
      </w:r>
      <w:r>
        <w:rPr>
          <w:b/>
          <w:bCs/>
        </w:rPr>
        <w:t xml:space="preserve">rahnema1997?</w:t>
      </w:r>
      <w:r>
        <w:t xml:space="preserve">)</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w:t>
      </w:r>
      <w:r>
        <w:t xml:space="preserve"> </w:t>
      </w:r>
      <w:r>
        <w:t xml:space="preserve">(Agrawal, 2005)</w:t>
      </w:r>
      <w:r>
        <w:t xml:space="preserve">.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r>
        <w:t xml:space="preserve"> </w:t>
      </w:r>
      <w:r>
        <w:t xml:space="preserve">(Paprocki, 2018)</w:t>
      </w:r>
      <w:r>
        <w:t xml:space="preserve">.</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w:t>
      </w:r>
      <w:r>
        <w:t xml:space="preserve"> </w:t>
      </w:r>
      <w:r>
        <w:t xml:space="preserve">(</w:t>
      </w:r>
      <w:r>
        <w:rPr>
          <w:b/>
          <w:bCs/>
        </w:rPr>
        <w:t xml:space="preserve">taylor2015?</w:t>
      </w:r>
      <w:r>
        <w:t xml:space="preserve">)</w:t>
      </w:r>
      <w:r>
        <w:t xml:space="preserve">. By framing climate impacts as inevitable and beyond human control, the adaptation regime eliminates the space for questioning whether particular interventions are necessary or desirable, or whose interests they 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r>
        <w:t xml:space="preserve"> </w:t>
      </w:r>
      <w:r>
        <w:t xml:space="preserve">(Paprocki, 2018)</w:t>
      </w:r>
      <w:r>
        <w:t xml:space="preserve">.</w:t>
      </w:r>
    </w:p>
    <w:p>
      <w:pPr>
        <w:pStyle w:val="Brdtekst"/>
      </w:pPr>
      <w:r>
        <w:t xml:space="preserve">Similarly, rural-to-urban migration is framed as an adaptive response to climate change rather than a consequence of policies that undermine rural livelihoods. This framing naturalizes displacement as inevitable rather than acknowledging how particular development choices create conditions that make rural livelihoods increasingly precarious. The adaptation regime thus serves to legitimize and accelerate existing processes of agrarian transition and urbanization while obscuring the political choices and power relations that shape these processes</w:t>
      </w:r>
      <w:r>
        <w:t xml:space="preserve"> </w:t>
      </w:r>
      <w:r>
        <w:t xml:space="preserve">(Paprocki, 2018)</w:t>
      </w:r>
      <w:r>
        <w:t xml:space="preserve">.</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Islands, scholars have documented how the construction of small island states as inevitably disappearing due to sea level rise has justified interventions focused on migration rather than supporting communities’ desires to remain and adapt in place</w:t>
      </w:r>
      <w:r>
        <w:t xml:space="preserve"> </w:t>
      </w:r>
      <w:r>
        <w:t xml:space="preserve">(</w:t>
      </w:r>
      <w:r>
        <w:rPr>
          <w:b/>
          <w:bCs/>
        </w:rPr>
        <w:t xml:space="preserve">farbotko2010?</w:t>
      </w:r>
      <w:r>
        <w:t xml:space="preserve">)</w:t>
      </w:r>
      <w:r>
        <w:t xml:space="preserv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w:t>
      </w:r>
      <w:r>
        <w:rPr>
          <w:b/>
          <w:bCs/>
        </w:rPr>
        <w:t xml:space="preserve">barnett2016?</w:t>
      </w:r>
      <w:r>
        <w:t xml:space="preserve">)</w:t>
      </w:r>
      <w:r>
        <w:t xml:space="preserve">.</w:t>
      </w:r>
    </w:p>
    <w:p>
      <w:pPr>
        <w:pStyle w:val="Brdtekst"/>
      </w:pPr>
      <w:r>
        <w:t xml:space="preserve">In sub-Saharan Africa, critical analyses have shown how adaptation programs often prioritize commercial agriculture and market integration over strengthening existing livelihood strategies and local knowledge systems</w:t>
      </w:r>
      <w:r>
        <w:t xml:space="preserve"> </w:t>
      </w:r>
      <w:r>
        <w:t xml:space="preserve">(</w:t>
      </w:r>
      <w:r>
        <w:rPr>
          <w:b/>
          <w:bCs/>
        </w:rPr>
        <w:t xml:space="preserve">taylor2013?</w:t>
      </w:r>
      <w:r>
        <w:t xml:space="preserve">)</w:t>
      </w:r>
      <w:r>
        <w:t xml:space="preserve">. Climate adaptation has become a vehicle for promoting particular agricultural models, such as climate-smart agriculture, that align with the interests of global agribusiness and carbon markets rather than the needs and priorities of smallholder farmers. These interventions often emphasize technological solutions and market mechanisms while marginalizing social, cultural, and political dimensions of vulnerability</w:t>
      </w:r>
      <w:r>
        <w:t xml:space="preserve"> </w:t>
      </w:r>
      <w:r>
        <w:t xml:space="preserve">(</w:t>
      </w:r>
      <w:r>
        <w:rPr>
          <w:b/>
          <w:bCs/>
        </w:rPr>
        <w:t xml:space="preserve">eriksen2015?</w:t>
      </w:r>
      <w:r>
        <w:t xml:space="preserve">)</w:t>
      </w:r>
      <w:r>
        <w:t xml:space="preserve">.</w:t>
      </w:r>
    </w:p>
    <w:p>
      <w:pPr>
        <w:pStyle w:val="Brdtekst"/>
      </w:pPr>
      <w:r>
        <w:t xml:space="preserve">In the context of urban adaptation, scholars have documented how adaptation planning in cities like New York, Rotterdam, and Mumbai privileges the protection of valuable real estate and economic assets over addressing the needs of marginalized communities</w:t>
      </w:r>
      <w:r>
        <w:t xml:space="preserve"> </w:t>
      </w:r>
      <w:r>
        <w:t xml:space="preserve">(</w:t>
      </w:r>
      <w:r>
        <w:rPr>
          <w:b/>
          <w:bCs/>
        </w:rPr>
        <w:t xml:space="preserve">anguelovski2016?</w:t>
      </w:r>
      <w:r>
        <w:t xml:space="preserve">)</w:t>
      </w:r>
      <w:r>
        <w:t xml:space="preserve">. These interventions often reproduce existing patterns of socio-spatial inequality, with adaptation benefits accruing disproportionately to already privileged groups while adaptation burdens fall more heavily on the poor and marginalized</w:t>
      </w:r>
      <w:r>
        <w:t xml:space="preserve"> </w:t>
      </w:r>
      <w:r>
        <w:t xml:space="preserve">(</w:t>
      </w:r>
      <w:r>
        <w:rPr>
          <w:b/>
          <w:bCs/>
        </w:rPr>
        <w:t xml:space="preserve">shi2016?</w:t>
      </w:r>
      <w:r>
        <w:t xml:space="preserve">)</w:t>
      </w:r>
      <w:r>
        <w:t xml:space="preserve">.</w:t>
      </w:r>
    </w:p>
    <w:p>
      <w:pPr>
        <w:pStyle w:val="Brdtekst"/>
      </w:pPr>
      <w:r>
        <w:t xml:space="preserve">Across these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r>
        <w:t xml:space="preserve"> </w:t>
      </w:r>
      <w:r>
        <w:t xml:space="preserve">(</w:t>
      </w:r>
      <w:r>
        <w:rPr>
          <w:b/>
          <w:bCs/>
        </w:rPr>
        <w:t xml:space="preserve">eriksen2015?</w:t>
      </w:r>
      <w:r>
        <w:t xml:space="preserve">)</w:t>
      </w:r>
      <w:r>
        <w:t xml:space="preserv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what Donna Haraway calls</w:t>
      </w:r>
      <w:r>
        <w:t xml:space="preserve"> </w:t>
      </w:r>
      <w:r>
        <w:t xml:space="preserve">“God tricks”</w:t>
      </w:r>
      <w:r>
        <w:t xml:space="preserve">—seemingly objective perspectives that mask their partial and situated nature</w:t>
      </w:r>
      <w:r>
        <w:t xml:space="preserve"> </w:t>
      </w:r>
      <w:r>
        <w:t xml:space="preserve">(</w:t>
      </w:r>
      <w:r>
        <w:rPr>
          <w:b/>
          <w:bCs/>
        </w:rPr>
        <w:t xml:space="preserve">haraway1988?</w:t>
      </w:r>
      <w:r>
        <w:t xml:space="preserve">)</w:t>
      </w:r>
      <w:r>
        <w:t xml:space="preserv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w:t>
      </w:r>
      <w:r>
        <w:rPr>
          <w:b/>
          <w:bCs/>
        </w:rPr>
        <w:t xml:space="preserve">mahony2016?</w:t>
      </w:r>
      <w:r>
        <w:t xml:space="preserve">)</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(Scoville-Simonds et al., 2020)</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w:t>
      </w:r>
      <w:r>
        <w:t xml:space="preserve"> </w:t>
      </w:r>
      <w:r>
        <w:t xml:space="preserve">(</w:t>
      </w:r>
      <w:r>
        <w:rPr>
          <w:b/>
          <w:bCs/>
        </w:rPr>
        <w:t xml:space="preserve">nightingale2015?</w:t>
      </w:r>
      <w:r>
        <w:t xml:space="preserve">)</w:t>
      </w:r>
      <w:r>
        <w:t xml:space="preserve">. These approaches emphasize the political nature of adaptation decisions and seek to democratize adaptation governance in ways that center the agency and knowledge of those most affected by climate impacts.</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(Ireland &amp; McKinnon, 2013)</w:t>
      </w:r>
      <w:r>
        <w:t xml:space="preserve">.</w:t>
      </w:r>
    </w:p>
    <w:bookmarkEnd w:id="32"/>
    <w:bookmarkEnd w:id="33"/>
    <w:bookmarkStart w:id="39" w:name="X3aa6038dbda2514c722229336063d4a09b0322d"/>
    <w:p>
      <w:pPr>
        <w:pStyle w:val="Overskrift1"/>
      </w:pPr>
      <w:r>
        <w:t xml:space="preserve">4. Theory: Development Ontology and Epistemological Diversity</w:t>
      </w:r>
    </w:p>
    <w:p>
      <w:pPr>
        <w:pStyle w:val="FirstParagraph"/>
      </w:pPr>
      <w:r>
        <w:t xml:space="preserve">Climate adaptation discourse operates at the intersection of multiple knowledge systems and worldviews, each with distinct assumptions about what constitutes valid knowledge, how we understand vulnerability, and what futures are possible or desirable. This chapter develops a theoretical framework for analyzing discourse centralization in climate adaptation through the lens of development ontology and epistemological diversity.</w:t>
      </w:r>
    </w:p>
    <w:p>
      <w:pPr>
        <w:pStyle w:val="Brdtekst"/>
      </w:pPr>
      <w:r>
        <w:t xml:space="preserve">The central theoretical tension I explore is between homogenizing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w:t>
      </w:r>
      <w:r>
        <w:rPr>
          <w:b/>
          <w:bCs/>
        </w:rPr>
        <w:t xml:space="preserve">schipper2006?</w:t>
      </w:r>
      <w:r>
        <w:t xml:space="preserve">)</w:t>
      </w:r>
      <w:r>
        <w:t xml:space="preserve">.</w:t>
      </w:r>
    </w:p>
    <w:p>
      <w:pPr>
        <w:pStyle w:val="Brdtekst"/>
      </w:pPr>
      <w:r>
        <w:t xml:space="preserve">This theoretical framework is informed by several interdisciplinary fields, including development studies, future studies, science and technology studies, and political ecology. By bringing these perspectives together, I aim to develop an analytical lens that can help us understand the power dynamics at play in how adaptation is conceptualized and implemented across different contexts. This framework will guide my empirical analysis of discourse centralization in National Adaptation Plans, providing theoretical grounding for interpreting patterns of homogeneity or diversity in adaptation discourse.</w:t>
      </w:r>
    </w:p>
    <w:p>
      <w:pPr>
        <w:pStyle w:val="Brdtekst"/>
      </w:pPr>
      <w:r>
        <w:t xml:space="preserve">The chapter proceeds as follows: First, I discuss the concept of epistemological diversity through the lens of Epistemologies of the South, exploring how Northern knowledge systems have often marginalized alternative ways of knowing that might offer valuable insights for adaptation. Second, I examine different ontological perspectives that shape adaptation approaches, particularly focusing on tensions between technocratic and relational ontologies. Third, I analyze how</w:t>
      </w:r>
      <w:r>
        <w:t xml:space="preserve"> </w:t>
      </w:r>
      <w:r>
        <w:t xml:space="preserve">“the local”</w:t>
      </w:r>
      <w:r>
        <w:t xml:space="preserve"> </w:t>
      </w:r>
      <w:r>
        <w:t xml:space="preserve">and</w:t>
      </w:r>
      <w:r>
        <w:t xml:space="preserve"> </w:t>
      </w:r>
      <w:r>
        <w:t xml:space="preserve">“the global”</w:t>
      </w:r>
      <w:r>
        <w:t xml:space="preserve"> </w:t>
      </w:r>
      <w:r>
        <w:t xml:space="preserve">are constructed and related in adaptation discourse, with particular attention to how scale operates as a political technology. Fourth, I explore how adaptation discourse shapes future possibilities through processes of both future-making and defuturing. Finally, I develop the concept of discourse centralization as a theoretical framework for my empirical analysis.</w:t>
      </w:r>
    </w:p>
    <w:bookmarkStart w:id="34" w:name="epistemologies-of-the-south"/>
    <w:p>
      <w:pPr>
        <w:pStyle w:val="Overskrift2"/>
      </w:pPr>
      <w:r>
        <w:t xml:space="preserve">4.1 Epistemologies of the South</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w:t>
      </w:r>
      <w:r>
        <w:rPr>
          <w:b/>
          <w:bCs/>
        </w:rPr>
        <w:t xml:space="preserve">santos2014?</w:t>
      </w:r>
      <w:r>
        <w:t xml:space="preserve">)</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w:t>
      </w:r>
      <w:r>
        <w:t xml:space="preserve"> </w:t>
      </w:r>
      <w:r>
        <w:t xml:space="preserve">(</w:t>
      </w:r>
      <w:r>
        <w:rPr>
          <w:b/>
          <w:bCs/>
        </w:rPr>
        <w:t xml:space="preserve">santos2014?</w:t>
      </w:r>
      <w:r>
        <w:t xml:space="preserve">)</w:t>
      </w:r>
      <w:r>
        <w:t xml:space="preserve">.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r>
        <w:t xml:space="preserve"> </w:t>
      </w:r>
      <w:r>
        <w:t xml:space="preserve">(</w:t>
      </w:r>
      <w:r>
        <w:rPr>
          <w:b/>
          <w:bCs/>
        </w:rPr>
        <w:t xml:space="preserve">nightingale2016?</w:t>
      </w:r>
      <w:r>
        <w:t xml:space="preserve">)</w:t>
      </w:r>
      <w:r>
        <w:t xml:space="preserve">.</w:t>
      </w:r>
    </w:p>
    <w:p>
      <w:pPr>
        <w:pStyle w:val="Brdtekst"/>
      </w:pPr>
      <w:r>
        <w:t xml:space="preserve">The concept of cognitive justice, central to Santos’ framework, suggests that there can be no social justice without recognizing the validity and value of diverse ways of knowing</w:t>
      </w:r>
      <w:r>
        <w:t xml:space="preserve"> </w:t>
      </w:r>
      <w:r>
        <w:t xml:space="preserve">(</w:t>
      </w:r>
      <w:r>
        <w:rPr>
          <w:b/>
          <w:bCs/>
        </w:rPr>
        <w:t xml:space="preserve">santos2014?</w:t>
      </w:r>
      <w:r>
        <w:t xml:space="preserve">)</w:t>
      </w:r>
      <w:r>
        <w:t xml:space="preserve">.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r>
        <w:t xml:space="preserve"> </w:t>
      </w:r>
      <w:r>
        <w:t xml:space="preserve">(</w:t>
      </w:r>
      <w:r>
        <w:rPr>
          <w:b/>
          <w:bCs/>
        </w:rPr>
        <w:t xml:space="preserve">watson-verran1993?</w:t>
      </w:r>
      <w:r>
        <w:t xml:space="preserve">)</w:t>
      </w:r>
      <w:r>
        <w:t xml:space="preserve">.</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w:t>
      </w:r>
      <w:r>
        <w:t xml:space="preserve"> </w:t>
      </w:r>
      <w:r>
        <w:t xml:space="preserve">(</w:t>
      </w:r>
      <w:r>
        <w:rPr>
          <w:b/>
          <w:bCs/>
        </w:rPr>
        <w:t xml:space="preserve">santos2014?</w:t>
      </w:r>
      <w:r>
        <w:t xml:space="preserve">)</w:t>
      </w:r>
      <w:r>
        <w:t xml:space="preserve">. This approach aligns with calls from scholars and practitioners for more pluralistic and inclusive approaches to climate adaptation that draw on diverse knowledge systems</w:t>
      </w:r>
      <w:r>
        <w:t xml:space="preserve"> </w:t>
      </w:r>
      <w:r>
        <w:t xml:space="preserve">(</w:t>
      </w:r>
      <w:r>
        <w:rPr>
          <w:b/>
          <w:bCs/>
        </w:rPr>
        <w:t xml:space="preserve">naess2005?</w:t>
      </w:r>
      <w:r>
        <w:t xml:space="preserve">)</w:t>
      </w:r>
      <w:r>
        <w:t xml:space="preserve">.</w:t>
      </w:r>
    </w:p>
    <w:p>
      <w:pPr>
        <w:pStyle w:val="Brdtekst"/>
      </w:pPr>
      <w:r>
        <w:t xml:space="preserve">In practice, creating an ecology of knowledges in climate adaptation faces significant challenges. Institutional structures, funding mechanisms, and professional incentives often reinforce the dominance of particular knowledge systems and marginalize others</w:t>
      </w:r>
      <w:r>
        <w:t xml:space="preserve"> </w:t>
      </w:r>
      <w:r>
        <w:t xml:space="preserve">(Escobar, 2020)</w:t>
      </w:r>
      <w:r>
        <w:t xml:space="preserve">. Language barriers, power differentials, and different ontological assumptions can make meaningful dialogue across knowledge systems difficult. Moreover, the urgency of climate impacts can be used to justify bypassing deliberative processes in favor of rapid expert-driven interventions</w:t>
      </w:r>
      <w:r>
        <w:t xml:space="preserve"> </w:t>
      </w:r>
      <w:r>
        <w:t xml:space="preserve">(</w:t>
      </w:r>
      <w:r>
        <w:rPr>
          <w:b/>
          <w:bCs/>
        </w:rPr>
        <w:t xml:space="preserve">eriksen2015?</w:t>
      </w:r>
      <w:r>
        <w:t xml:space="preserve">)</w:t>
      </w:r>
      <w:r>
        <w:t xml:space="preserve">.</w:t>
      </w:r>
    </w:p>
    <w:p>
      <w:pPr>
        <w:pStyle w:val="Brdtekst"/>
      </w:pPr>
      <w:r>
        <w:t xml:space="preserve">Despite these challenges, there are growing examples of efforts to create more epistemologically diverse approaches to adaptation. These include community-based adaptation initiatives that center local knowledge and priorities, indigenous-led adaptation planning that draws on traditional ecological knowledge, and transdisciplinary research approaches that bring together diverse forms of expertise</w:t>
      </w:r>
      <w:r>
        <w:t xml:space="preserve"> </w:t>
      </w:r>
      <w:r>
        <w:t xml:space="preserve">(Ireland &amp; McKinnon, 2013)</w:t>
      </w:r>
      <w:r>
        <w:t xml:space="preserve">. These examples suggest alternatives to the dominant adaptation paradigm that might better address the complex challenges posed by climate change.</w:t>
      </w:r>
    </w:p>
    <w:bookmarkEnd w:id="34"/>
    <w:bookmarkStart w:id="35" w:name="development-ontologies"/>
    <w:p>
      <w:pPr>
        <w:pStyle w:val="Overskrift2"/>
      </w:pPr>
      <w:r>
        <w:t xml:space="preserve">4.2 Development Ontologies</w:t>
      </w:r>
    </w:p>
    <w:p>
      <w:pPr>
        <w:pStyle w:val="FirstParagraph"/>
      </w:pPr>
      <w:r>
        <w:t xml:space="preserve">Ontological assumptions—fundamental beliefs about the nature of reality, causality, and change—shape how vulnerability and adaptation are conceptualized and addressed. Different development ontologies produce radically different understandings of what adaptation is and how it should be pursued. These ontological differences often remain implicit in adaptation discourse but significantly influence which approaches are considered legitimate or feasible</w:t>
      </w:r>
      <w:r>
        <w:t xml:space="preserve"> </w:t>
      </w:r>
      <w:r>
        <w:t xml:space="preserve">(Goode &amp; Godhe, 2017)</w:t>
      </w:r>
      <w:r>
        <w:t xml:space="preserve">.</w:t>
      </w:r>
    </w:p>
    <w:p>
      <w:pPr>
        <w:pStyle w:val="Brdtekst"/>
      </w:pPr>
      <w:r>
        <w:t xml:space="preserve">A technocratic ontology frames vulnerability as primarily a technical problem requiring expert solutions. This perspective emphasizes quantification, prediction, and control, viewing adaptation as a process of adjusting systems to accommodate projected climate impacts. Technologies and management techniques are positioned as primary solutions, with effectiveness measured through standardized indicators and metrics</w:t>
      </w:r>
      <w:r>
        <w:t xml:space="preserve"> </w:t>
      </w:r>
      <w:r>
        <w:t xml:space="preserve">(</w:t>
      </w:r>
      <w:r>
        <w:rPr>
          <w:b/>
          <w:bCs/>
        </w:rPr>
        <w:t xml:space="preserve">nightingale2016?</w:t>
      </w:r>
      <w:r>
        <w:t xml:space="preserve">)</w:t>
      </w:r>
      <w:r>
        <w:t xml:space="preserve">. This ontological perspective aligns with what Inayatullah terms the</w:t>
      </w:r>
      <w:r>
        <w:t xml:space="preserve"> </w:t>
      </w:r>
      <w:r>
        <w:t xml:space="preserve">“predictive-empirical”</w:t>
      </w:r>
      <w:r>
        <w:t xml:space="preserve"> </w:t>
      </w:r>
      <w:r>
        <w:t xml:space="preserve">approach to futures, which focuses on forecasting trends and designing responses based on these predictions</w:t>
      </w:r>
      <w:r>
        <w:t xml:space="preserve"> </w:t>
      </w:r>
      <w:r>
        <w:t xml:space="preserve">(Inayatullah, 1998)</w:t>
      </w:r>
      <w:r>
        <w:t xml:space="preserve">.</w:t>
      </w:r>
    </w:p>
    <w:p>
      <w:pPr>
        <w:pStyle w:val="Brdtekst"/>
      </w:pPr>
      <w:r>
        <w:t xml:space="preserve">The technocratic ontology is evident in many mainstream adaptation approaches, from climate-resilient infrastructure projects to early warning systems to precision agriculture. While these approaches can deliver important benefits, they may also reinforce existing power structures by positioning adaptation as requiring specialized expertise that is primarily available from Northern institutions and experts</w:t>
      </w:r>
      <w:r>
        <w:t xml:space="preserve"> </w:t>
      </w:r>
      <w:r>
        <w:t xml:space="preserve">(Eriksen et al., 2021)</w:t>
      </w:r>
      <w:r>
        <w:t xml:space="preserve">. This ontological perspective often treats biophysical climate impacts as primary while treating social, political, and economic factors as secondary context, despite evidence that these factors fundamentally shape vulnerability and adaptive capacity</w:t>
      </w:r>
      <w:r>
        <w:t xml:space="preserve"> </w:t>
      </w:r>
      <w:r>
        <w:t xml:space="preserve">(</w:t>
      </w:r>
      <w:r>
        <w:rPr>
          <w:b/>
          <w:bCs/>
        </w:rPr>
        <w:t xml:space="preserve">o?</w:t>
      </w:r>
      <w:r>
        <w:t xml:space="preserve">’brien2007)</w:t>
      </w:r>
      <w:r>
        <w:t xml:space="preserve">.</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r>
        <w:t xml:space="preserve"> </w:t>
      </w:r>
      <w:r>
        <w:t xml:space="preserve">(</w:t>
      </w:r>
      <w:r>
        <w:rPr>
          <w:b/>
          <w:bCs/>
        </w:rPr>
        <w:t xml:space="preserve">nightingale2015?</w:t>
      </w:r>
      <w:r>
        <w:t xml:space="preserve">)</w:t>
      </w:r>
      <w:r>
        <w:t xml:space="preserve">. Rather than seeing systems as collections of discrete entities that can be independently manipulated, a relational ontology sees them as constituted through ongoing relationships that cannot be reduced to their component parts</w:t>
      </w:r>
      <w:r>
        <w:t xml:space="preserve"> </w:t>
      </w:r>
      <w:r>
        <w:t xml:space="preserve">(</w:t>
      </w:r>
      <w:r>
        <w:rPr>
          <w:b/>
          <w:bCs/>
        </w:rPr>
        <w:t xml:space="preserve">ingold2011?</w:t>
      </w:r>
      <w:r>
        <w:t xml:space="preserve">)</w:t>
      </w:r>
      <w:r>
        <w:t xml:space="preserve">.</w:t>
      </w:r>
    </w:p>
    <w:p>
      <w:pPr>
        <w:pStyle w:val="Brdtekst"/>
      </w:pPr>
      <w:r>
        <w:t xml:space="preserve">The relational ontology is evident in approaches to adaptation that emphasize social learning, ecosystem-based adaptation, and community-led transformations. These approaches tend to be more process-oriented than outcome-oriented, focusing on building capacity for ongoing adaptation rather than implementing fixed solutions</w:t>
      </w:r>
      <w:r>
        <w:t xml:space="preserve"> </w:t>
      </w:r>
      <w:r>
        <w:t xml:space="preserve">(</w:t>
      </w:r>
      <w:r>
        <w:rPr>
          <w:b/>
          <w:bCs/>
        </w:rPr>
        <w:t xml:space="preserve">pelling2011?</w:t>
      </w:r>
      <w:r>
        <w:t xml:space="preserve">)</w:t>
      </w:r>
      <w:r>
        <w:t xml:space="preserve">. They may draw on indigenous and traditional knowledge systems that often embody relational understandings of human-environment interactions</w:t>
      </w:r>
      <w:r>
        <w:t xml:space="preserve"> </w:t>
      </w:r>
      <w:r>
        <w:t xml:space="preserve">(</w:t>
      </w:r>
      <w:r>
        <w:rPr>
          <w:b/>
          <w:bCs/>
        </w:rPr>
        <w:t xml:space="preserve">whyte2017?</w:t>
      </w:r>
      <w:r>
        <w:t xml:space="preserve">)</w:t>
      </w:r>
      <w:r>
        <w:t xml:space="preserve">.</w:t>
      </w:r>
    </w:p>
    <w:p>
      <w:pPr>
        <w:pStyle w:val="Brdtekst"/>
      </w:pPr>
      <w:r>
        <w:t xml:space="preserve">Another significant ontological distinction is between market-based and commons-based approaches to adaptation. A market-based ontology prioritizes economic efficiency and private sector solutions, viewing adaptation primarily through the lens of managing climate risks to investments and assets. This perspective often emphasizes property rights, insurance mechanisms, and market incentives as key tools for adaptation</w:t>
      </w:r>
      <w:r>
        <w:t xml:space="preserve"> </w:t>
      </w:r>
      <w:r>
        <w:t xml:space="preserve">(</w:t>
      </w:r>
      <w:r>
        <w:rPr>
          <w:b/>
          <w:bCs/>
        </w:rPr>
        <w:t xml:space="preserve">surminski2018?</w:t>
      </w:r>
      <w:r>
        <w:t xml:space="preserve">)</w:t>
      </w:r>
      <w:r>
        <w:t xml:space="preserve">. It aligns with neoliberal approaches to development that favor market-based solutions to social and environmental challenges.</w:t>
      </w:r>
    </w:p>
    <w:p>
      <w:pPr>
        <w:pStyle w:val="Brdtekst"/>
      </w:pPr>
      <w:r>
        <w:t xml:space="preserve">In contrast, a commons-based ontology centers collective governance and shared resources, viewing adaptation as a process of sustaining and enhancing commons that support community resilience</w:t>
      </w:r>
      <w:r>
        <w:t xml:space="preserve"> </w:t>
      </w:r>
      <w:r>
        <w:t xml:space="preserve">(</w:t>
      </w:r>
      <w:r>
        <w:rPr>
          <w:b/>
          <w:bCs/>
        </w:rPr>
        <w:t xml:space="preserve">bollier2014?</w:t>
      </w:r>
      <w:r>
        <w:t xml:space="preserve">)</w:t>
      </w:r>
      <w:r>
        <w:t xml:space="preserve">. This perspective emphasizes cooperative institutions, collective action, and non-market forms of value. It aligns with alternative development approaches that recognize the limits of market mechanisms for addressing public goods and intergenerational justice</w:t>
      </w:r>
      <w:r>
        <w:t xml:space="preserve"> </w:t>
      </w:r>
      <w:r>
        <w:t xml:space="preserve">(</w:t>
      </w:r>
      <w:r>
        <w:rPr>
          <w:b/>
          <w:bCs/>
        </w:rPr>
        <w:t xml:space="preserve">ostrom2009?</w:t>
      </w:r>
      <w:r>
        <w:t xml:space="preserve">)</w:t>
      </w:r>
      <w:r>
        <w:t xml:space="preserve">.</w:t>
      </w:r>
    </w:p>
    <w:p>
      <w:pPr>
        <w:pStyle w:val="Brdtekst"/>
      </w:pPr>
      <w:r>
        <w:t xml:space="preserve">These ontological differences are not merely abstract philosophical disagreements but shape concrete adaptation practices and outcomes. They influence which adaptation approaches receive funding and institutional support, whose expertise is valued in designing interventions, what success looks like, and who benefits or loses from particular interventions. As Escobar argues, ontological differences are inherently political, involving struggles over</w:t>
      </w:r>
      <w:r>
        <w:t xml:space="preserve"> </w:t>
      </w:r>
      <w:r>
        <w:t xml:space="preserve">“the kinds of worlds that will be created and the kinds of worlds that will be destroyed”</w:t>
      </w:r>
      <w:r>
        <w:t xml:space="preserve"> </w:t>
      </w:r>
      <w:r>
        <w:t xml:space="preserve">(Escobar, 2018)</w:t>
      </w:r>
      <w:r>
        <w:t xml:space="preserve">.</w:t>
      </w:r>
    </w:p>
    <w:bookmarkEnd w:id="35"/>
    <w:bookmarkStart w:id="36" w:name="local-vs.-global"/>
    <w:p>
      <w:pPr>
        <w:pStyle w:val="Overskrift2"/>
      </w:pPr>
      <w:r>
        <w:t xml:space="preserve">4.3 Local vs. Global</w:t>
      </w:r>
    </w:p>
    <w:p>
      <w:pPr>
        <w:pStyle w:val="FirstParagraph"/>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w:t>
      </w:r>
      <w:r>
        <w:t xml:space="preserve"> </w:t>
      </w:r>
      <w:r>
        <w:t xml:space="preserve">(</w:t>
      </w:r>
      <w:r>
        <w:rPr>
          <w:b/>
          <w:bCs/>
        </w:rPr>
        <w:t xml:space="preserve">mahony2015?</w:t>
      </w:r>
      <w:r>
        <w:t xml:space="preserve">)</w:t>
      </w:r>
      <w:r>
        <w:t xml:space="preserve">.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r>
        <w:t xml:space="preserve"> </w:t>
      </w:r>
      <w:r>
        <w:t xml:space="preserve">(</w:t>
      </w:r>
      <w:r>
        <w:rPr>
          <w:b/>
          <w:bCs/>
        </w:rPr>
        <w:t xml:space="preserve">beck2014?</w:t>
      </w:r>
      <w:r>
        <w:t xml:space="preserve">)</w:t>
      </w:r>
      <w:r>
        <w:t xml:space="preserve">.</w:t>
      </w:r>
    </w:p>
    <w:p>
      <w:pPr>
        <w:pStyle w:val="Brdtekst"/>
      </w:pPr>
      <w:r>
        <w:t xml:space="preserve">The local scale, in contrast, is constructed as the site of concrete impacts and interventions. Local knowledge, institutions, and practices are increasingly recognized as essential for effective adaptation, leading to the rise of approaches like community-based adaptation</w:t>
      </w:r>
      <w:r>
        <w:t xml:space="preserve"> </w:t>
      </w:r>
      <w:r>
        <w:t xml:space="preserve">(</w:t>
      </w:r>
      <w:r>
        <w:rPr>
          <w:b/>
          <w:bCs/>
        </w:rPr>
        <w:t xml:space="preserve">huq2018?</w:t>
      </w:r>
      <w:r>
        <w:t xml:space="preserve">)</w:t>
      </w:r>
      <w:r>
        <w:t xml:space="preserve">.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National governments play a crucial role in adaptation governance, mediating between international frameworks and local implementation through policies, institutions, and resource allocation</w:t>
      </w:r>
      <w:r>
        <w:t xml:space="preserve"> </w:t>
      </w:r>
      <w:r>
        <w:t xml:space="preserve">(</w:t>
      </w:r>
      <w:r>
        <w:rPr>
          <w:b/>
          <w:bCs/>
        </w:rPr>
        <w:t xml:space="preserve">biesbroek2018?</w:t>
      </w:r>
      <w:r>
        <w:t xml:space="preserve">)</w:t>
      </w:r>
      <w:r>
        <w:t xml:space="preserve">. Regional bodies can facilitate knowledge sharing and cooperation across countries facing similar adaptation challenges. Sectoral approaches focus on particular domains like agriculture, water, or health, often crossing jurisdictional boundaries while maintaining distinct communities of practice</w:t>
      </w:r>
      <w:r>
        <w:t xml:space="preserve"> </w:t>
      </w:r>
      <w:r>
        <w:t xml:space="preserve">(</w:t>
      </w:r>
      <w:r>
        <w:rPr>
          <w:b/>
          <w:bCs/>
        </w:rPr>
        <w:t xml:space="preserve">klein2007?</w:t>
      </w:r>
      <w:r>
        <w:t xml:space="preserve">)</w:t>
      </w:r>
      <w:r>
        <w:t xml:space="preserve">.</w:t>
      </w:r>
    </w:p>
    <w:p>
      <w:pPr>
        <w:pStyle w:val="Brdtekst"/>
      </w:pPr>
      <w:r>
        <w:t xml:space="preserve">My analysis focuses particularly on the regional scale as a potential mediating force between global frameworks and local realities.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r>
        <w:t xml:space="preserve"> </w:t>
      </w:r>
      <w:r>
        <w:t xml:space="preserve">(</w:t>
      </w:r>
      <w:r>
        <w:rPr>
          <w:b/>
          <w:bCs/>
        </w:rPr>
        <w:t xml:space="preserve">murtinho2016?</w:t>
      </w:r>
      <w:r>
        <w:t xml:space="preserve">)</w:t>
      </w:r>
      <w:r>
        <w:t xml:space="preserv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w:t>
      </w:r>
      <w:r>
        <w:t xml:space="preserve"> </w:t>
      </w:r>
      <w:r>
        <w:t xml:space="preserve">(</w:t>
      </w:r>
      <w:r>
        <w:rPr>
          <w:b/>
          <w:bCs/>
        </w:rPr>
        <w:t xml:space="preserve">swyngedouw2004?</w:t>
      </w:r>
      <w:r>
        <w:t xml:space="preserve">)</w:t>
      </w:r>
      <w:r>
        <w:t xml:space="preserve">.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concept of</w:t>
      </w:r>
      <w:r>
        <w:t xml:space="preserve"> </w:t>
      </w:r>
      <w:r>
        <w:t xml:space="preserve">“glocalization”</w:t>
      </w:r>
      <w:r>
        <w:t xml:space="preserve"> </w:t>
      </w:r>
      <w:r>
        <w:t xml:space="preserve">helps us understand how global and local processes interact in adaptation governance. Rather than seeing the global and local as separate domains, glocalization highlights how they mutually constitute each other through complex interactions</w:t>
      </w:r>
      <w:r>
        <w:t xml:space="preserve"> </w:t>
      </w:r>
      <w:r>
        <w:t xml:space="preserve">(</w:t>
      </w:r>
      <w:r>
        <w:rPr>
          <w:b/>
          <w:bCs/>
        </w:rPr>
        <w:t xml:space="preserve">robertson1995?</w:t>
      </w:r>
      <w:r>
        <w:t xml:space="preserve">)</w:t>
      </w:r>
      <w:r>
        <w:t xml:space="preserve">. Global frameworks like the Paris Agreement influence local adaptation practices, while local innovations and experiences shape the evolution of global frameworks. These interactions are not politically neutral but reflect and reproduce power differentials between actors operating at different scales</w:t>
      </w:r>
      <w:r>
        <w:t xml:space="preserve"> </w:t>
      </w:r>
      <w:r>
        <w:t xml:space="preserve">(</w:t>
      </w:r>
      <w:r>
        <w:rPr>
          <w:b/>
          <w:bCs/>
        </w:rPr>
        <w:t xml:space="preserve">peck2002?</w:t>
      </w:r>
      <w:r>
        <w:t xml:space="preserve">)</w:t>
      </w:r>
      <w:r>
        <w:t xml:space="preserve">.</w:t>
      </w:r>
    </w:p>
    <w:bookmarkEnd w:id="36"/>
    <w:bookmarkStart w:id="37" w:name="future-making"/>
    <w:p>
      <w:pPr>
        <w:pStyle w:val="Overskrift2"/>
      </w:pPr>
      <w:r>
        <w:t xml:space="preserve">4.4 Future-making</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r>
        <w:t xml:space="preserve"> </w:t>
      </w:r>
      <w:r>
        <w:t xml:space="preserve">(</w:t>
      </w:r>
      <w:r>
        <w:rPr>
          <w:b/>
          <w:bCs/>
        </w:rPr>
        <w:t xml:space="preserve">o?</w:t>
      </w:r>
      <w:r>
        <w:t xml:space="preserve">’brien2011)</w:t>
      </w:r>
      <w:r>
        <w:t xml:space="preserve">.</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 In adaptation, a cultural approach might attend to how communities understand their relationships with past and future generations, how they conceptualize human-environment relationships over time, and what constitutes a good or flourishing life in their cultural context</w:t>
      </w:r>
      <w:r>
        <w:t xml:space="preserve"> </w:t>
      </w:r>
      <w:r>
        <w:t xml:space="preserve">(</w:t>
      </w:r>
      <w:r>
        <w:rPr>
          <w:b/>
          <w:bCs/>
        </w:rPr>
        <w:t xml:space="preserve">adger2013?</w:t>
      </w:r>
      <w:r>
        <w:t xml:space="preserve">)</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r>
        <w:t xml:space="preserve"> </w:t>
      </w:r>
      <w:r>
        <w:t xml:space="preserve">(</w:t>
      </w:r>
      <w:r>
        <w:rPr>
          <w:b/>
          <w:bCs/>
        </w:rPr>
        <w:t xml:space="preserve">swyngedouw2010?</w:t>
      </w:r>
      <w:r>
        <w:t xml:space="preserve">)</w:t>
      </w:r>
      <w:r>
        <w:t xml:space="preserve">.</w:t>
      </w:r>
    </w:p>
    <w:p>
      <w:pPr>
        <w:pStyle w:val="Brdtekst"/>
      </w:pPr>
      <w:r>
        <w:t xml:space="preserve">These different approaches to future-making are not mutually exclusive but can complement each other in more comprehensive adaptation planning. Combining predictive tools with cultural sensitivity and critical reflection may enable more robust and equitable approaches to anticipating and shaping climate futures</w:t>
      </w:r>
      <w:r>
        <w:t xml:space="preserve"> </w:t>
      </w:r>
      <w:r>
        <w:t xml:space="preserve">(</w:t>
      </w:r>
      <w:r>
        <w:rPr>
          <w:b/>
          <w:bCs/>
        </w:rPr>
        <w:t xml:space="preserve">vervoort2015?</w:t>
      </w:r>
      <w:r>
        <w:t xml:space="preserve">)</w:t>
      </w:r>
      <w:r>
        <w:t xml:space="preserve">. However, in practice, the predictive approach often dominates, with cultural and critical perspectives relegated to the margins of adaptation discourse and practice.</w:t>
      </w:r>
    </w:p>
    <w:p>
      <w:pPr>
        <w:pStyle w:val="Brdtekst"/>
      </w:pPr>
      <w:r>
        <w:t xml:space="preserve">The concept of</w:t>
      </w:r>
      <w:r>
        <w:t xml:space="preserve"> </w:t>
      </w:r>
      <w:r>
        <w:t xml:space="preserve">“defuturing”</w:t>
      </w:r>
      <w:r>
        <w:t xml:space="preserve"> </w:t>
      </w:r>
      <w:r>
        <w:t xml:space="preserve">developed by Tony Fry helps us understand how dominant adaptation discourses can actively reduce rather than expand future possibilities</w:t>
      </w:r>
      <w:r>
        <w:t xml:space="preserve"> </w:t>
      </w:r>
      <w:r>
        <w:t xml:space="preserve">(Fry, 2019)</w:t>
      </w:r>
      <w:r>
        <w:t xml:space="preserve">.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r>
        <w:t xml:space="preserve"> </w:t>
      </w:r>
      <w:r>
        <w:t xml:space="preserve">(Eriksen et al., 2021)</w:t>
      </w:r>
      <w:r>
        <w:t xml:space="preserve">.</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w:t>
      </w:r>
      <w:r>
        <w:t xml:space="preserve"> </w:t>
      </w:r>
      <w:r>
        <w:t xml:space="preserve">(</w:t>
      </w:r>
      <w:r>
        <w:rPr>
          <w:b/>
          <w:bCs/>
        </w:rPr>
        <w:t xml:space="preserve">koslov2016?</w:t>
      </w:r>
      <w:r>
        <w:t xml:space="preserve">)</w:t>
      </w:r>
      <w:r>
        <w:t xml:space="preserve">.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 Goode and Godhe term</w:t>
      </w:r>
      <w:r>
        <w:t xml:space="preserve"> </w:t>
      </w:r>
      <w:r>
        <w:t xml:space="preserve">“anticipatory regime formation”</w:t>
      </w:r>
      <w:r>
        <w:t xml:space="preserve">—the processes through which particular ways of knowing and governing the future become institutionalized</w:t>
      </w:r>
      <w:r>
        <w:t xml:space="preserve"> </w:t>
      </w:r>
      <w:r>
        <w:t xml:space="preserve">(Goode &amp; Godhe, 2017)</w:t>
      </w:r>
      <w:r>
        <w:t xml:space="preserve">.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r>
        <w:t xml:space="preserve"> </w:t>
      </w:r>
      <w:r>
        <w:t xml:space="preserve">(</w:t>
      </w:r>
      <w:r>
        <w:rPr>
          <w:b/>
          <w:bCs/>
        </w:rPr>
        <w:t xml:space="preserve">anderson2010?</w:t>
      </w:r>
      <w:r>
        <w:t xml:space="preserve">)</w:t>
      </w:r>
      <w:r>
        <w:t xml:space="preserve">.</w:t>
      </w:r>
    </w:p>
    <w:bookmarkEnd w:id="37"/>
    <w:bookmarkStart w:id="38" w:name="discourse-centralization"/>
    <w:p>
      <w:pPr>
        <w:pStyle w:val="Overskrift2"/>
      </w:pPr>
      <w:r>
        <w:t xml:space="preserve">4.5 Discourse Centralization</w:t>
      </w:r>
    </w:p>
    <w:p>
      <w:pPr>
        <w:pStyle w:val="FirstParagraph"/>
      </w:pPr>
      <w:r>
        <w:t xml:space="preserve">Drawing on the theoretical perspectives discussed above, I develop the concept of discourse centralization as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w:t>
      </w:r>
      <w:r>
        <w:t xml:space="preserve"> </w:t>
      </w:r>
      <w:r>
        <w:t xml:space="preserve">(</w:t>
      </w:r>
      <w:r>
        <w:rPr>
          <w:b/>
          <w:bCs/>
        </w:rPr>
        <w:t xml:space="preserve">foucault1980?</w:t>
      </w:r>
      <w:r>
        <w:t xml:space="preserve">)</w:t>
      </w:r>
      <w:r>
        <w:t xml:space="preserve">.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w:t>
      </w:r>
      <w:r>
        <w:t xml:space="preserve"> </w:t>
      </w:r>
      <w:r>
        <w:t xml:space="preserve">(</w:t>
      </w:r>
      <w:r>
        <w:rPr>
          <w:b/>
          <w:bCs/>
        </w:rPr>
        <w:t xml:space="preserve">bacchi2009?</w:t>
      </w:r>
      <w:r>
        <w:t xml:space="preserve">)</w:t>
      </w:r>
      <w:r>
        <w:t xml:space="preserv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w:t>
      </w:r>
      <w:r>
        <w:t xml:space="preserve"> </w:t>
      </w:r>
      <w:r>
        <w:t xml:space="preserve">(</w:t>
      </w:r>
      <w:r>
        <w:rPr>
          <w:b/>
          <w:bCs/>
        </w:rPr>
        <w:t xml:space="preserve">fairclough2013?</w:t>
      </w:r>
      <w:r>
        <w:t xml:space="preserve">)</w:t>
      </w:r>
      <w:r>
        <w:t xml:space="preserve">.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r>
        <w:t xml:space="preserve"> </w:t>
      </w:r>
      <w:r>
        <w:t xml:space="preserve">(</w:t>
      </w:r>
      <w:r>
        <w:rPr>
          <w:b/>
          <w:bCs/>
        </w:rPr>
        <w:t xml:space="preserve">santos2014?</w:t>
      </w:r>
      <w:r>
        <w:t xml:space="preserve">)</w:t>
      </w:r>
      <w:r>
        <w:t xml:space="preserve">.</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(Petersen et al., 2015)</w:t>
      </w:r>
      <w:r>
        <w:t xml:space="preserve">. It also helps us identify factors that may promote or inhibit epistemological diversity in adaptation governance, such as institutional structures, power relations, and historical legacies.</w:t>
      </w:r>
    </w:p>
    <w:bookmarkEnd w:id="38"/>
    <w:bookmarkEnd w:id="39"/>
    <w:bookmarkStart w:id="44" w:name="methods-dominance-index"/>
    <w:p>
      <w:pPr>
        <w:pStyle w:val="Overskrift1"/>
      </w:pPr>
      <w:r>
        <w:t xml:space="preserve">5. Methods: Dominance index</w:t>
      </w:r>
    </w:p>
    <w:p>
      <w:pPr>
        <w:pStyle w:val="FirstParagraph"/>
      </w:pPr>
      <w:r>
        <w:t xml:space="preserve">To analyze discourse centralization in climate adaptation,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 This approach combines structural topic modeling of National Adaptation Plans with calculations of topic dominance to identify patterns in how adaptation is conceptualized across different contexts.</w:t>
      </w:r>
    </w:p>
    <w:p>
      <w:pPr>
        <w:pStyle w:val="Brdtekst"/>
      </w:pPr>
      <w:r>
        <w:t xml:space="preserve">The methodology bridges critical theoretical perspectives with quantitative text analysis, creating an interdisciplinary approach that can systematically analyze discourse patterns across a substantial corpus of documents. Rather than assuming either complete homogeneity or radical diversity in adaptation discourse, this approach enables empirical assessment of the degree to which discourse reflects epistemological plurality or monoculture across different contexts.</w:t>
      </w:r>
    </w:p>
    <w:p>
      <w:pPr>
        <w:pStyle w:val="Brdtekst"/>
      </w:pPr>
      <w:r>
        <w:t xml:space="preserve">This methodological approach can measure the distribution of topics across documents and document groups, identifying patterns of concentration or dispersion. However, it cannot directly measure epistemological diversity—topic distribution serves as a proxy that requires careful interpretation. The approach does not capture discourse elements that may not be reflected in word co-occurrence patterns, such as rhetorical structures, implicit assumptions, or visual elements of the documents.</w:t>
      </w:r>
    </w:p>
    <w:p>
      <w:pPr>
        <w:pStyle w:val="Brdtekst"/>
      </w:pPr>
      <w:r>
        <w:t xml:space="preserve">The primary corpus consists of National Adaptation Plans (NAPs) submitted to the UNFCCC—official policy documents that outline countries’ approaches to climate adaptation. These documents represent a particularly revealing window into adaptation discourse because they are produced through standardized international frameworks while addressing context-specific national priorities. The NAPs are prepared by national governments in consultation with various stakeholders and experts, and they outline adaptation priorities, strategies, and planned actions.</w:t>
      </w:r>
    </w:p>
    <w:p>
      <w:pPr>
        <w:pStyle w:val="Brdtekst"/>
      </w:pPr>
      <w:r>
        <w:t xml:space="preserve">This corpus provides several advantages for comparative analysis. First, NAPs follow a relatively standardized format defined by UNFCCC guidelines, creating a consistent basis for comparison across countries. Second, they represent official national positions rather than individual perspectives, making them relevant for understanding national-level discourse patterns. Third, they cover a diverse range of countries across different regions, income levels, and vulnerability profiles, enabling meaningful comparative analysis.</w:t>
      </w:r>
    </w:p>
    <w:p>
      <w:pPr>
        <w:pStyle w:val="Brdtekst"/>
      </w:pPr>
      <w:r>
        <w:t xml:space="preserve">However, the focus on NAPs also has important limitations. As official government documents, NAPs represent formal institutional discourse rather than the full range of adaptation perspectives within a country. They may exclude or marginalize viewpoints from civil society, local communities, or groups with limited access to formal planning processes. Moreover, NAPs are produced within the constraints of UNFCCC frameworks and often with support from international consultants, potentially introducing homogenizing influences from the outset.</w:t>
      </w:r>
    </w:p>
    <w:p>
      <w:pPr>
        <w:pStyle w:val="Brdtekst"/>
      </w:pPr>
      <w:r>
        <w:t xml:space="preserve">This methodological approach involves four main steps:</w:t>
      </w:r>
    </w:p>
    <w:p>
      <w:pPr>
        <w:numPr>
          <w:ilvl w:val="0"/>
          <w:numId w:val="1005"/>
        </w:numPr>
      </w:pPr>
      <w:r>
        <w:rPr>
          <w:b/>
          <w:bCs/>
        </w:rPr>
        <w:t xml:space="preserve">Corpus collection and preparation</w:t>
      </w:r>
      <w:r>
        <w:t xml:space="preserve">: Gathering NAP documents and processing them for analysis, including tokenization, stop word removal, lemmatization, and creation of a document-term matrix.</w:t>
      </w:r>
    </w:p>
    <w:p>
      <w:pPr>
        <w:numPr>
          <w:ilvl w:val="0"/>
          <w:numId w:val="1005"/>
        </w:numPr>
      </w:pPr>
      <w:r>
        <w:rPr>
          <w:b/>
          <w:bCs/>
        </w:rPr>
        <w:t xml:space="preserve">Structural topic modeling</w:t>
      </w:r>
      <w:r>
        <w:t xml:space="preserve">: Applying computational techniques to identify latent topics in the corpus and examine how these topics vary across different document characteristics.</w:t>
      </w:r>
    </w:p>
    <w:p>
      <w:pPr>
        <w:numPr>
          <w:ilvl w:val="0"/>
          <w:numId w:val="1005"/>
        </w:numPr>
      </w:pPr>
      <w:r>
        <w:rPr>
          <w:b/>
          <w:bCs/>
        </w:rPr>
        <w:t xml:space="preserve">Dominance Index calculation</w:t>
      </w:r>
      <w:r>
        <w:t xml:space="preserve">: Developing a quantitative measure of discourse centralization based on the concentration of top topics in different document groups.</w:t>
      </w:r>
    </w:p>
    <w:p>
      <w:pPr>
        <w:numPr>
          <w:ilvl w:val="0"/>
          <w:numId w:val="1005"/>
        </w:numPr>
      </w:pPr>
      <w:r>
        <w:rPr>
          <w:b/>
          <w:bCs/>
        </w:rPr>
        <w:t xml:space="preserve">Visualization and interpretation</w:t>
      </w:r>
      <w:r>
        <w:t xml:space="preserve">: Creating visual representations of discourse patterns and interpreting these patterns through the theoretical framework developed in the previous chapter.</w:t>
      </w:r>
    </w:p>
    <w:p>
      <w:pPr>
        <w:pStyle w:val="FirstParagraph"/>
      </w:pPr>
      <w:r>
        <w:t xml:space="preserve">Each of these steps involves specific methodological choices and techniques that shape the analysis, which I elaborate in the following sections.</w:t>
      </w:r>
    </w:p>
    <w:p>
      <w:pPr>
        <w:pStyle w:val="Brdtekst"/>
      </w:pPr>
      <w:r>
        <w:t xml:space="preserve">[visualization placeholder - methodology flowchart]</w:t>
      </w:r>
    </w:p>
    <w:p>
      <w:pPr>
        <w:pStyle w:val="Brdtekst"/>
      </w:pPr>
      <w:r>
        <w:t xml:space="preserve">The approach outlined here draws on both computational text analysis methods, particularly topic modeling</w:t>
      </w:r>
      <w:r>
        <w:t xml:space="preserve"> </w:t>
      </w:r>
      <w:r>
        <w:t xml:space="preserve">(Roberts et al., 2019)</w:t>
      </w:r>
      <w:r>
        <w:t xml:space="preserve">, and critical discourse analysis traditions that examine how discourse reflects and reproduces power relations</w:t>
      </w:r>
      <w:r>
        <w:t xml:space="preserve"> </w:t>
      </w:r>
      <w:r>
        <w:t xml:space="preserve">(</w:t>
      </w:r>
      <w:r>
        <w:rPr>
          <w:b/>
          <w:bCs/>
        </w:rPr>
        <w:t xml:space="preserve">fairclough2013?</w:t>
      </w:r>
      <w:r>
        <w:t xml:space="preserve">)</w:t>
      </w:r>
      <w:r>
        <w:t xml:space="preserve">. By combining these approaches, I aim to leverage the systematic analytical capabilities of computational methods while maintaining critical awareness of the political and epistemological dimensions of adaptation discourse.</w:t>
      </w:r>
    </w:p>
    <w:bookmarkStart w:id="40" w:name="corpus-collection-and-preparation"/>
    <w:p>
      <w:pPr>
        <w:pStyle w:val="Overskrift2"/>
      </w:pPr>
      <w:r>
        <w:t xml:space="preserve">5.1 Corpus collection and preparation</w:t>
      </w:r>
    </w:p>
    <w:p>
      <w:pPr>
        <w:pStyle w:val="FirstParagraph"/>
      </w:pPr>
      <w:r>
        <w:t xml:space="preserve">The corpus consists of 45 English-language National Adaptation Plans (NAPs) submitted to the UNFCCC as of March 2025. These documents represent a diverse range of countries across different regions, income levels, and vulnerability profiles. The documents were collected directly from the UNFCCC NAP Central website (napcentral.org), which serves as the official repository for submitted NAPs.</w:t>
      </w:r>
    </w:p>
    <w:p>
      <w:pPr>
        <w:pStyle w:val="Brdtekst"/>
      </w:pPr>
      <w:r>
        <w:t xml:space="preserve">The focus on English-language documents is a significant methodological constraint. It excludes NAPs submitted in other languages (particularly French and Spanish), potentially skewing the analysis toward Anglophone countries or those with stronger ties to international institutions where English is dominant. This limitation means the analysis cannot claim to represent the full global landscape of adaptation discourse but rather offers insights into patterns within the English-language subset of NAPs.</w:t>
      </w:r>
    </w:p>
    <w:p>
      <w:pPr>
        <w:pStyle w:val="Brdtekst"/>
      </w:pPr>
      <w:r>
        <w:t xml:space="preserve">Despite this limitation, the corpus includes substantial representation from diverse global contexts:</w:t>
      </w:r>
    </w:p>
    <w:p>
      <w:pPr>
        <w:pStyle w:val="Compact"/>
        <w:numPr>
          <w:ilvl w:val="0"/>
          <w:numId w:val="1006"/>
        </w:numPr>
      </w:pPr>
      <w:r>
        <w:t xml:space="preserve">18 documents from Africa (40% of the corpus)</w:t>
      </w:r>
    </w:p>
    <w:p>
      <w:pPr>
        <w:pStyle w:val="Compact"/>
        <w:numPr>
          <w:ilvl w:val="0"/>
          <w:numId w:val="1006"/>
        </w:numPr>
      </w:pPr>
      <w:r>
        <w:t xml:space="preserve">14 documents from Asia-Pacific (31% of the corpus)</w:t>
      </w:r>
    </w:p>
    <w:p>
      <w:pPr>
        <w:pStyle w:val="Compact"/>
        <w:numPr>
          <w:ilvl w:val="0"/>
          <w:numId w:val="1006"/>
        </w:numPr>
      </w:pPr>
      <w:r>
        <w:t xml:space="preserve">11 documents from Latin America and Caribbean (24% of the corpus)</w:t>
      </w:r>
    </w:p>
    <w:p>
      <w:pPr>
        <w:pStyle w:val="Compact"/>
        <w:numPr>
          <w:ilvl w:val="0"/>
          <w:numId w:val="1006"/>
        </w:numPr>
      </w:pPr>
      <w:r>
        <w:t xml:space="preserve">2 documents from Europe (4% of the corpus)</w:t>
      </w:r>
    </w:p>
    <w:p>
      <w:pPr>
        <w:pStyle w:val="FirstParagraph"/>
      </w:pPr>
      <w:r>
        <w:t xml:space="preserve">In terms of income classification:</w:t>
      </w:r>
    </w:p>
    <w:p>
      <w:pPr>
        <w:pStyle w:val="Compact"/>
        <w:numPr>
          <w:ilvl w:val="0"/>
          <w:numId w:val="1007"/>
        </w:numPr>
      </w:pPr>
      <w:r>
        <w:t xml:space="preserve">13 from Low-Income Countries (29% of the corpus)</w:t>
      </w:r>
    </w:p>
    <w:p>
      <w:pPr>
        <w:pStyle w:val="Compact"/>
        <w:numPr>
          <w:ilvl w:val="0"/>
          <w:numId w:val="1007"/>
        </w:numPr>
      </w:pPr>
      <w:r>
        <w:t xml:space="preserve">19 from Lower-Middle Income Countries (42% of the corpus)</w:t>
      </w:r>
    </w:p>
    <w:p>
      <w:pPr>
        <w:pStyle w:val="Compact"/>
        <w:numPr>
          <w:ilvl w:val="0"/>
          <w:numId w:val="1007"/>
        </w:numPr>
      </w:pPr>
      <w:r>
        <w:t xml:space="preserve">11 from Upper-Middle Income Countries (24% of the corpus)</w:t>
      </w:r>
    </w:p>
    <w:p>
      <w:pPr>
        <w:pStyle w:val="Compact"/>
        <w:numPr>
          <w:ilvl w:val="0"/>
          <w:numId w:val="1007"/>
        </w:numPr>
      </w:pPr>
      <w:r>
        <w:t xml:space="preserve">2 from High-Income Countries (4% of the corpus)</w:t>
      </w:r>
    </w:p>
    <w:p>
      <w:pPr>
        <w:pStyle w:val="FirstParagraph"/>
      </w:pPr>
      <w:r>
        <w:t xml:space="preserve">The corpus also includes 15 Least Developed Countries (LDCs), 8 Small Island Developing States (SIDS), and 7 Landlocked Developing Countries (LLDCs), with some countries belonging to multiple special status categories.</w:t>
      </w:r>
    </w:p>
    <w:p>
      <w:pPr>
        <w:pStyle w:val="Brdtekst"/>
      </w:pPr>
      <w:r>
        <w:t xml:space="preserve">Each document is tagged with relevant metadata drawn from World Bank classifications and UNFCCC designations. This metadata includes:</w:t>
      </w:r>
    </w:p>
    <w:p>
      <w:pPr>
        <w:pStyle w:val="Compact"/>
        <w:numPr>
          <w:ilvl w:val="0"/>
          <w:numId w:val="1008"/>
        </w:numPr>
      </w:pPr>
      <w:r>
        <w:t xml:space="preserve">Geographic region (Africa, Asia-Pacific, Latin America and Caribbean, Europe)</w:t>
      </w:r>
    </w:p>
    <w:p>
      <w:pPr>
        <w:pStyle w:val="Compact"/>
        <w:numPr>
          <w:ilvl w:val="0"/>
          <w:numId w:val="1008"/>
        </w:numPr>
      </w:pPr>
      <w:r>
        <w:t xml:space="preserve">Income level (Low, Lower-middle, Upper-middle, High)</w:t>
      </w:r>
    </w:p>
    <w:p>
      <w:pPr>
        <w:pStyle w:val="Compact"/>
        <w:numPr>
          <w:ilvl w:val="0"/>
          <w:numId w:val="1008"/>
        </w:numPr>
      </w:pPr>
      <w:r>
        <w:t xml:space="preserve">Special status (SIDS, LDC, LLDC, non-special)</w:t>
      </w:r>
    </w:p>
    <w:p>
      <w:pPr>
        <w:pStyle w:val="Compact"/>
        <w:numPr>
          <w:ilvl w:val="0"/>
          <w:numId w:val="1008"/>
        </w:numPr>
      </w:pPr>
      <w:r>
        <w:t xml:space="preserve">Submission date</w:t>
      </w:r>
    </w:p>
    <w:p>
      <w:pPr>
        <w:pStyle w:val="Compact"/>
        <w:numPr>
          <w:ilvl w:val="0"/>
          <w:numId w:val="1008"/>
        </w:numPr>
      </w:pPr>
      <w:r>
        <w:t xml:space="preserve">Document length</w:t>
      </w:r>
    </w:p>
    <w:p>
      <w:pPr>
        <w:pStyle w:val="FirstParagraph"/>
      </w:pPr>
      <w:r>
        <w:t xml:space="preserve">The collection of this metadata enables systematic comparison of discourse patterns across different country groupings to identify potential factors influencing how adaptation is conceptualized. The metadata is stored separately from the document text to prevent it from influencing the topic modeling process itself.</w:t>
      </w:r>
    </w:p>
    <w:p>
      <w:pPr>
        <w:pStyle w:val="Brdtekst"/>
      </w:pPr>
      <w:r>
        <w:t xml:space="preserve">Document preparation involves multiple stages of processing to convert the raw NAP documents into a format suitable for computational analysis. This begins with extracting the text content from PDF documents, which presents technical challenges including handling of complex formatting, tables, figures, and inconsistent document structures. I use PDF extraction tools combined with manual verification to ensure accurate text extraction.</w:t>
      </w:r>
    </w:p>
    <w:p>
      <w:pPr>
        <w:pStyle w:val="Brdtekst"/>
      </w:pPr>
      <w:r>
        <w:t xml:space="preserve">Once extracted, the text undergoes several preprocessing steps:</w:t>
      </w:r>
    </w:p>
    <w:p>
      <w:pPr>
        <w:numPr>
          <w:ilvl w:val="0"/>
          <w:numId w:val="1009"/>
        </w:numPr>
      </w:pPr>
      <w:r>
        <w:rPr>
          <w:b/>
          <w:bCs/>
        </w:rPr>
        <w:t xml:space="preserve">Tokenization</w:t>
      </w:r>
      <w:r>
        <w:t xml:space="preserve">: Breaking the text into individual words or tokens, which represent the basic units of analysis. This process includes removing punctuation, standardizing capitalization, and handling hyphenation.</w:t>
      </w:r>
    </w:p>
    <w:p>
      <w:pPr>
        <w:numPr>
          <w:ilvl w:val="0"/>
          <w:numId w:val="1009"/>
        </w:numPr>
      </w:pPr>
      <w:r>
        <w:rPr>
          <w:b/>
          <w:bCs/>
        </w:rPr>
        <w:t xml:space="preserve">Stop word removal</w:t>
      </w:r>
      <w:r>
        <w:t xml:space="preserve">: Eliminating common words (e.g.,</w:t>
      </w:r>
      <w:r>
        <w:t xml:space="preserve"> </w:t>
      </w:r>
      <w:r>
        <w:t xml:space="preserve">“the,”</w:t>
      </w:r>
      <w:r>
        <w:t xml:space="preserve"> </w:t>
      </w:r>
      <w:r>
        <w:t xml:space="preserve">“is,”</w:t>
      </w:r>
      <w:r>
        <w:t xml:space="preserve"> </w:t>
      </w:r>
      <w:r>
        <w:t xml:space="preserve">“and”</w:t>
      </w:r>
      <w:r>
        <w:t xml:space="preserve">) that carry little semantic meaning but appear frequently in the text. I remove both standard English stop words and domain-specific terms that appear across all documents but provide limited analytical value due to their ubiquity. These domain-specific stop words include terms like</w:t>
      </w:r>
      <w:r>
        <w:t xml:space="preserve"> </w:t>
      </w:r>
      <w:r>
        <w:t xml:space="preserve">“adaptation,”</w:t>
      </w:r>
      <w:r>
        <w:t xml:space="preserve"> </w:t>
      </w:r>
      <w:r>
        <w:t xml:space="preserve">“climate,”</w:t>
      </w:r>
      <w:r>
        <w:t xml:space="preserve"> </w:t>
      </w:r>
      <w:r>
        <w:t xml:space="preserve">“plan,”</w:t>
      </w:r>
      <w:r>
        <w:t xml:space="preserve"> </w:t>
      </w:r>
      <w:r>
        <w:t xml:space="preserve">“national,”</w:t>
      </w:r>
      <w:r>
        <w:t xml:space="preserve"> </w:t>
      </w:r>
      <w:r>
        <w:t xml:space="preserve">“country,”</w:t>
      </w:r>
      <w:r>
        <w:t xml:space="preserve"> </w:t>
      </w:r>
      <w:r>
        <w:t xml:space="preserve">and</w:t>
      </w:r>
      <w:r>
        <w:t xml:space="preserve"> </w:t>
      </w:r>
      <w:r>
        <w:t xml:space="preserve">“UNFCCC,”</w:t>
      </w:r>
      <w:r>
        <w:t xml:space="preserve"> </w:t>
      </w:r>
      <w:r>
        <w:t xml:space="preserve">which are so common in the corpus that they do not help differentiate between different conceptualizations of adaptation.</w:t>
      </w:r>
    </w:p>
    <w:p>
      <w:pPr>
        <w:numPr>
          <w:ilvl w:val="0"/>
          <w:numId w:val="1009"/>
        </w:numPr>
      </w:pPr>
      <w:r>
        <w:rPr>
          <w:b/>
          <w:bCs/>
        </w:rPr>
        <w:t xml:space="preserve">Lemmatization</w:t>
      </w:r>
      <w:r>
        <w:t xml:space="preserve">: Reducing words to their base or dictionary form to treat variations of the same word as a single unit. For example,</w:t>
      </w:r>
      <w:r>
        <w:t xml:space="preserve"> </w:t>
      </w:r>
      <w:r>
        <w:t xml:space="preserve">“adapting,”</w:t>
      </w:r>
      <w:r>
        <w:t xml:space="preserve"> </w:t>
      </w:r>
      <w:r>
        <w:t xml:space="preserve">“adapts,”</w:t>
      </w:r>
      <w:r>
        <w:t xml:space="preserve"> </w:t>
      </w:r>
      <w:r>
        <w:t xml:space="preserve">and</w:t>
      </w:r>
      <w:r>
        <w:t xml:space="preserve"> </w:t>
      </w:r>
      <w:r>
        <w:t xml:space="preserve">“adapted”</w:t>
      </w:r>
      <w:r>
        <w:t xml:space="preserve"> </w:t>
      </w:r>
      <w:r>
        <w:t xml:space="preserve">all become</w:t>
      </w:r>
      <w:r>
        <w:t xml:space="preserve"> </w:t>
      </w:r>
      <w:r>
        <w:t xml:space="preserve">“adapt.”</w:t>
      </w:r>
      <w:r>
        <w:t xml:space="preserve"> </w:t>
      </w:r>
      <w:r>
        <w:t xml:space="preserve">This process helps reduce dimensionality and improve the signal-to-noise ratio in the data.</w:t>
      </w:r>
    </w:p>
    <w:p>
      <w:pPr>
        <w:numPr>
          <w:ilvl w:val="0"/>
          <w:numId w:val="1009"/>
        </w:numPr>
      </w:pPr>
      <w:r>
        <w:rPr>
          <w:b/>
          <w:bCs/>
        </w:rPr>
        <w:t xml:space="preserve">Creation of document-term matrix</w:t>
      </w:r>
      <w:r>
        <w:t xml:space="preserve">: Organizing the processed text into a matrix that represents the frequency of each term in each document. This matrix serves as the primary input for the subsequent topic modeling.</w:t>
      </w:r>
    </w:p>
    <w:p>
      <w:pPr>
        <w:pStyle w:val="FirstParagraph"/>
      </w:pPr>
      <w:r>
        <w:t xml:space="preserve">These preprocessing steps enable computational analysis but also involve certain trade-offs. Tokenization breaks text into individual words, losing information about phrasal meanings and sentence structures. Stop word removal eliminates words that, while common, might carry important functional meanings in certain contexts. Lemmatization may obscure subtle distinctions in how terms are used (e.g., converting both</w:t>
      </w:r>
      <w:r>
        <w:t xml:space="preserve"> </w:t>
      </w:r>
      <w:r>
        <w:t xml:space="preserve">“developed”</w:t>
      </w:r>
      <w:r>
        <w:t xml:space="preserve"> </w:t>
      </w:r>
      <w:r>
        <w:t xml:space="preserve">and</w:t>
      </w:r>
      <w:r>
        <w:t xml:space="preserve"> </w:t>
      </w:r>
      <w:r>
        <w:t xml:space="preserve">“developing”</w:t>
      </w:r>
      <w:r>
        <w:t xml:space="preserve"> </w:t>
      </w:r>
      <w:r>
        <w:t xml:space="preserve">to</w:t>
      </w:r>
      <w:r>
        <w:t xml:space="preserve"> </w:t>
      </w:r>
      <w:r>
        <w:t xml:space="preserve">“develop,”</w:t>
      </w:r>
      <w:r>
        <w:t xml:space="preserve"> </w:t>
      </w:r>
      <w:r>
        <w:t xml:space="preserve">potentially blurring an important distinction in climate discourse).</w:t>
      </w:r>
    </w:p>
    <w:p>
      <w:pPr>
        <w:pStyle w:val="Brdtekst"/>
      </w:pPr>
      <w:r>
        <w:t xml:space="preserve">To address some of these limitations, I retain the original text alongside the processed version, allowing for contextual verification when interpreting model outputs. I also conduct sensitivity analyses with different preprocessing choices to ensure that key findings are not artifacts of particular preprocessing decisions.</w:t>
      </w:r>
    </w:p>
    <w:p>
      <w:pPr>
        <w:pStyle w:val="Brdtekst"/>
      </w:pPr>
      <w:r>
        <w:t xml:space="preserve">The final processed corpus contains approximately 3.5 million words across the 45 documents, with an average of 78,000 words per document. Document length varies considerably, from around 20,000 words for the shortest NAP to over 150,000 words for the longest, reflecting differences in both detail and scope across different national contexts. The preprocessing reduces this to approximately 1.2 million tokens representing about 25,000 unique terms, which form the basis for the subsequent topic modeling.</w:t>
      </w:r>
    </w:p>
    <w:bookmarkEnd w:id="40"/>
    <w:bookmarkStart w:id="41" w:name="structural-topic-modeling"/>
    <w:p>
      <w:pPr>
        <w:pStyle w:val="Overskrift2"/>
      </w:pPr>
      <w:r>
        <w:t xml:space="preserve">5.2 Structural topic modeling</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w:t>
      </w:r>
      <w:r>
        <w:t xml:space="preserve"> </w:t>
      </w:r>
      <w:r>
        <w:t xml:space="preserve">(Roberts et al., 2019)</w:t>
      </w:r>
      <w:r>
        <w:t xml:space="preserve">. Unlike simpler forms of topic modeling, STM enables examination of how topic prevalence varies with document characteristics like region or income level, making it particularly suitable for comparative analysis of adaptation discourse.</w:t>
      </w:r>
    </w:p>
    <w:p>
      <w:pPr>
        <w:pStyle w:val="Brdtekst"/>
      </w:pPr>
      <w:r>
        <w:t xml:space="preserve">Topic models are unsupervised machine learning methods that discover abstract</w:t>
      </w:r>
      <w:r>
        <w:t xml:space="preserve"> </w:t>
      </w:r>
      <w:r>
        <w:t xml:space="preserve">“topics”</w:t>
      </w:r>
      <w:r>
        <w:t xml:space="preserve"> </w:t>
      </w:r>
      <w:r>
        <w:t xml:space="preserve">that occur in a collection of documents. The fundamental assumption of topic modeling is that documents are mixtures of topics, where a topic is a probability distribution over words. Each document can be described as a mixture of topics, with certain topics more prevalent than others in each document.</w:t>
      </w:r>
    </w:p>
    <w:p>
      <w:pPr>
        <w:pStyle w:val="Brdtekst"/>
      </w:pPr>
      <w:r>
        <w:t xml:space="preserve">The STM algorithm processes the document-term matrix to identify clusters of words that frequently co-occur, representing coherent topics within the corpus. Mathematically, STM represents each document as a mixture of k topics, with each topic defined as a distribution over the vocabulary. The model simultaneous estimates topic content (the words associated with each topic) and topic prevalence (the proportion of each document devoted to each topic) using a variational expectation-maximization algorithm</w:t>
      </w:r>
      <w:r>
        <w:t xml:space="preserve"> </w:t>
      </w:r>
      <w:r>
        <w:t xml:space="preserve">(Roberts et al., 2019)</w:t>
      </w:r>
      <w:r>
        <w:t xml:space="preserve">.</w:t>
      </w:r>
    </w:p>
    <w:p>
      <w:pPr>
        <w:pStyle w:val="Brdtekst"/>
      </w:pPr>
      <w:r>
        <w:t xml:space="preserve">What distinguishes STM from other topic modeling approaches is its ability to incorporate document metadata as covariates that can affect either topic content or topic prevalence. This allows us to examine, for example, how topic prevalence varies across different regions or income levels, or how the content of similar topics might differ across these categories. In this analysis, I focus primarily on topic prevalence covariates, examining how the distribution of topics varies across different document characteristics.</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w:t>
      </w:r>
    </w:p>
    <w:p>
      <w:pPr>
        <w:numPr>
          <w:ilvl w:val="0"/>
          <w:numId w:val="1010"/>
        </w:numPr>
      </w:pPr>
      <w:r>
        <w:rPr>
          <w:b/>
          <w:bCs/>
        </w:rPr>
        <w:t xml:space="preserve">Semantic coherence</w:t>
      </w:r>
      <w:r>
        <w:t xml:space="preserve">: Measures the degree to which high-probability words for a topic tend to co-occur in documents. Higher semantic coherence suggests more coherent, interpretable topics.</w:t>
      </w:r>
    </w:p>
    <w:p>
      <w:pPr>
        <w:numPr>
          <w:ilvl w:val="0"/>
          <w:numId w:val="1010"/>
        </w:numPr>
      </w:pPr>
      <w:r>
        <w:rPr>
          <w:b/>
          <w:bCs/>
        </w:rPr>
        <w:t xml:space="preserve">Exclusivity</w:t>
      </w:r>
      <w:r>
        <w:t xml:space="preserve">: Measures the degree to which words are exclusive to particular topics rather than appearing across many topics. Higher exclusivity suggests more distinctive topics.</w:t>
      </w:r>
    </w:p>
    <w:p>
      <w:pPr>
        <w:numPr>
          <w:ilvl w:val="0"/>
          <w:numId w:val="1010"/>
        </w:numPr>
      </w:pPr>
      <w:r>
        <w:rPr>
          <w:b/>
          <w:bCs/>
        </w:rPr>
        <w:t xml:space="preserve">Held-out likelihood</w:t>
      </w:r>
      <w:r>
        <w:t xml:space="preserve">: Measures the model’s ability to predict held-out text not used in training, providing an indication of how well the model generalizes.</w:t>
      </w:r>
    </w:p>
    <w:p>
      <w:pPr>
        <w:pStyle w:val="FirstParagraph"/>
      </w:pPr>
      <w:r>
        <w:t xml:space="preserve">In addition to these standard metrics, I incorporate a complexity factor that penalizes models with higher numbers of topics. This complexity penalty acknowledges that additional topics introduce greater interpretive challenges without necessarily improving model performance in a meaningful way. The penalty is calculated as a linear function of k, with the specific coefficient determined through experimentation.</w:t>
      </w:r>
    </w:p>
    <w:p>
      <w:pPr>
        <w:pStyle w:val="Brdtekst"/>
      </w:pPr>
      <w:r>
        <w:t xml:space="preserve">After testing models with k ranging from 20 to 80, I select a model with 40 topics based on the balance of semantic coherence, exclusivity, and the complexity penalty. This represents a middle ground that captures meaningful variation in the corpus while maintaining interpretability. The final model is trained using the spectral initialization method, which provides more consistent results than random initialization, and with 100 iterations of the variational expectation-maximization algorithm to ensure convergence.</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For the top topics identified in the model, I provide tentative interpretations based on:</w:t>
      </w:r>
    </w:p>
    <w:p>
      <w:pPr>
        <w:pStyle w:val="Compact"/>
        <w:numPr>
          <w:ilvl w:val="0"/>
          <w:numId w:val="1011"/>
        </w:numPr>
      </w:pPr>
      <w:r>
        <w:t xml:space="preserve">The highest probability words for each topic</w:t>
      </w:r>
    </w:p>
    <w:p>
      <w:pPr>
        <w:pStyle w:val="Compact"/>
        <w:numPr>
          <w:ilvl w:val="0"/>
          <w:numId w:val="1011"/>
        </w:numPr>
      </w:pPr>
      <w:r>
        <w:t xml:space="preserve">The most distinctive words for each topic (using FREX: FRequency and EXclusivity)</w:t>
      </w:r>
    </w:p>
    <w:p>
      <w:pPr>
        <w:pStyle w:val="Compact"/>
        <w:numPr>
          <w:ilvl w:val="0"/>
          <w:numId w:val="1011"/>
        </w:numPr>
      </w:pPr>
      <w:r>
        <w:t xml:space="preserve">Representative documents with high proportions of the topic</w:t>
      </w:r>
    </w:p>
    <w:p>
      <w:pPr>
        <w:pStyle w:val="Compact"/>
        <w:numPr>
          <w:ilvl w:val="0"/>
          <w:numId w:val="1011"/>
        </w:numPr>
      </w:pPr>
      <w:r>
        <w:t xml:space="preserve">Examination of the original context in which topic-associated words appear</w:t>
      </w:r>
    </w:p>
    <w:p>
      <w:pPr>
        <w:pStyle w:val="FirstParagraph"/>
      </w:pPr>
      <w:r>
        <w:t xml:space="preserve">[visualization placeholder - topic word cloud]</w:t>
      </w:r>
    </w:p>
    <w:p>
      <w:pPr>
        <w:pStyle w:val="Brdtekst"/>
      </w:pPr>
      <w:r>
        <w:t xml:space="preserve">These interpretations should be understood as plausible readings rather than definitive meanings. They aim to translate statistical patterns into conceptually meaningful categories to facilitate interpretation of discourse patterns, while acknowledging the interpretive judgment involved in this translation.</w:t>
      </w:r>
    </w:p>
    <w:p>
      <w:pPr>
        <w:pStyle w:val="Brdtekst"/>
      </w:pPr>
      <w:r>
        <w:t xml:space="preserve">The resulting topic model provides several outputs for analysis:</w:t>
      </w:r>
    </w:p>
    <w:p>
      <w:pPr>
        <w:numPr>
          <w:ilvl w:val="0"/>
          <w:numId w:val="1012"/>
        </w:numPr>
      </w:pPr>
      <w:r>
        <w:rPr>
          <w:b/>
          <w:bCs/>
        </w:rPr>
        <w:t xml:space="preserve">Topic-word distributions</w:t>
      </w:r>
      <w:r>
        <w:t xml:space="preserve">: The probability of each word being generated by each topic, which helps interpret what each topic represents.</w:t>
      </w:r>
    </w:p>
    <w:p>
      <w:pPr>
        <w:numPr>
          <w:ilvl w:val="0"/>
          <w:numId w:val="1012"/>
        </w:numPr>
      </w:pPr>
      <w:r>
        <w:rPr>
          <w:b/>
          <w:bCs/>
        </w:rPr>
        <w:t xml:space="preserve">Document-topic proportions</w:t>
      </w:r>
      <w:r>
        <w:t xml:space="preserve">: The estimated proportion of each document devoted to each topic, which forms the basis for the Dominance Index.</w:t>
      </w:r>
    </w:p>
    <w:p>
      <w:pPr>
        <w:numPr>
          <w:ilvl w:val="0"/>
          <w:numId w:val="1012"/>
        </w:numPr>
      </w:pPr>
      <w:r>
        <w:rPr>
          <w:b/>
          <w:bCs/>
        </w:rPr>
        <w:t xml:space="preserve">Metadata correlations</w:t>
      </w:r>
      <w:r>
        <w:t xml:space="preserve">: How document characteristics like region or income level correlate with topic prevalence, which helps identify patterns across different contexts.</w:t>
      </w:r>
    </w:p>
    <w:p>
      <w:pPr>
        <w:numPr>
          <w:ilvl w:val="0"/>
          <w:numId w:val="1012"/>
        </w:numPr>
      </w:pPr>
      <w:r>
        <w:rPr>
          <w:b/>
          <w:bCs/>
        </w:rPr>
        <w:t xml:space="preserve">Topic correlation matrix</w:t>
      </w:r>
      <w:r>
        <w:t xml:space="preserve">: How different topics relate to each other, which can reveal broader thematic clusters within the discourse.</w:t>
      </w:r>
    </w:p>
    <w:p>
      <w:pPr>
        <w:pStyle w:val="FirstParagraph"/>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 The topic model thus serves as a bridge between the unstructured text of the NAPs and the more structured analysis of discourse centralization through the Dominance Index.</w:t>
      </w:r>
    </w:p>
    <w:bookmarkEnd w:id="41"/>
    <w:bookmarkStart w:id="42" w:name="dominance-index-calculation"/>
    <w:p>
      <w:pPr>
        <w:pStyle w:val="Overskrift2"/>
      </w:pPr>
      <w:r>
        <w:t xml:space="preserve">5.3 Dominance Index calculation</w:t>
      </w:r>
    </w:p>
    <w:p>
      <w:pPr>
        <w:pStyle w:val="FirstParagraph"/>
      </w:pPr>
      <w:r>
        <w:t xml:space="preserve">To quantify the degree of discourse centralization, I develop a Dominance Index that measures how concentrated or dispersed topic distributions are across different groups of documents. The index provides a single metric that can be compared across different contexts to identify variations in discourse centralization. A high Dominance Index indicates that a few topics dominate the discourse, suggesting a more homogeneous conceptualization of adaptation. A low Dominance Index indicates a more even distribution of topics, suggesting greater diversity in how adaptation is conceptualized.</w:t>
      </w:r>
    </w:p>
    <w:p>
      <w:pPr>
        <w:pStyle w:val="Brdtekst"/>
      </w:pPr>
      <w:r>
        <w:t xml:space="preserve">The Dominance Index focuses specifically on the concentration of the top n topics in a given group of documents. This approach directly addresses the core question of whether adaptation discourse is dominated by a small number of topics or distributed across many different topics. After testing different values, I select n=5 as capturing a significant portion of the discourse while maintaining meaningful distinctions between different contexts.</w:t>
      </w:r>
    </w:p>
    <w:p>
      <w:pPr>
        <w:pStyle w:val="Brdtekst"/>
      </w:pPr>
      <w:r>
        <w:t xml:space="preserve">The calculation of the Dominance Index follows these steps:</w:t>
      </w:r>
    </w:p>
    <w:p>
      <w:pPr>
        <w:numPr>
          <w:ilvl w:val="0"/>
          <w:numId w:val="1013"/>
        </w:numPr>
      </w:pPr>
      <w:r>
        <w:rPr>
          <w:b/>
          <w:bCs/>
        </w:rPr>
        <w:t xml:space="preserve">Group documents</w:t>
      </w:r>
      <w:r>
        <w:t xml:space="preserve">: Aggregate documents according to relevant characteristics (e.g., all documents from a particular region or income level).</w:t>
      </w:r>
    </w:p>
    <w:p>
      <w:pPr>
        <w:numPr>
          <w:ilvl w:val="0"/>
          <w:numId w:val="1013"/>
        </w:numPr>
      </w:pPr>
      <w:r>
        <w:rPr>
          <w:b/>
          <w:bCs/>
        </w:rPr>
        <w:t xml:space="preserve">Calculate topic proportions</w:t>
      </w:r>
      <w:r>
        <w:t xml:space="preserve">: For each topic, calculate the average proportion across all documents in the group. This gives us the average prevalence of each topic within that group.</w:t>
      </w:r>
    </w:p>
    <w:p>
      <w:pPr>
        <w:numPr>
          <w:ilvl w:val="0"/>
          <w:numId w:val="1013"/>
        </w:numPr>
      </w:pPr>
      <w:r>
        <w:rPr>
          <w:b/>
          <w:bCs/>
        </w:rPr>
        <w:t xml:space="preserve">Rank topics</w:t>
      </w:r>
      <w:r>
        <w:t xml:space="preserve">: Sort topics by their average proportion in descending order to identify the most prevalent topics in the group.</w:t>
      </w:r>
    </w:p>
    <w:p>
      <w:pPr>
        <w:numPr>
          <w:ilvl w:val="0"/>
          <w:numId w:val="1013"/>
        </w:numPr>
      </w:pPr>
      <w:r>
        <w:rPr>
          <w:b/>
          <w:bCs/>
        </w:rPr>
        <w:t xml:space="preserve">Calculate top-n proportion</w:t>
      </w:r>
      <w:r>
        <w:t xml:space="preserve">: Sum the proportions of the top 5 topics to determine what fraction of the discourse they represent collectively.</w:t>
      </w:r>
    </w:p>
    <w:p>
      <w:pPr>
        <w:numPr>
          <w:ilvl w:val="0"/>
          <w:numId w:val="1013"/>
        </w:numPr>
      </w:pPr>
      <w:r>
        <w:rPr>
          <w:b/>
          <w:bCs/>
        </w:rPr>
        <w:t xml:space="preserve">Normalize the index</w:t>
      </w:r>
      <w:r>
        <w:t xml:space="preserve">: Scale the result to a 0-1 range, where 0 represents a perfectly even distribution across all topics and 1 represents complete concentration in a single topic.</w:t>
      </w:r>
    </w:p>
    <w:p>
      <w:pPr>
        <w:pStyle w:val="FirstParagraph"/>
      </w:pPr>
      <w:r>
        <w:t xml:space="preserve">The mathematical formula for the Dominance Index (DI) can be expressed as:</w:t>
      </w:r>
    </w:p>
    <w:p>
      <w:pPr>
        <w:pStyle w:val="Brdtekst"/>
      </w:pPr>
      <w:r>
        <w:t xml:space="preserve">DI = (sum of proportions for top 5 topics - minimum possible sum) / (maximum possible sum - minimum possible sum)</w:t>
      </w:r>
    </w:p>
    <w:p>
      <w:pPr>
        <w:pStyle w:val="Brdtekst"/>
      </w:pPr>
      <w:r>
        <w:t xml:space="preserve">Where:</w:t>
      </w:r>
    </w:p>
    <w:p>
      <w:pPr>
        <w:pStyle w:val="Compact"/>
        <w:numPr>
          <w:ilvl w:val="0"/>
          <w:numId w:val="1014"/>
        </w:numPr>
      </w:pPr>
      <w:r>
        <w:t xml:space="preserve">The minimum possible sum would be 5 * (1/k) in a perfectly even distribution across all k topics</w:t>
      </w:r>
    </w:p>
    <w:p>
      <w:pPr>
        <w:pStyle w:val="Compact"/>
        <w:numPr>
          <w:ilvl w:val="0"/>
          <w:numId w:val="1014"/>
        </w:numPr>
      </w:pPr>
      <w:r>
        <w:t xml:space="preserve">The maximum possible sum would be 1 (if all discourse were concentrated in a single topic)</w:t>
      </w:r>
    </w:p>
    <w:p>
      <w:pPr>
        <w:pStyle w:val="FirstParagraph"/>
      </w:pPr>
      <w:r>
        <w:t xml:space="preserve">This normalization ensures that the Dominance Index is comparable across different values of k and n, though in this analysis both are fixed (k=40, n=5).</w:t>
      </w:r>
    </w:p>
    <w:p>
      <w:pPr>
        <w:pStyle w:val="Brdtekst"/>
      </w:pPr>
      <w:r>
        <w:t xml:space="preserve">The Dominance Index approach differs from entropy-based measures that are sometimes used to quantify diversity in topic distributions. While entropy measures capture the overall evenness of a distribution, the Dominance Index focuses specifically on the concentration of the most prevalent topics, which more directly addresses the question of discourse centralization. The top-n approach also offers greater interpretability, as it can be directly related to specific topics that dominate the discourse.</w:t>
      </w:r>
    </w:p>
    <w:p>
      <w:pPr>
        <w:pStyle w:val="Brdtekst"/>
      </w:pPr>
      <w:r>
        <w:t xml:space="preserve">To address potential biases from uneven document lengths or sample sizes, I implement several controls:</w:t>
      </w:r>
    </w:p>
    <w:p>
      <w:pPr>
        <w:numPr>
          <w:ilvl w:val="0"/>
          <w:numId w:val="1015"/>
        </w:numPr>
      </w:pPr>
      <w:r>
        <w:rPr>
          <w:b/>
          <w:bCs/>
        </w:rPr>
        <w:t xml:space="preserve">Document length normalization</w:t>
      </w:r>
      <w:r>
        <w:t xml:space="preserve">: Topic proportions are calculated as fractions of each document, controlling for differences in document length.</w:t>
      </w:r>
    </w:p>
    <w:p>
      <w:pPr>
        <w:numPr>
          <w:ilvl w:val="0"/>
          <w:numId w:val="1015"/>
        </w:numPr>
      </w:pPr>
      <w:r>
        <w:rPr>
          <w:b/>
          <w:bCs/>
        </w:rPr>
        <w:t xml:space="preserve">Jackknife resampling</w:t>
      </w:r>
      <w:r>
        <w:t xml:space="preserve">: For groups with more than five documents, I use jackknife resampling (leave-one-out) to assess the stability of the Dominance Index and calculate confidence intervals.</w:t>
      </w:r>
    </w:p>
    <w:p>
      <w:pPr>
        <w:numPr>
          <w:ilvl w:val="0"/>
          <w:numId w:val="1015"/>
        </w:numPr>
      </w:pPr>
      <w:r>
        <w:rPr>
          <w:b/>
          <w:bCs/>
        </w:rPr>
        <w:t xml:space="preserve">Sample size thresholds</w:t>
      </w:r>
      <w:r>
        <w:t xml:space="preserve">: For very small groups (fewer than three documents), I flag the results as potentially less reliable and interpret them with greater caution.</w:t>
      </w:r>
    </w:p>
    <w:p>
      <w:pPr>
        <w:pStyle w:val="FirstParagraph"/>
      </w:pPr>
      <w:r>
        <w:t xml:space="preserve">These controls help ensure that the Dominance Index reflects genuine patterns of discourse centralization rather than artifacts of the corpus composition. However, they cannot entirely eliminate the influence of sample size disparities, particularly for the smallest groups.</w:t>
      </w:r>
    </w:p>
    <w:p>
      <w:pPr>
        <w:pStyle w:val="Brdtekst"/>
      </w:pPr>
      <w:r>
        <w:t xml:space="preserve">The Dominance Index enables systematic comparison of discourse centralization across different groupings:</w:t>
      </w:r>
    </w:p>
    <w:p>
      <w:pPr>
        <w:pStyle w:val="Compact"/>
        <w:numPr>
          <w:ilvl w:val="0"/>
          <w:numId w:val="1016"/>
        </w:numPr>
      </w:pPr>
      <w:r>
        <w:t xml:space="preserve">Regional groups (Africa, Asia-Pacific, Latin America and Caribbean, Europe)</w:t>
      </w:r>
    </w:p>
    <w:p>
      <w:pPr>
        <w:pStyle w:val="Compact"/>
        <w:numPr>
          <w:ilvl w:val="0"/>
          <w:numId w:val="1016"/>
        </w:numPr>
      </w:pPr>
      <w:r>
        <w:t xml:space="preserve">Income levels (Low, Lower-middle, Upper-middle, High)</w:t>
      </w:r>
    </w:p>
    <w:p>
      <w:pPr>
        <w:pStyle w:val="Compact"/>
        <w:numPr>
          <w:ilvl w:val="0"/>
          <w:numId w:val="1016"/>
        </w:numPr>
      </w:pPr>
      <w:r>
        <w:t xml:space="preserve">Special status designations (SIDS, LDCs, LLDCs, non-special)</w:t>
      </w:r>
    </w:p>
    <w:p>
      <w:pPr>
        <w:pStyle w:val="Compact"/>
        <w:numPr>
          <w:ilvl w:val="0"/>
          <w:numId w:val="1016"/>
        </w:numPr>
      </w:pPr>
      <w:r>
        <w:t xml:space="preserve">The corpus as a whole (providing a baseline for comparison)</w:t>
      </w:r>
    </w:p>
    <w:p>
      <w:pPr>
        <w:pStyle w:val="FirstParagraph"/>
      </w:pPr>
      <w:r>
        <w:t xml:space="preserve">[visualization placeholder - dominance index comparison chart]</w:t>
      </w:r>
    </w:p>
    <w:p>
      <w:pPr>
        <w:pStyle w:val="Brdtekst"/>
      </w:pPr>
      <w:r>
        <w:t xml:space="preserve">This comparative approach helps identify factors that might influence the degree of epistemological diversity in adaptation discourse. For example, if the Dominance Index varies significantly across regions but not across income levels, this might suggest that regional knowledge systems or institutional frameworks play a more important role in shaping adaptation discourse than economic circumstances.</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(higher Dominance Index)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Moreover, the Dominance Index doesn’t tell us whether a particular pattern of centralization is</w:t>
      </w:r>
      <w:r>
        <w:t xml:space="preserve"> </w:t>
      </w:r>
      <w:r>
        <w:t xml:space="preserve">“good”</w:t>
      </w:r>
      <w:r>
        <w:t xml:space="preserve"> </w:t>
      </w:r>
      <w:r>
        <w:t xml:space="preserve">or</w:t>
      </w:r>
      <w:r>
        <w:t xml:space="preserve"> </w:t>
      </w:r>
      <w:r>
        <w:t xml:space="preserve">“bad”</w:t>
      </w:r>
      <w:r>
        <w:t xml:space="preserve"> </w:t>
      </w:r>
      <w:r>
        <w:t xml:space="preserve">from a normative perspective. A highly centralized discourse might reflect genuine consensus around effective approaches, while a highly diverse discourse might reflect fragmentation or lack of coherence. Interpreting the normative implications of different Dominance Index values requires connecting the quantitative results to the substantive content of the topics and the broader theoretical framework.</w:t>
      </w:r>
    </w:p>
    <w:bookmarkEnd w:id="42"/>
    <w:bookmarkStart w:id="43" w:name="visualization-and-interpretation"/>
    <w:p>
      <w:pPr>
        <w:pStyle w:val="Overskrift2"/>
      </w:pPr>
      <w:r>
        <w:t xml:space="preserve">5.4 Visualization and interpretation</w:t>
      </w:r>
    </w:p>
    <w:p>
      <w:pPr>
        <w:pStyle w:val="FirstParagraph"/>
      </w:pPr>
      <w:r>
        <w:t xml:space="preserve">To make patterns of discourse centralization more accessible and interpretable, I develop visualization techniques that complement the quantitative analysis. These visualizations serve both analytical and communicative purposes, helping to identify patterns in the data and effectively convey these patterns to readers who may not be familiar with the technical details of topic modeling or the Dominance Index.</w:t>
      </w:r>
    </w:p>
    <w:p>
      <w:pPr>
        <w:pStyle w:val="Brdtekst"/>
      </w:pPr>
      <w:r>
        <w:t xml:space="preserve">The primary visualization approach is a</w:t>
      </w:r>
      <w:r>
        <w:t xml:space="preserve"> </w:t>
      </w:r>
      <w:r>
        <w:t xml:space="preserve">“bullseye”</w:t>
      </w:r>
      <w:r>
        <w:t xml:space="preserve"> </w:t>
      </w:r>
      <w:r>
        <w:t xml:space="preserve">representation of discourse dominance. This visualization places topics as points on a target diagram, with distance from the center determined by the topic’s prevalence. In highly centralized discourse (high Dominance Index), points cluster near the center, indicating that a few topics dominate. In more decentralized discourse (low Dominance Index), points are more evenly distributed throughout the target, indicating greater diversity of topics.</w:t>
      </w:r>
    </w:p>
    <w:p>
      <w:pPr>
        <w:pStyle w:val="Brdtekst"/>
      </w:pPr>
      <w:r>
        <w:t xml:space="preserve">The bullseye visualization is constructed as follows:</w:t>
      </w:r>
    </w:p>
    <w:p>
      <w:pPr>
        <w:numPr>
          <w:ilvl w:val="0"/>
          <w:numId w:val="1017"/>
        </w:numPr>
      </w:pPr>
      <w:r>
        <w:t xml:space="preserve">The diagram is divided into concentric rings, with the innermost ring representing the highest topic prevalence and the outermost ring representing the lowest.</w:t>
      </w:r>
    </w:p>
    <w:p>
      <w:pPr>
        <w:numPr>
          <w:ilvl w:val="0"/>
          <w:numId w:val="1017"/>
        </w:numPr>
      </w:pPr>
      <w:r>
        <w:t xml:space="preserve">Topics are positioned based on their average proportion within the document group, with more prevalent topics placed closer to the center.</w:t>
      </w:r>
    </w:p>
    <w:p>
      <w:pPr>
        <w:numPr>
          <w:ilvl w:val="0"/>
          <w:numId w:val="1017"/>
        </w:numPr>
      </w:pPr>
      <w:r>
        <w:t xml:space="preserve">Each topic is represented by a point, with optional labeling for the most prevalent topics to aid interpretation.</w:t>
      </w:r>
    </w:p>
    <w:p>
      <w:pPr>
        <w:numPr>
          <w:ilvl w:val="0"/>
          <w:numId w:val="1017"/>
        </w:numPr>
      </w:pPr>
      <w:r>
        <w:t xml:space="preserve">Color coding can be used to distinguish different types of topics (e.g., based on thematic categories) or to indicate topic correlations.</w:t>
      </w:r>
    </w:p>
    <w:p>
      <w:pPr>
        <w:pStyle w:val="FirstParagraph"/>
      </w:pPr>
      <w:r>
        <w:t xml:space="preserve">[visualization placeholder - bullseye diagram]</w:t>
      </w:r>
    </w:p>
    <w:p>
      <w:pPr>
        <w:pStyle w:val="Brdtekst"/>
      </w:pPr>
      <w:r>
        <w:t xml:space="preserve">This visual representation provides an intuitive way to compare discourse patterns across different contexts. By placing bullseye visualizations for different regions or income groups side by side, we can readily observe differences in discourse centralization that might be less apparent in numerical comparisons alone. The bullseye approach is particularly effective for communicating the concept of discourse centralization to non-specialist audiences.</w:t>
      </w:r>
    </w:p>
    <w:p>
      <w:pPr>
        <w:pStyle w:val="Brdtekst"/>
      </w:pPr>
      <w:r>
        <w:t xml:space="preserve">The bullseye visualization can show the degree of centralization but doesn’t directly indicate which topics are prevalent. To address this, I complement the bullseye diagrams with more detailed visualizations that show the specific topics that dominate in different contexts:</w:t>
      </w:r>
    </w:p>
    <w:p>
      <w:pPr>
        <w:numPr>
          <w:ilvl w:val="0"/>
          <w:numId w:val="1018"/>
        </w:numPr>
      </w:pPr>
      <w:r>
        <w:rPr>
          <w:b/>
          <w:bCs/>
        </w:rPr>
        <w:t xml:space="preserve">Bar charts</w:t>
      </w:r>
      <w:r>
        <w:t xml:space="preserve">: Comparing Dominance Index values across different groupings to identify variations in overall centralization.</w:t>
      </w:r>
    </w:p>
    <w:p>
      <w:pPr>
        <w:numPr>
          <w:ilvl w:val="0"/>
          <w:numId w:val="1018"/>
        </w:numPr>
      </w:pPr>
      <w:r>
        <w:rPr>
          <w:b/>
          <w:bCs/>
        </w:rPr>
        <w:t xml:space="preserve">Heatmaps</w:t>
      </w:r>
      <w:r>
        <w:t xml:space="preserve">: Showing the prevalence of specific topics across different contexts to identify which topics dominate in which contexts.</w:t>
      </w:r>
    </w:p>
    <w:p>
      <w:pPr>
        <w:numPr>
          <w:ilvl w:val="0"/>
          <w:numId w:val="1018"/>
        </w:numPr>
      </w:pPr>
      <w:r>
        <w:rPr>
          <w:b/>
          <w:bCs/>
        </w:rPr>
        <w:t xml:space="preserve">Network visualizations</w:t>
      </w:r>
      <w:r>
        <w:t xml:space="preserve">: Illustrating relationships between topics and document characteristics to reveal patterns of association.</w:t>
      </w:r>
    </w:p>
    <w:p>
      <w:pPr>
        <w:pStyle w:val="FirstParagraph"/>
      </w:pPr>
      <w:r>
        <w:t xml:space="preserve">[visualization placeholder - topic prevalence heatmap]</w:t>
      </w:r>
    </w:p>
    <w:p>
      <w:pPr>
        <w:pStyle w:val="Brdtekst"/>
      </w:pPr>
      <w:r>
        <w:t xml:space="preserve">These visualizations help bridge the gap between the abstract metric of the Dominance Index and the substantive content of the discourse. They enable identification of both patterns of centralization (how concentrated the discourse is) and patterns of content (which specific topics dominate in which contexts).</w:t>
      </w:r>
    </w:p>
    <w:p>
      <w:pPr>
        <w:pStyle w:val="Brdtekst"/>
      </w:pPr>
      <w:r>
        <w:t xml:space="preserve">The interpretation of these patterns draws on the theoretical framework developed in the previous chapter. I analyze how discourse centralization relates to epistemological diversity, examining whether differences in Dominance Index values across contexts reflect meaningful variations in how adaptation is conceptualized. This interpretation involves several layers of analysis:</w:t>
      </w:r>
    </w:p>
    <w:p>
      <w:pPr>
        <w:numPr>
          <w:ilvl w:val="0"/>
          <w:numId w:val="1019"/>
        </w:numPr>
      </w:pPr>
      <w:r>
        <w:rPr>
          <w:b/>
          <w:bCs/>
        </w:rPr>
        <w:t xml:space="preserve">Pattern identification</w:t>
      </w:r>
      <w:r>
        <w:t xml:space="preserve">: Identifying variations in the Dominance Index across different groupings and assessing their statistical significance.</w:t>
      </w:r>
    </w:p>
    <w:p>
      <w:pPr>
        <w:numPr>
          <w:ilvl w:val="0"/>
          <w:numId w:val="1019"/>
        </w:numPr>
      </w:pPr>
      <w:r>
        <w:rPr>
          <w:b/>
          <w:bCs/>
        </w:rPr>
        <w:t xml:space="preserve">Content analysis</w:t>
      </w:r>
      <w:r>
        <w:t xml:space="preserve">: Examining which specific topics dominate in different contexts and how these topics relate to different epistemological and ontological perspectives.</w:t>
      </w:r>
    </w:p>
    <w:p>
      <w:pPr>
        <w:numPr>
          <w:ilvl w:val="0"/>
          <w:numId w:val="1019"/>
        </w:numPr>
      </w:pPr>
      <w:r>
        <w:rPr>
          <w:b/>
          <w:bCs/>
        </w:rPr>
        <w:t xml:space="preserve">Contextual interpretation</w:t>
      </w:r>
      <w:r>
        <w:t xml:space="preserve">: Considering how patterns of discourse centralization might relate to broader factors such as regional knowledge systems, institutional frameworks, or historical legacies.</w:t>
      </w:r>
    </w:p>
    <w:p>
      <w:pPr>
        <w:numPr>
          <w:ilvl w:val="0"/>
          <w:numId w:val="1019"/>
        </w:numPr>
      </w:pPr>
      <w:r>
        <w:rPr>
          <w:b/>
          <w:bCs/>
        </w:rPr>
        <w:t xml:space="preserve">Theoretical connection</w:t>
      </w:r>
      <w:r>
        <w:t xml:space="preserve">: Relating the empirical findings to theoretical concepts such as epistemological diversity, ontological assumptions, and the politics of scale.</w:t>
      </w:r>
    </w:p>
    <w:p>
      <w:pPr>
        <w:pStyle w:val="FirstParagraph"/>
      </w:pPr>
      <w:r>
        <w:t xml:space="preserve">This interpretive process aims to move beyond simple description of discourse patterns to deeper analysis of their implications for climate adaptation governance. It seeks to connect the</w:t>
      </w:r>
      <w:r>
        <w:t xml:space="preserve"> </w:t>
      </w:r>
      <w:r>
        <w:t xml:space="preserve">“what”</w:t>
      </w:r>
      <w:r>
        <w:t xml:space="preserve"> </w:t>
      </w:r>
      <w:r>
        <w:t xml:space="preserve">(patterns of discourse centralization) to the</w:t>
      </w:r>
      <w:r>
        <w:t xml:space="preserve"> </w:t>
      </w:r>
      <w:r>
        <w:t xml:space="preserve">“why”</w:t>
      </w:r>
      <w:r>
        <w:t xml:space="preserve"> </w:t>
      </w:r>
      <w:r>
        <w:t xml:space="preserve">(factors that might explain these patterns) and the</w:t>
      </w:r>
      <w:r>
        <w:t xml:space="preserve"> </w:t>
      </w:r>
      <w:r>
        <w:t xml:space="preserve">“so what”</w:t>
      </w:r>
      <w:r>
        <w:t xml:space="preserve"> </w:t>
      </w:r>
      <w:r>
        <w:t xml:space="preserve">(implications for just and effective adaptation).</w:t>
      </w:r>
    </w:p>
    <w:p>
      <w:pPr>
        <w:pStyle w:val="Brdtekst"/>
      </w:pPr>
      <w:r>
        <w:t xml:space="preserve">The interpretation explicitly considers alternative explanations for observed patterns. For example, if regional groups show different Dominance Index values, this could reflect:</w:t>
      </w:r>
    </w:p>
    <w:p>
      <w:pPr>
        <w:pStyle w:val="Compact"/>
        <w:numPr>
          <w:ilvl w:val="0"/>
          <w:numId w:val="1020"/>
        </w:numPr>
      </w:pPr>
      <w:r>
        <w:t xml:space="preserve">Genuinely different epistemological traditions across regions</w:t>
      </w:r>
    </w:p>
    <w:p>
      <w:pPr>
        <w:pStyle w:val="Compact"/>
        <w:numPr>
          <w:ilvl w:val="0"/>
          <w:numId w:val="1020"/>
        </w:numPr>
      </w:pPr>
      <w:r>
        <w:t xml:space="preserve">Institutional factors such as regional development banks or policy frameworks</w:t>
      </w:r>
    </w:p>
    <w:p>
      <w:pPr>
        <w:pStyle w:val="Compact"/>
        <w:numPr>
          <w:ilvl w:val="0"/>
          <w:numId w:val="1020"/>
        </w:numPr>
      </w:pPr>
      <w:r>
        <w:t xml:space="preserve">Historical patterns of knowledge exchange and policy diffusion</w:t>
      </w:r>
    </w:p>
    <w:p>
      <w:pPr>
        <w:pStyle w:val="Compact"/>
        <w:numPr>
          <w:ilvl w:val="0"/>
          <w:numId w:val="1020"/>
        </w:numPr>
      </w:pPr>
      <w:r>
        <w:t xml:space="preserve">Artifacts of the corpus composition or analytical method</w:t>
      </w:r>
    </w:p>
    <w:p>
      <w:pPr>
        <w:pStyle w:val="FirstParagraph"/>
      </w:pPr>
      <w:r>
        <w:t xml:space="preserve">By considering these alternatives, I aim to develop more robust interpretations that acknowledge the complexity of factors shaping adaptation discourse.</w:t>
      </w:r>
    </w:p>
    <w:p>
      <w:pPr>
        <w:pStyle w:val="Brdtekst"/>
      </w:pPr>
      <w:r>
        <w:t xml:space="preserve">Throughout this interpretive process, I maintain awareness of what this methodological approach can and cannot tell us. The analysis can identify patterns of topic distribution across different contexts and suggest possible factors influencing these patterns. It cannot definitively establish causal relationships or directly measure epistemological diversity. The findings should be understood as evidence-based insights that can inform further research and policy discussions, rather than as final conclusions about the nature of adaptation discourse.</w:t>
      </w:r>
    </w:p>
    <w:p>
      <w:pPr>
        <w:pStyle w:val="Brdtekst"/>
      </w:pPr>
      <w:r>
        <w:t xml:space="preserve">Despite these limitations, this methodological approach offers valuable insights into patterns of discourse centralization that would be difficult to discern through manual analysis alone. By combining computational methods with critical theoretical perspectives, it contributes to our understanding of how adaptation is conceptualized across different contexts and what factors might influence these conceptualizations. These insights have implications for both academic understandings of adaptation discourse and practical efforts to promote more just and effective adaptation governance.</w:t>
      </w:r>
    </w:p>
    <w:bookmarkEnd w:id="43"/>
    <w:bookmarkEnd w:id="44"/>
    <w:bookmarkStart w:id="45" w:name="sec-findings"/>
    <w:p>
      <w:pPr>
        <w:pStyle w:val="Overskrift1"/>
      </w:pPr>
      <w:r>
        <w:t xml:space="preserve">6. Findings</w:t>
      </w:r>
    </w:p>
    <w:bookmarkEnd w:id="45"/>
    <w:bookmarkStart w:id="46" w:name="sec-discussion"/>
    <w:p>
      <w:pPr>
        <w:pStyle w:val="Overskrift1"/>
      </w:pPr>
      <w:r>
        <w:t xml:space="preserve">7. Discussion</w:t>
      </w:r>
    </w:p>
    <w:bookmarkEnd w:id="46"/>
    <w:bookmarkStart w:id="47" w:name="sec-conclusion"/>
    <w:p>
      <w:pPr>
        <w:pStyle w:val="Overskrift1"/>
      </w:pPr>
      <w:r>
        <w:t xml:space="preserve">8. Conclusion</w:t>
      </w:r>
    </w:p>
    <w:p>
      <w:pPr>
        <w:pStyle w:val="FirstParagraph"/>
      </w:pPr>
      <w:r>
        <w:t xml:space="preserve">Enda mer test, nå begynner jeg nesten å gå lei. Neinei, det er så mye mer jeg kan gjøre!</w:t>
      </w:r>
    </w:p>
    <w:bookmarkEnd w:id="47"/>
    <w:bookmarkStart w:id="97" w:name="references"/>
    <w:p>
      <w:pPr>
        <w:pStyle w:val="Overskrift1"/>
      </w:pPr>
      <w:r>
        <w:t xml:space="preserve">References</w:t>
      </w:r>
    </w:p>
    <w:bookmarkStart w:id="96" w:name="refs"/>
    <w:bookmarkStart w:id="48"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48"/>
    <w:bookmarkStart w:id="50"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49">
        <w:r>
          <w:rPr>
            <w:rStyle w:val="Hyperlink"/>
          </w:rPr>
          <w:t xml:space="preserve">https://doi.org/10.1016/j.landusepol.2020.104898</w:t>
        </w:r>
      </w:hyperlink>
    </w:p>
    <w:bookmarkEnd w:id="50"/>
    <w:bookmarkStart w:id="51"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1"/>
    <w:bookmarkStart w:id="53"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2">
        <w:r>
          <w:rPr>
            <w:rStyle w:val="Hyperlink"/>
          </w:rPr>
          <w:t xml:space="preserve">https://doi.org/10.1016/0305-750X(94)90030-2</w:t>
        </w:r>
      </w:hyperlink>
    </w:p>
    <w:bookmarkEnd w:id="53"/>
    <w:bookmarkStart w:id="54"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54"/>
    <w:bookmarkStart w:id="56"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55">
        <w:r>
          <w:rPr>
            <w:rStyle w:val="Hyperlink"/>
          </w:rPr>
          <w:t xml:space="preserve">https://doi.org/10.1080/00141844.2020.1788109</w:t>
        </w:r>
      </w:hyperlink>
    </w:p>
    <w:bookmarkEnd w:id="56"/>
    <w:bookmarkStart w:id="58"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57">
        <w:r>
          <w:rPr>
            <w:rStyle w:val="Hyperlink"/>
          </w:rPr>
          <w:t xml:space="preserve">https://doi.org/10.1016/j.worlddev.2020.105383</w:t>
        </w:r>
      </w:hyperlink>
    </w:p>
    <w:bookmarkEnd w:id="58"/>
    <w:bookmarkStart w:id="60"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59">
        <w:r>
          <w:rPr>
            <w:rStyle w:val="Hyperlink"/>
          </w:rPr>
          <w:t xml:space="preserve">https://www.jstor.org/stable/j.ctt7rtgw</w:t>
        </w:r>
      </w:hyperlink>
    </w:p>
    <w:bookmarkEnd w:id="60"/>
    <w:bookmarkStart w:id="61"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61"/>
    <w:bookmarkStart w:id="62"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62"/>
    <w:bookmarkStart w:id="63"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3"/>
    <w:bookmarkStart w:id="64"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64"/>
    <w:bookmarkStart w:id="65"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65"/>
    <w:bookmarkStart w:id="67"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66">
        <w:r>
          <w:rPr>
            <w:rStyle w:val="Hyperlink"/>
          </w:rPr>
          <w:t xml:space="preserve">https://doi.org/10.3384/cu.2000.1525.1790615</w:t>
        </w:r>
      </w:hyperlink>
    </w:p>
    <w:bookmarkEnd w:id="67"/>
    <w:bookmarkStart w:id="69"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68">
        <w:r>
          <w:rPr>
            <w:rStyle w:val="Hyperlink"/>
          </w:rPr>
          <w:t xml:space="preserve">https://doi.org/10.1177/1354066117725157</w:t>
        </w:r>
      </w:hyperlink>
    </w:p>
    <w:bookmarkEnd w:id="69"/>
    <w:bookmarkStart w:id="71"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70">
        <w:r>
          <w:rPr>
            <w:rStyle w:val="Hyperlink"/>
          </w:rPr>
          <w:t xml:space="preserve">https://doi.org/10.1016/0016-3287(90)90077-U</w:t>
        </w:r>
      </w:hyperlink>
    </w:p>
    <w:bookmarkEnd w:id="71"/>
    <w:bookmarkStart w:id="73" w:name="ref-inayatullah1998"/>
    <w:p>
      <w:pPr>
        <w:pStyle w:val="Bibliografi"/>
      </w:pPr>
      <w:r>
        <w:t xml:space="preserve">Inayatullah, S. (1998). Causal layered analysis: Poststructuralism as method.</w:t>
      </w:r>
      <w:r>
        <w:t xml:space="preserve"> </w:t>
      </w:r>
      <w:r>
        <w:rPr>
          <w:i/>
          <w:iCs/>
        </w:rPr>
        <w:t xml:space="preserve">Futures</w:t>
      </w:r>
      <w:r>
        <w:t xml:space="preserve">,</w:t>
      </w:r>
      <w:r>
        <w:t xml:space="preserve"> </w:t>
      </w:r>
      <w:r>
        <w:rPr>
          <w:i/>
          <w:iCs/>
        </w:rPr>
        <w:t xml:space="preserve">30</w:t>
      </w:r>
      <w:r>
        <w:t xml:space="preserve">(8), 815–829.</w:t>
      </w:r>
      <w:r>
        <w:t xml:space="preserve"> </w:t>
      </w:r>
      <w:hyperlink r:id="rId72">
        <w:r>
          <w:rPr>
            <w:rStyle w:val="Hyperlink"/>
          </w:rPr>
          <w:t xml:space="preserve">https://doi.org/10.1016/S0016-3287(98)00086-X</w:t>
        </w:r>
      </w:hyperlink>
    </w:p>
    <w:bookmarkEnd w:id="73"/>
    <w:bookmarkStart w:id="75"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74">
        <w:r>
          <w:rPr>
            <w:rStyle w:val="Hyperlink"/>
          </w:rPr>
          <w:t xml:space="preserve">https://doi.org/10.1016/j.geoforum.2013.01.005</w:t>
        </w:r>
      </w:hyperlink>
    </w:p>
    <w:bookmarkEnd w:id="75"/>
    <w:bookmarkStart w:id="77"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6">
        <w:r>
          <w:rPr>
            <w:rStyle w:val="Hyperlink"/>
          </w:rPr>
          <w:t xml:space="preserve">https://doi.org/10.1080/14693062.2021.1947177</w:t>
        </w:r>
      </w:hyperlink>
    </w:p>
    <w:bookmarkEnd w:id="77"/>
    <w:bookmarkStart w:id="78"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78"/>
    <w:bookmarkStart w:id="80"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79">
        <w:r>
          <w:rPr>
            <w:rStyle w:val="Hyperlink"/>
          </w:rPr>
          <w:t xml:space="preserve">https://doi.org/10.1080/01436597.2015.1045482</w:t>
        </w:r>
      </w:hyperlink>
    </w:p>
    <w:bookmarkEnd w:id="80"/>
    <w:bookmarkStart w:id="82"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81">
        <w:r>
          <w:rPr>
            <w:rStyle w:val="Hyperlink"/>
          </w:rPr>
          <w:t xml:space="preserve">https://doi.org/10.1016/j.gloenvcha.2022.102527</w:t>
        </w:r>
      </w:hyperlink>
    </w:p>
    <w:bookmarkEnd w:id="82"/>
    <w:bookmarkStart w:id="84"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3">
        <w:r>
          <w:rPr>
            <w:rStyle w:val="Hyperlink"/>
          </w:rPr>
          <w:t xml:space="preserve">https://doi.org/10.1080/24694452.2017.1406330</w:t>
        </w:r>
      </w:hyperlink>
    </w:p>
    <w:bookmarkEnd w:id="84"/>
    <w:bookmarkStart w:id="86" w:name="ref-petersen2015"/>
    <w:p>
      <w:pPr>
        <w:pStyle w:val="Bibliografi"/>
      </w:pPr>
      <w:r>
        <w:t xml:space="preserve">Petersen, C., Lioma, C., Simonsen, J. G., &amp; Larsen, B. (2015). Entropy and graph based modelling of document coherence using discourse entities: An application to IR.</w:t>
      </w:r>
      <w:r>
        <w:t xml:space="preserve"> </w:t>
      </w:r>
      <w:r>
        <w:rPr>
          <w:i/>
          <w:iCs/>
        </w:rPr>
        <w:t xml:space="preserve">Proceedings of the 2015 International Conference on the Theory of Information Retrieval</w:t>
      </w:r>
      <w:r>
        <w:t xml:space="preserve">, 191–200.</w:t>
      </w:r>
      <w:r>
        <w:t xml:space="preserve"> </w:t>
      </w:r>
      <w:hyperlink r:id="rId85">
        <w:r>
          <w:rPr>
            <w:rStyle w:val="Hyperlink"/>
          </w:rPr>
          <w:t xml:space="preserve">https://doi.org/10.1145/2808194.2809458</w:t>
        </w:r>
      </w:hyperlink>
    </w:p>
    <w:bookmarkEnd w:id="86"/>
    <w:bookmarkStart w:id="88"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7">
        <w:r>
          <w:rPr>
            <w:rStyle w:val="Hyperlink"/>
          </w:rPr>
          <w:t xml:space="preserve">https://doi.org/10.1111/j.1549-0831.2003.tb00133.x</w:t>
        </w:r>
      </w:hyperlink>
    </w:p>
    <w:bookmarkEnd w:id="88"/>
    <w:bookmarkStart w:id="90"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89">
        <w:r>
          <w:rPr>
            <w:rStyle w:val="Hyperlink"/>
          </w:rPr>
          <w:t xml:space="preserve">https://doi.org/10.18637/jss.v091.i02</w:t>
        </w:r>
      </w:hyperlink>
    </w:p>
    <w:bookmarkEnd w:id="90"/>
    <w:bookmarkStart w:id="9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91">
        <w:r>
          <w:rPr>
            <w:rStyle w:val="Hyperlink"/>
          </w:rPr>
          <w:t xml:space="preserve">https://doi.org/10.1016/j.oneear.2020.09.014</w:t>
        </w:r>
      </w:hyperlink>
    </w:p>
    <w:bookmarkEnd w:id="92"/>
    <w:bookmarkStart w:id="9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93">
        <w:r>
          <w:rPr>
            <w:rStyle w:val="Hyperlink"/>
          </w:rPr>
          <w:t xml:space="preserve">https://doi.org/10.1016/j.worlddev.2019.104683</w:t>
        </w:r>
      </w:hyperlink>
    </w:p>
    <w:bookmarkEnd w:id="94"/>
    <w:bookmarkStart w:id="9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95"/>
    <w:bookmarkEnd w:id="96"/>
    <w:bookmarkEnd w:id="97"/>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2025-05-09T11:19:07Z</dcterms:created>
  <dcterms:modified xsi:type="dcterms:W3CDTF">2025-05-09T11:19:07Z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references/apa.csl</vt:lpwstr>
  </property>
  <property fmtid="{D5CDD505-2E9C-101B-9397-08002B2CF9AE}" pid="10" name="date">
    <vt:lpwstr>2025-05-09</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