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2.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2025-05-27</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central mechanism for addressing climate injustice, with wealthy nations pledging hundreds of billions in support for vulnerable countries. This thesis examines whether adaptation planning enables climate justice or reproduces colonial relations through new vocabularies. Through computational analysis of 45 National Adaptation Plans (NAPs) submitted to the UNFCCC, I reveal troubling patterns of epistemological homogenization that contradict adaptation’s stated aims.</w:t>
      </w:r>
    </w:p>
    <w:p>
      <w:pPr>
        <w:pStyle w:val="Brdtekst"/>
      </w:pPr>
      <w:r>
        <w:t xml:space="preserve">Using structural topic modeling and a novel Dominance Index to measure discourse centralization, the analysis uncovers three key findings. First, despite facing radically different climate impacts, countries show remarkable convergence in how they conceptualize adaptation, with 32% of corpus-level discourse concentrated on financial mechanisms and institutional procedures. Second, this convergence is shaped more by regional institutional networks (explaining 20.1% of variance) than by actual climate vulnerabilities (explaining only 1.8%). Third, the patterns reflect the movement of consultants and frameworks that impose singular approaches across diverse contexts.</w:t>
      </w:r>
    </w:p>
    <w:p>
      <w:pPr>
        <w:pStyle w:val="Brdtekst"/>
      </w:pPr>
      <w:r>
        <w:t xml:space="preserve">Drawing on critical theory, particularly concepts of epistemicide and post-development, I argue that adaptation planning operates as an</w:t>
      </w:r>
      <w:r>
        <w:t xml:space="preserve"> </w:t>
      </w:r>
      <w:r>
        <w:t xml:space="preserve">“anti-politics machine”</w:t>
      </w:r>
      <w:r>
        <w:t xml:space="preserve"> </w:t>
      </w:r>
      <w:r>
        <w:t xml:space="preserve">that transforms questions of justice into technical problems. Rather than enabling diverse responses based on local knowledge, the adaptation regime eliminates alternative epistemologies while appearing to provide assistance. This represents what the title captures as a</w:t>
      </w:r>
      <w:r>
        <w:t xml:space="preserve"> </w:t>
      </w:r>
      <w:r>
        <w:t xml:space="preserve">“COP-out”</w:t>
      </w:r>
      <w:r>
        <w:t xml:space="preserve">—allowing Northern countries to avoid fundamental economic transformation while reshaping Southern societies through planning requirements.</w:t>
      </w:r>
    </w:p>
    <w:p>
      <w:pPr>
        <w:pStyle w:val="Brdtekst"/>
      </w:pPr>
      <w:r>
        <w:t xml:space="preserve">The findings suggest that genuine climate justice requires not reformed adaptation planning but recognition of the autonomous strategies communities have always used to navigate environmental change. Until adaptation enables rather than eliminates epistemological diversity, it will remain a mechanism for maintaining rather than transforming the relations that produce vulnerability.</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Bloktekst"/>
      </w:pPr>
      <w:r>
        <w:t xml:space="preserve">“Very good, Dedra. That is verbatim from the ISB mission statement… and wrong. Security is an illusion. You want security? Call the Navy. Launch a regiment of troopers. We are healthcare providers. We treat sickness. We identify symptoms. We locate germs whether they arise from within or have come from the outside. The longer we wait to identify a disorder, the harder it is to treat the disease.”</w:t>
      </w:r>
    </w:p>
    <w:p>
      <w:pPr>
        <w:pStyle w:val="Bloktekst"/>
      </w:pPr>
      <w:r>
        <w:t xml:space="preserve">—Major Partagaz,</w:t>
      </w:r>
      <w:r>
        <w:t xml:space="preserve"> </w:t>
      </w:r>
      <w:r>
        <w:rPr>
          <w:i/>
          <w:iCs/>
        </w:rPr>
        <w:t xml:space="preserve">Andor</w:t>
      </w:r>
    </w:p>
    <w:bookmarkStart w:id="22" w:name="Xab918a5470fa7a4b7363a4b560a103c3b82a9d0"/>
    <w:p>
      <w:pPr>
        <w:pStyle w:val="Overskrift2"/>
      </w:pPr>
      <w:r>
        <w:t xml:space="preserve">1.1 Competing Visions: From Security to Freedom</w:t>
      </w:r>
    </w:p>
    <w:p>
      <w:pPr>
        <w:pStyle w:val="FirstParagraph"/>
      </w:pPr>
      <w:r>
        <w:t xml:space="preserve">Major Partagaz’s chilling monologue to the Imperial Security Bureau captures a particular vision of governance that resonates far beyond the Star Wars universe. Society is a body that can fall ill. Experts are healthcare providers who diagnose symptoms and eliminate germs. Disorders must be identified and treated before they spread. This medical metaphor for social control—precise, technical, ostensibly neutral—finds its contemporary expression in the most unlikely of places: climate adaptation planning.</w:t>
      </w:r>
    </w:p>
    <w:p>
      <w:pPr>
        <w:pStyle w:val="Brdtekst"/>
      </w:pPr>
      <w:r>
        <w:t xml:space="preserve">Across the globe, climate adaptation has become a universal imperative, yet the stories that drive it are strikingly diverse. In corporate boardrooms, executives declare</w:t>
      </w:r>
      <w:r>
        <w:t xml:space="preserve"> </w:t>
      </w:r>
      <w:r>
        <w:t xml:space="preserve">“we need climate action to stay competitive in world markets.”</w:t>
      </w:r>
      <w:r>
        <w:t xml:space="preserve"> </w:t>
      </w:r>
      <w:r>
        <w:t xml:space="preserve">Conservation organizations insist</w:t>
      </w:r>
      <w:r>
        <w:t xml:space="preserve"> </w:t>
      </w:r>
      <w:r>
        <w:t xml:space="preserve">“we need climate action to save biodiversity.”</w:t>
      </w:r>
      <w:r>
        <w:t xml:space="preserve"> </w:t>
      </w:r>
      <w:r>
        <w:t xml:space="preserve">In rural communities, farmers simply state</w:t>
      </w:r>
      <w:r>
        <w:t xml:space="preserve"> </w:t>
      </w:r>
      <w:r>
        <w:t xml:space="preserve">“I need people to buy carbon credits so I can put food on the table.”</w:t>
      </w:r>
      <w:r>
        <w:t xml:space="preserve"> </w:t>
      </w:r>
      <w:r>
        <w:t xml:space="preserve">These narratives—economic, ecological, existential—seem to demand fundamentally different responses. A corporation’s competitiveness strategy should look nothing like a biodiversity protection plan, which in turn should differ from a smallholder’s survival strategy.</w:t>
      </w:r>
    </w:p>
    <w:p>
      <w:pPr>
        <w:pStyle w:val="Brdtekst"/>
      </w:pPr>
      <w:r>
        <w:t xml:space="preserve">Yet when we examine how climate adaptation actually unfolds through formal planning processes, a puzzling pattern emerges. Countries facing radically different climate futures—small island states confronting rising seas, landlocked nations battling desertification, mountain kingdoms losing glaciers—produce remarkably similar adaptation plans. Their National Adaptation Plans, submitted to the United Nations Framework Convention on Climate Change (UNFCCC), converge on the same topics: institutional arrangements, financial mechanisms, capacity building, monitoring frameworks. The diversity of climate impacts meets the homogeneity of climate responses.</w:t>
      </w:r>
    </w:p>
    <w:p>
      <w:pPr>
        <w:pStyle w:val="Brdtekst"/>
      </w:pPr>
      <w:r>
        <w:t xml:space="preserve">This convergence cannot be explained by shared environmental challenges, as the challenges themselves are profoundly different. Instead, the pattern points to something more systemic: the operation of what development anthropologists call the</w:t>
      </w:r>
      <w:r>
        <w:t xml:space="preserve"> </w:t>
      </w:r>
      <w:r>
        <w:t xml:space="preserve">“Aidland”</w:t>
      </w:r>
      <w:r>
        <w:t xml:space="preserve"> </w:t>
      </w:r>
      <w:r>
        <w:t xml:space="preserve">(Mosse, 2011)</w:t>
      </w:r>
      <w:r>
        <w:t xml:space="preserve">—a transnational space where consultants, frameworks, and expertise circulate, creating standardized approaches to diverse problems. The same consulting firms work across multiple countries. The same templates structure different plans. The same indicators measure disparate realities. Like a traveling circus, this apparatus moves from capital to capital, performing the same show regardless of local context.</w:t>
      </w:r>
    </w:p>
    <w:p>
      <w:pPr>
        <w:pStyle w:val="Brdtekst"/>
      </w:pPr>
      <w:r>
        <w:t xml:space="preserve">The consultant arrives in Dhaka or Dar es Salaam carrying frameworks developed in Washington or Geneva. They conduct stakeholder workshops, perform vulnerability assessments, and compile sector analyses. They translate complex local realities into standardized formats that international funders can recognize and process. Communities who have navigated environmental uncertainty for generations suddenly learn they lack</w:t>
      </w:r>
      <w:r>
        <w:t xml:space="preserve"> </w:t>
      </w:r>
      <w:r>
        <w:t xml:space="preserve">“adaptive capacity.”</w:t>
      </w:r>
      <w:r>
        <w:t xml:space="preserve"> </w:t>
      </w:r>
      <w:r>
        <w:t xml:space="preserve">Traditional practices that maintained resilience for centuries are rendered invisible, not through malice but through frameworks that simply cannot see them. The consultant’s toolkit—logical frameworks, results chains, theory of change diagrams—shapes not just how adaptation is planned but what adaptation can even mean.</w:t>
      </w:r>
    </w:p>
    <w:p>
      <w:pPr>
        <w:pStyle w:val="Brdtekst"/>
      </w:pPr>
      <w:r>
        <w:t xml:space="preserve">This brings us to a radically different vision, offered by another character from the same series:</w:t>
      </w:r>
    </w:p>
    <w:p>
      <w:pPr>
        <w:pStyle w:val="Bloktekst"/>
      </w:pPr>
      <w:r>
        <w:t xml:space="preserve">“Freedom is a pure idea. It occurs spontaneously and without instruction. Random acts of insurrection are occurring constantly throughout the galaxy. There are whole armies, battalions that have no idea that they’ve already enlisted in the cause.”</w:t>
      </w:r>
    </w:p>
    <w:p>
      <w:pPr>
        <w:pStyle w:val="Bloktekst"/>
      </w:pPr>
      <w:r>
        <w:t xml:space="preserve">—Nemik,</w:t>
      </w:r>
      <w:r>
        <w:t xml:space="preserve"> </w:t>
      </w:r>
      <w:r>
        <w:rPr>
          <w:i/>
          <w:iCs/>
        </w:rPr>
        <w:t xml:space="preserve">Andor</w:t>
      </w:r>
    </w:p>
    <w:p>
      <w:pPr>
        <w:pStyle w:val="FirstParagraph"/>
      </w:pPr>
      <w:r>
        <w:t xml:space="preserve">Nemik’s manifesto presents freedom not as something to be planned, managed, or delivered, but as an emergent property of human existence. It occurs</w:t>
      </w:r>
      <w:r>
        <w:t xml:space="preserve"> </w:t>
      </w:r>
      <w:r>
        <w:t xml:space="preserve">“spontaneously and without instruction”</w:t>
      </w:r>
      <w:r>
        <w:t xml:space="preserve">—outside the frameworks, beneath the radar, beyond the plans. This vision suggests that adaptation too might emerge not from technical assessments and institutional arrangements but from communities exercising their autonomy, drawing on their own knowledge, creating their own futures.</w:t>
      </w:r>
    </w:p>
    <w:p>
      <w:pPr>
        <w:pStyle w:val="Brdtekst"/>
      </w:pPr>
      <w:r>
        <w:t xml:space="preserve">The tension between these visions—Partagaz’s technocratic control and Nemik’s spontaneous freedom—defines the contemporary climate adaptation regime. On one side, an apparatus that diagnoses vulnerability, prescribes interventions, and monitors compliance. On the other, the persistent reality of human communities who have always adapted to environmental change through their own knowledge systems, social arrangements, and creative responses. The question is not which vision is correct, but which is winning. When adaptation becomes legible to international institutions, what happens to the forms of adaptation that flourish outside their frameworks?</w:t>
      </w:r>
    </w:p>
    <w:bookmarkEnd w:id="22"/>
    <w:bookmarkStart w:id="23" w:name="Xb5226a090bbae3038083f2239d9b6ae92ea54ba"/>
    <w:p>
      <w:pPr>
        <w:pStyle w:val="Overskrift2"/>
      </w:pPr>
      <w:r>
        <w:t xml:space="preserve">1.2 The New Underdevelopment: Vulnerability as Justification</w:t>
      </w:r>
    </w:p>
    <w:p>
      <w:pPr>
        <w:pStyle w:val="FirstParagraph"/>
      </w:pPr>
      <w:r>
        <w:t xml:space="preserve">To understand how climate adaptation operates today, we must recognize its lineage. In the twentieth century, the concept of</w:t>
      </w:r>
      <w:r>
        <w:t xml:space="preserve"> </w:t>
      </w:r>
      <w:r>
        <w:t xml:space="preserve">“underdevelopment”</w:t>
      </w:r>
      <w:r>
        <w:t xml:space="preserve"> </w:t>
      </w:r>
      <w:r>
        <w:t xml:space="preserve">transformed global relations. Suddenly, diverse societies pursuing different ways of life were repositioned on a single scale from</w:t>
      </w:r>
      <w:r>
        <w:t xml:space="preserve"> </w:t>
      </w:r>
      <w:r>
        <w:t xml:space="preserve">“backward”</w:t>
      </w:r>
      <w:r>
        <w:t xml:space="preserve"> </w:t>
      </w:r>
      <w:r>
        <w:t xml:space="preserve">to</w:t>
      </w:r>
      <w:r>
        <w:t xml:space="preserve"> </w:t>
      </w:r>
      <w:r>
        <w:t xml:space="preserve">“advanced.”</w:t>
      </w:r>
      <w:r>
        <w:t xml:space="preserve"> </w:t>
      </w:r>
      <w:r>
        <w:t xml:space="preserve">This was not a neutral description but an active construction that justified intervention. If a society was underdeveloped, it required development. If it lacked capacity, it needed technical assistance. If it was traditional, it must be modernized. The development apparatus that emerged—with its experts, frameworks, and flows of capital—promised to deliver progress while often delivering dependency.</w:t>
      </w:r>
    </w:p>
    <w:p>
      <w:pPr>
        <w:pStyle w:val="Brdtekst"/>
      </w:pPr>
      <w:r>
        <w:t xml:space="preserve">Today,</w:t>
      </w:r>
      <w:r>
        <w:t xml:space="preserve"> </w:t>
      </w:r>
      <w:r>
        <w:t xml:space="preserve">“vulnerability”</w:t>
      </w:r>
      <w:r>
        <w:t xml:space="preserve"> </w:t>
      </w:r>
      <w:r>
        <w:t xml:space="preserve">plays a remarkably similar role. Where once countries were diagnosed as underdeveloped, they are now assessed as vulnerable. Where development economists calculated GDP gaps, climate scientists now model exposure to extreme events. Where structural adjustment programs promised to fix economic deficiencies, adaptation projects now promise to address climatic ones. The vocabulary has changed, but the underlying structure persists: Southern deficiency requires Northern expertise.</w:t>
      </w:r>
    </w:p>
    <w:p>
      <w:pPr>
        <w:pStyle w:val="Brdtekst"/>
      </w:pPr>
      <w:r>
        <w:t xml:space="preserve">The financial promises that accompany this new framing are substantial. At Copenhagen in 2009, developed countries pledged $100 billion annually in climate finance by 2020—a figure that captured headlines and hope in equal measure. By COP29 in Baku in 2024, this had grown to a promise of $300 billion annually by 2035. These sums suggest serious commitment to climate justice, a recognition that those least responsible for climate change should not bear its costs alone. Yet examining how this finance flows reveals troubling patterns.</w:t>
      </w:r>
    </w:p>
    <w:p>
      <w:pPr>
        <w:pStyle w:val="Brdtekst"/>
      </w:pPr>
      <w:r>
        <w:t xml:space="preserve">The primary vehicle for adaptation planning under the UNFCCC is the National Adaptation Plan (NAP). These documents, now submitted by 45 countries, are meant to identify climate vulnerabilities and outline systematic responses. They serve as both planning tools and funding proposals, demonstrating need while showcasing capacity to manage resources. In practice, NAPs have become the new national development plans—comprehensive documents that must speak to multiple audiences, satisfy diverse requirements, and transform messy realities into neat project packages.</w:t>
      </w:r>
    </w:p>
    <w:p>
      <w:pPr>
        <w:pStyle w:val="Brdtekst"/>
      </w:pPr>
      <w:r>
        <w:t xml:space="preserve">The parallel goes deeper than format. Just as development planning transformed political questions about global inequality into technical problems of resource allocation, adaptation planning transforms questions about climate justice into matters of project management. Why are coastal communities vulnerable to storm surges? A political analysis might point to histories of displacement that pushed populations to marginal lands, industrial development that destroyed protective mangroves, or global economic systems that concentrate risk among the poor. But within the technical framework of adaptation planning, vulnerability appears as insufficient seawalls, inadequate early warning systems, or lacking evacuation plans. The prescription follows from the diagnosis: build barriers, install sirens, conduct drills.</w:t>
      </w:r>
    </w:p>
    <w:p>
      <w:pPr>
        <w:pStyle w:val="Brdtekst"/>
      </w:pPr>
      <w:r>
        <w:t xml:space="preserve">This technical framing creates a profound paradox at the heart of climate adaptation. We face heterogeneous impacts: sea-level rise threatens to submerge entire nations while droughts desiccate others; hurricanes intensify in some regions while floods increase in others; glacial melt transforms mountain economies while coral bleaching devastates reef-dependent communities. These diverse impacts, one might expect, would generate diverse responses reflecting different contexts, priorities, and possibilities. Instead, we see homogeneous planning—the same institutional frameworks, financial mechanisms, and technical approaches appearing across radically different contexts.</w:t>
      </w:r>
    </w:p>
    <w:p>
      <w:pPr>
        <w:pStyle w:val="Brdtekst"/>
      </w:pPr>
      <w:r>
        <w:t xml:space="preserve">The homogenization occurs not by accident but by design. To access climate finance, countries must make themselves legible to funding institutions. This requires adopting standardized frameworks, using recognized methodologies, and producing expected outputs. A vulnerability assessment must follow established protocols. A project proposal must fit logical frameworks. Success must be measurable through predetermined indicators. Countries learn to see themselves through these tools, to articulate their needs in these languages, to plan their futures within these constraints.</w:t>
      </w:r>
    </w:p>
    <w:p>
      <w:pPr>
        <w:pStyle w:val="Brdtekst"/>
      </w:pPr>
      <w:r>
        <w:t xml:space="preserve">This represents what the title of this thesis captures in its double meaning: a COP-out. In one sense, it refers literally to an outcome of the Conference of Parties—the institutional response to demands for climate justice through adaptation finance. But in the colloquial sense, it represents an evasion of responsibility. While Southern countries reshape their societies through adaptation planning, Northern countries continue the emissions that drive climate change. While consultants design resilience projects in vulnerable communities, the systems producing vulnerability continue unabated. While adaptation finance flows (slowly and conditionally), the fossil fuel economy expands.</w:t>
      </w:r>
    </w:p>
    <w:p>
      <w:pPr>
        <w:pStyle w:val="Brdtekst"/>
      </w:pPr>
      <w:r>
        <w:t xml:space="preserve">The genius of the adaptation regime is that it transforms moral and political questions into technical and financial ones. Rather than reparations for historical emissions, we have voluntary climate finance. Rather than binding commitments to rapid decarbonization, we have nationally determined contributions. Rather than addressing the structural drivers of vulnerability, we have project-based interventions. The result is a system that appears to address climate injustice while carefully avoiding anything that might require fundamental change in the global order.</w:t>
      </w:r>
    </w:p>
    <w:p>
      <w:pPr>
        <w:pStyle w:val="Brdtekst"/>
      </w:pPr>
      <w:r>
        <w:t xml:space="preserve">What disappears in this transformation is precisely what Nemik’s vision of freedom suggests: the possibility that communities might adapt through their own knowledge, institutions, and aspirations rather than through externally designed projects. When adaptation is reduced to what can be planned, funded, and measured by international institutions, other forms of adaptation—those emerging spontaneously from human creativity and collective action—become invisible. This is not a failure of planning but its success: the rendering of diverse human responses to environmental change into standardized technical interventions that reinforce rather than challenge existing power relations.</w:t>
      </w:r>
    </w:p>
    <w:bookmarkEnd w:id="23"/>
    <w:bookmarkStart w:id="24" w:name="X56813ac51b610e0d33b0f68382e9163c18690e2"/>
    <w:p>
      <w:pPr>
        <w:pStyle w:val="Overskrift2"/>
      </w:pPr>
      <w:r>
        <w:t xml:space="preserve">1.3 Uncovering the Machinery: Questions, Methods, and Map</w:t>
      </w:r>
    </w:p>
    <w:p>
      <w:pPr>
        <w:pStyle w:val="FirstParagraph"/>
      </w:pPr>
      <w:r>
        <w:t xml:space="preserve">This thesis investigates the machinery of climate adaptation planning by examining what happens when 45 countries submit their National Adaptation Plans to the UNFCCC. These documents, running to thousands of pages collectively, represent the official articulation of how nations understand climate vulnerability and plan to respond. They are windows into possible futures—but whose futures, imagined how, and with what consequences?</w:t>
      </w:r>
    </w:p>
    <w:p>
      <w:pPr>
        <w:pStyle w:val="Brdtekst"/>
      </w:pPr>
      <w:r>
        <w:t xml:space="preserve">To understand what these documents reveal, I pose three research questions that probe different dimensions of the adaptation regime:</w:t>
      </w:r>
    </w:p>
    <w:p>
      <w:pPr>
        <w:pStyle w:val="Brdtekst"/>
      </w:pPr>
      <w:r>
        <w:rPr>
          <w:b/>
          <w:bCs/>
        </w:rPr>
        <w:t xml:space="preserve">First, how does climate adaptation planning conceptualize justice, and what possibilities does this enable or foreclose?</w:t>
      </w:r>
      <w:r>
        <w:t xml:space="preserve"> </w:t>
      </w:r>
      <w:r>
        <w:t xml:space="preserve">This question examines the implicit theories of justice embedded in adaptation discourse. When vulnerability is framed primarily as a technical deficiency requiring external expertise, what happens to questions of historical responsibility, reparations, or structural transformation? When justice is operationalized as resource transfer through project mechanisms, what forms of justice become unspeakable?</w:t>
      </w:r>
    </w:p>
    <w:p>
      <w:pPr>
        <w:pStyle w:val="Brdtekst"/>
      </w:pPr>
      <w:r>
        <w:rPr>
          <w:b/>
          <w:bCs/>
        </w:rPr>
        <w:t xml:space="preserve">Second, through what mechanisms and whose knowledge do adaptation interventions become legitimate and necessary?</w:t>
      </w:r>
      <w:r>
        <w:t xml:space="preserve"> </w:t>
      </w:r>
      <w:r>
        <w:t xml:space="preserve">This question investigates the knowledge politics of adaptation. How do certain ways of understanding vulnerability achieve dominance while others are marginalized? What role do consultants, frameworks, and institutional requirements play in shaping what counts as legitimate adaptation? When communities have adapted to environmental variability for generations, why do they suddenly need external experts to teach them adaptation?</w:t>
      </w:r>
    </w:p>
    <w:p>
      <w:pPr>
        <w:pStyle w:val="Brdtekst"/>
      </w:pPr>
      <w:r>
        <w:rPr>
          <w:b/>
          <w:bCs/>
        </w:rPr>
        <w:t xml:space="preserve">Third, does the current adaptation regime advance climate justice or reproduce colonial relations under new vocabularies?</w:t>
      </w:r>
      <w:r>
        <w:t xml:space="preserve"> </w:t>
      </w:r>
      <w:r>
        <w:t xml:space="preserve">This question directly confronts the claimed purpose of adaptation finance. If adaptation planning operates like Partagaz’s ISB—diagnosing disorders and prescribing treatments based on external expertise—does it enable Southern autonomy or deepen Northern control? When the same consultants apply the same frameworks across different contexts, are they supporting diverse adaptations or imposing singular visions?</w:t>
      </w:r>
    </w:p>
    <w:p>
      <w:pPr>
        <w:pStyle w:val="Brdtekst"/>
      </w:pPr>
      <w:r>
        <w:t xml:space="preserve">To answer these questions, I employ a novel approach that makes visible patterns typically hidden in the sheer volume of policy documents. Using computational text analysis, specifically structural topic modeling, I identify the thematic patterns that structure adaptation discourse across all NAPs. This method reveals not just what individual countries say but how the collective discourse converges or diverges. The key innovation is the Dominance Index, a measure of discourse centralization that quantifies the degree to which adaptation planning concentrates on a narrow set of themes versus embracing diverse approaches.</w:t>
      </w:r>
    </w:p>
    <w:p>
      <w:pPr>
        <w:pStyle w:val="Brdtekst"/>
      </w:pPr>
      <w:r>
        <w:t xml:space="preserve">When discourse is highly centralized—when most countries emphasize the same topics despite facing different challenges—it suggests the successful operation of homogenizing forces. When discourse is decentralized—when countries pursue different thematic emphases—it indicates space for diverse approaches. By measuring centralization across different groupings (by income level, region, and geography), we can identify what factors shape adaptation discourse. Does shared vulnerability to sea-level rise create common discourse among small island states? Or do regional institutional networks have more influence than physical geography in shaping how adaptation is conceived?</w:t>
      </w:r>
    </w:p>
    <w:p>
      <w:pPr>
        <w:pStyle w:val="Brdtekst"/>
      </w:pPr>
      <w:r>
        <w:t xml:space="preserve">This approach bridges critical theory and empirical analysis. It takes seriously the post-development critique that Northern frameworks eliminate Southern knowledge systems—what Boaventura de Sousa Santos calls</w:t>
      </w:r>
      <w:r>
        <w:t xml:space="preserve"> </w:t>
      </w:r>
      <w:r>
        <w:t xml:space="preserve">“epistemicide”</w:t>
      </w:r>
      <w:r>
        <w:t xml:space="preserve"> </w:t>
      </w:r>
      <w:r>
        <w:t xml:space="preserve">(Santos, 2016)</w:t>
      </w:r>
      <w:r>
        <w:t xml:space="preserve">. But rather than simply asserting this occurs, the analysis demonstrates it quantitatively, showing how adaptation discourse converges on particular framings while excluding others. The patterns revealed are not merely academic findings but windows into how power operates through seemingly neutral technical processes.</w:t>
      </w:r>
    </w:p>
    <w:p>
      <w:pPr>
        <w:pStyle w:val="Brdtekst"/>
      </w:pPr>
      <w:r>
        <w:t xml:space="preserve">The theoretical contribution is to empirically validate critical perspectives on climate governance that have been developed through ethnographic and philosophical work. When Arturo Escobar argues that development discourse forecloses alternative futures</w:t>
      </w:r>
      <w:r>
        <w:t xml:space="preserve"> </w:t>
      </w:r>
      <w:r>
        <w:t xml:space="preserve">(Escobar, 1995)</w:t>
      </w:r>
      <w:r>
        <w:t xml:space="preserve">, the convergence patterns in NAPs provide systematic evidence. When James Ferguson describes development as an</w:t>
      </w:r>
      <w:r>
        <w:t xml:space="preserve"> </w:t>
      </w:r>
      <w:r>
        <w:t xml:space="preserve">“anti-politics machine”</w:t>
      </w:r>
      <w:r>
        <w:t xml:space="preserve"> </w:t>
      </w:r>
      <w:r>
        <w:t xml:space="preserve">that transforms political questions into technical ones</w:t>
      </w:r>
      <w:r>
        <w:t xml:space="preserve"> </w:t>
      </w:r>
      <w:r>
        <w:t xml:space="preserve">(Ferguson, 1994)</w:t>
      </w:r>
      <w:r>
        <w:t xml:space="preserve">, the dominance of procedural and financial topics in adaptation plans offers confirmation. The analysis shows these are not isolated cases but systematic patterns operating across the entire adaptation regime.</w:t>
      </w:r>
    </w:p>
    <w:p>
      <w:pPr>
        <w:pStyle w:val="Brdtekst"/>
      </w:pPr>
      <w:r>
        <w:t xml:space="preserve">The methodological contribution is developing tools that can reveal the operation of power in large-scale governance processes. The Dominance Index makes abstract concepts like</w:t>
      </w:r>
      <w:r>
        <w:t xml:space="preserve"> </w:t>
      </w:r>
      <w:r>
        <w:t xml:space="preserve">“epistemicide”</w:t>
      </w:r>
      <w:r>
        <w:t xml:space="preserve"> </w:t>
      </w:r>
      <w:r>
        <w:t xml:space="preserve">empirically tractable. It shows not just that knowledge systems are marginalized but how this marginalization operates through the mundane processes of planning and documentation. This matters because what cannot be measured often cannot be contested. By making patterns of domination visible, we create possibilities for resistance.</w:t>
      </w:r>
    </w:p>
    <w:p>
      <w:pPr>
        <w:pStyle w:val="Brdtekst"/>
      </w:pPr>
      <w:r>
        <w:t xml:space="preserve">The political implications are perhaps most significant. If adaptation planning operates as epistemicide—systematically eliminating alternative ways of knowing and responding to environmental change—then current approaches are not merely inadequate but actively harmful. They eliminate the knowledge systems and social arrangements that enable genuine resilience while imposing frameworks that create new dependencies. Understanding these dynamics is essential for those seeking to support communities facing climate impacts without reproducing colonial relations.</w:t>
      </w:r>
    </w:p>
    <w:p>
      <w:pPr>
        <w:pStyle w:val="Brdtekst"/>
      </w:pPr>
      <w:r>
        <w:t xml:space="preserve">This thesis unfolds in three parts that build from context through method to critique. Part I situates climate adaptation within the broader landscape of climate governance and development theory. Chapter 2 traces how adaptation emerged as a distinct pillar of the UNFCCC, examining the institutional arrangements, financial mechanisms, and power dynamics that shape contemporary adaptation governance. Chapter 3 reviews two competing perspectives on adaptation: the</w:t>
      </w:r>
      <w:r>
        <w:t xml:space="preserve"> </w:t>
      </w:r>
      <w:r>
        <w:t xml:space="preserve">“adaptation nexus”</w:t>
      </w:r>
      <w:r>
        <w:t xml:space="preserve"> </w:t>
      </w:r>
      <w:r>
        <w:t xml:space="preserve">approach that seeks technical solutions within existing systems, and the</w:t>
      </w:r>
      <w:r>
        <w:t xml:space="preserve"> </w:t>
      </w:r>
      <w:r>
        <w:t xml:space="preserve">“adaptation regime”</w:t>
      </w:r>
      <w:r>
        <w:t xml:space="preserve"> </w:t>
      </w:r>
      <w:r>
        <w:t xml:space="preserve">critique that sees adaptation as extending colonial relations through new vocabularies.</w:t>
      </w:r>
    </w:p>
    <w:p>
      <w:pPr>
        <w:pStyle w:val="Brdtekst"/>
      </w:pPr>
      <w:r>
        <w:t xml:space="preserve">Part II develops the theoretical and methodological framework for analyzing adaptation discourse. Chapter 4 presents the theoretical foundations, drawing on work about epistemologies of the South, critical futures studies, and discourse analysis to understand how adaptation planning might reflect either epistemological diversity or monoculture. Chapter 5 details the methodology, explaining how structural topic modeling and the Dominance Index can reveal patterns of convergence and divergence in adaptation discourse.</w:t>
      </w:r>
    </w:p>
    <w:p>
      <w:pPr>
        <w:pStyle w:val="Brdtekst"/>
      </w:pPr>
      <w:r>
        <w:t xml:space="preserve">Part III presents and interprets the empirical findings. Chapter 6 reports the results of analyzing 45 NAPs, showing high discourse centralization overall but important variations across income levels, regions, and geographic categories. Chapter 7 discusses these findings through the lens of critical theory, arguing that adaptation operates as contemporary epistemicide that forecloses alternative futures while maintaining colonial relations. The conclusion returns to the fundamental question of climate justice, arguing that genuine transformation requires not better planning but recognition of the multiple worlds that exist beyond adaptation frameworks.</w:t>
      </w:r>
    </w:p>
    <w:p>
      <w:pPr>
        <w:pStyle w:val="Brdtekst"/>
      </w:pPr>
      <w:r>
        <w:t xml:space="preserve">Throughout this journey, the tension between Partagaz and Nemik remains central. Can freedom occur spontaneously within climate governance, or does the machinery of adaptation planning successfully diagnose and eliminate alternatives before they can flourish? The evidence suggests that current approaches serve Partagaz’s vision all too well—identifying</w:t>
      </w:r>
      <w:r>
        <w:t xml:space="preserve"> </w:t>
      </w:r>
      <w:r>
        <w:t xml:space="preserve">“disorders”</w:t>
      </w:r>
      <w:r>
        <w:t xml:space="preserve"> </w:t>
      </w:r>
      <w:r>
        <w:t xml:space="preserve">in Southern societies and prescribing</w:t>
      </w:r>
      <w:r>
        <w:t xml:space="preserve"> </w:t>
      </w:r>
      <w:r>
        <w:t xml:space="preserve">“treatments”</w:t>
      </w:r>
      <w:r>
        <w:t xml:space="preserve"> </w:t>
      </w:r>
      <w:r>
        <w:t xml:space="preserve">that often worsen the underlying condition. Yet Nemik’s insight remains: freedom persists, emerging in the spaces that planning cannot reach, in the practices it cannot see, in the futures it cannot imagine. The question is whether these spaces of freedom can survive and expand, or whether the apparatus of adaptation will continue its work of rendering the world legible to power while eliminating the alternatives that might enable genuine transformation.</w:t>
      </w:r>
    </w:p>
    <w:p>
      <w:pPr>
        <w:pStyle w:val="Brdtekst"/>
      </w:pPr>
      <w:r>
        <w:t xml:space="preserve">This thesis is ultimately about that struggle—between homogenization and diversity, between control and autonomy, between the futures that planning enables and those it forecloses. By making visible how adaptation discourse operates, we take a first step toward imagining how it might operate otherwise. If the current regime represents a COP-out that allows the North to avoid fundamental change while reshaping the South, then understanding its machinery is essential for those seeking genuine climate justice. The task is not to perfect the machinery but to recognize, as Nemik suggests, that real transformation may emerge not from our plans but from the freedom that persists despite them.</w:t>
      </w:r>
    </w:p>
    <w:bookmarkEnd w:id="24"/>
    <w:bookmarkEnd w:id="25"/>
    <w:bookmarkStart w:id="30"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w:t>
      </w:r>
      <w:r>
        <w:rPr>
          <w:b/>
          <w:bCs/>
        </w:rPr>
        <w:t xml:space="preserve">persson2014?</w:t>
      </w:r>
      <w:r>
        <w:t xml:space="preserve">)</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(Stern et al., 2022;</w:t>
      </w:r>
      <w:r>
        <w:t xml:space="preserve"> </w:t>
      </w:r>
      <w:r>
        <w:rPr>
          <w:b/>
          <w:bCs/>
        </w:rPr>
        <w:t xml:space="preserve">cpi2023?</w:t>
      </w:r>
      <w:r>
        <w:t xml:space="preserve">)</w:t>
      </w:r>
      <w:r>
        <w:t xml:space="preserve">. These financial frameworks involve complex interactions between public and private financing models, multilateral development banks, bilateral donor frameworks, national governance structures, and non-state actors.</w:t>
      </w:r>
    </w:p>
    <w:bookmarkStart w:id="26"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w:t>
      </w:r>
      <w:r>
        <w:rPr>
          <w:b/>
          <w:bCs/>
        </w:rPr>
        <w:t xml:space="preserve">dunlap2018?</w:t>
      </w:r>
      <w:r>
        <w:t xml:space="preserve">)</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6"/>
    <w:bookmarkStart w:id="27"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w:t>
      </w:r>
      <w:r>
        <w:rPr>
          <w:b/>
          <w:bCs/>
        </w:rPr>
        <w:t xml:space="preserve">persson2014?</w:t>
      </w:r>
      <w:r>
        <w:t xml:space="preserve">)</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w:t>
      </w:r>
      <w:r>
        <w:rPr>
          <w:b/>
          <w:bCs/>
        </w:rPr>
        <w:t xml:space="preserve">persson2014?</w:t>
      </w:r>
      <w:r>
        <w:t xml:space="preserve">)</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persson2014?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7"/>
    <w:bookmarkStart w:id="28"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8"/>
    <w:bookmarkStart w:id="29"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9"/>
    <w:bookmarkEnd w:id="30"/>
    <w:bookmarkStart w:id="33"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w:t>
      </w:r>
      <w:r>
        <w:rPr>
          <w:b/>
          <w:bCs/>
        </w:rPr>
        <w:t xml:space="preserve">paprocki2018?</w:t>
      </w:r>
      <w:r>
        <w:t xml:space="preserve">)</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1"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(Freire, 1970;</w:t>
      </w:r>
      <w:r>
        <w:t xml:space="preserve"> </w:t>
      </w:r>
      <w:r>
        <w:rPr>
          <w:b/>
          <w:bCs/>
        </w:rPr>
        <w:t xml:space="preserve">chambers1994?</w:t>
      </w:r>
      <w:r>
        <w:t xml:space="preserve">)</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w:t>
      </w:r>
      <w:r>
        <w:rPr>
          <w:b/>
          <w:bCs/>
        </w:rPr>
        <w:t xml:space="preserve">chambers1994?</w:t>
      </w:r>
      <w:r>
        <w:t xml:space="preserve">)</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w:t>
      </w:r>
      <w:r>
        <w:rPr>
          <w:b/>
          <w:bCs/>
        </w:rPr>
        <w:t xml:space="preserve">chambers1994?</w:t>
      </w:r>
      <w:r>
        <w:t xml:space="preserve">)</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w:t>
      </w:r>
      <w:r>
        <w:rPr>
          <w:b/>
          <w:bCs/>
        </w:rPr>
        <w:t xml:space="preserve">ribot2003?</w:t>
      </w:r>
      <w:r>
        <w:t xml:space="preserve">)</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w:t>
      </w:r>
      <w:r>
        <w:rPr>
          <w:b/>
          <w:bCs/>
        </w:rPr>
        <w:t xml:space="preserve">ribot2003?</w:t>
      </w:r>
      <w:r>
        <w:t xml:space="preserve">)</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w:t>
      </w:r>
      <w:r>
        <w:rPr>
          <w:b/>
          <w:bCs/>
        </w:rPr>
        <w:t xml:space="preserve">almenar2021?</w:t>
      </w:r>
      <w:r>
        <w:t xml:space="preserve">)</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1"/>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1"/>
        </w:numPr>
      </w:pPr>
      <w:r>
        <w:t xml:space="preserve">Food security through production of fruit</w:t>
      </w:r>
    </w:p>
    <w:p>
      <w:pPr>
        <w:pStyle w:val="Compact"/>
        <w:numPr>
          <w:ilvl w:val="0"/>
          <w:numId w:val="1001"/>
        </w:numPr>
      </w:pPr>
      <w:r>
        <w:t xml:space="preserve">Gender equality by giving the responsibility for managing the trees to women</w:t>
      </w:r>
    </w:p>
    <w:p>
      <w:pPr>
        <w:pStyle w:val="Compact"/>
        <w:numPr>
          <w:ilvl w:val="0"/>
          <w:numId w:val="1001"/>
        </w:numPr>
      </w:pPr>
      <w:r>
        <w:t xml:space="preserve">Environmental security by providing shade with leaves and reduce soil erosion with roots</w:t>
      </w:r>
      <w:r>
        <w:t xml:space="preserve"> </w:t>
      </w:r>
      <w:r>
        <w:t xml:space="preserve">(</w:t>
      </w:r>
      <w:r>
        <w:rPr>
          <w:b/>
          <w:bCs/>
        </w:rPr>
        <w:t xml:space="preserve">almenar2021?</w:t>
      </w:r>
      <w:r>
        <w:t xml:space="preserve">)</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w:t>
      </w:r>
      <w:r>
        <w:rPr>
          <w:b/>
          <w:bCs/>
        </w:rPr>
        <w:t xml:space="preserve">paprocki2018?</w:t>
      </w:r>
      <w:r>
        <w:t xml:space="preserve">)</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w:t>
      </w:r>
      <w:r>
        <w:rPr>
          <w:b/>
          <w:bCs/>
        </w:rPr>
        <w:t xml:space="preserve">paprocki2018?</w:t>
      </w:r>
      <w:r>
        <w:t xml:space="preserve">)</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w:t>
      </w:r>
      <w:r>
        <w:rPr>
          <w:b/>
          <w:bCs/>
        </w:rPr>
        <w:t xml:space="preserve">paprocki2018?</w:t>
      </w:r>
      <w:r>
        <w:t xml:space="preserve">)</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w:t>
      </w:r>
      <w:r>
        <w:rPr>
          <w:b/>
          <w:bCs/>
        </w:rPr>
        <w:t xml:space="preserve">paprocki2018?</w:t>
      </w:r>
      <w:r>
        <w:t xml:space="preserve">)</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2"/>
    <w:bookmarkEnd w:id="33"/>
    <w:bookmarkStart w:id="37"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planning represents a critical domain where questions of knowledge, power, and possibility intersect. As societies worldwide develop responses to climate change, they necessarily engage with fundamental questions: What counts as valid knowledge about climate vulnerability? Who has the authority to define appropriate responses? Which futures are considered possible or desirable? This chapter develops a theoretical framework for understanding how adaptation discourse might reflect either epistemological diversity—drawing on multiple knowledge systems and worldviews—or epistemological monoculture—converging around singular ways of knowing and responding.</w:t>
      </w:r>
    </w:p>
    <w:p>
      <w:pPr>
        <w:pStyle w:val="Brdtekst"/>
      </w:pPr>
      <w:r>
        <w:t xml:space="preserve">The framework brings together three interconnected bodies of theory that illuminate different dimensions of this question. First, Boaventura de Sousa Santos’s work on</w:t>
      </w:r>
      <w:r>
        <w:t xml:space="preserve"> </w:t>
      </w:r>
      <w:r>
        <w:t xml:space="preserve">“Epistemologies of the South”</w:t>
      </w:r>
      <w:r>
        <w:t xml:space="preserve"> </w:t>
      </w:r>
      <w:r>
        <w:t xml:space="preserve">provides tools for understanding how certain knowledge systems achieve dominance while others are systematically marginalized or rendered non-existent. This perspective reveals adaptation planning as a potential site of epistemicide—where alternative ways of knowing climate, vulnerability, and response are eliminated through frameworks that cannot recognize them as knowledge.</w:t>
      </w:r>
    </w:p>
    <w:p>
      <w:pPr>
        <w:pStyle w:val="Brdtekst"/>
      </w:pPr>
      <w:r>
        <w:t xml:space="preserve">Second, critical futures studies offers insights into how planning processes shape which futures can be imagined and pursued. The work of scholars like Sohail Inayatullah and Tony Fry shows how anticipatory governance doesn’t simply respond to projected futures but actively constructs them, often eliminating alternative possibilities through the very tools meant to enhance future-thinking. This temporal dimension is crucial for understanding adaptation as not just technical planning but as future-making that may enable certain worlds while foreclosing others.</w:t>
      </w:r>
    </w:p>
    <w:p>
      <w:pPr>
        <w:pStyle w:val="Brdtekst"/>
      </w:pPr>
      <w:r>
        <w:t xml:space="preserve">Third, the concept of discourse centralization provides a theoretical bridge between these critical perspectives and empirical analysis. By theorizing how patterns of convergence or divergence in discourse might indicate underlying epistemological dynamics, this framework offers a way to make visible processes that typically remain hidden—the systematic operation of power through seemingly neutral technical processes.</w:t>
      </w:r>
    </w:p>
    <w:p>
      <w:pPr>
        <w:pStyle w:val="Brdtekst"/>
      </w:pPr>
      <w:r>
        <w:t xml:space="preserve">Together, these theoretical lenses reveal adaptation planning as more than responses to environmental change. They illuminate it as a domain where colonial relations may extend into new dimensions, where the possibility of alternative futures is at stake, and where the gap between pluriversal possibilities and singular frameworks becomes consequential. The following sections develop each theoretical component, building toward an integrated framework for analyzing how adaptation discourse reflects deeper struggles over knowledge, time, and possibility.</w:t>
      </w:r>
    </w:p>
    <w:bookmarkStart w:id="34"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mechanisms through which epistemicide operates extend far beyond direct suppression. Santos identifies five monocultures that structure modern thinking and systematically produce non-existence</w:t>
      </w:r>
      <w:r>
        <w:t xml:space="preserve"> </w:t>
      </w:r>
      <w:r>
        <w:t xml:space="preserve">(Santos, 2016)</w:t>
      </w:r>
      <w:r>
        <w:t xml:space="preserve">. The monoculture of knowledge establishes scientific knowledge as the sole criterion of truth, rendering other forms of knowing as ignorance or folklore. The monoculture of linear time positions certain societies as</w:t>
      </w:r>
      <w:r>
        <w:t xml:space="preserve"> </w:t>
      </w:r>
      <w:r>
        <w:t xml:space="preserve">“advanced”</w:t>
      </w:r>
      <w:r>
        <w:t xml:space="preserve"> </w:t>
      </w:r>
      <w:r>
        <w:t xml:space="preserve">and others as</w:t>
      </w:r>
      <w:r>
        <w:t xml:space="preserve"> </w:t>
      </w:r>
      <w:r>
        <w:t xml:space="preserve">“backward,”</w:t>
      </w:r>
      <w:r>
        <w:t xml:space="preserve"> </w:t>
      </w:r>
      <w:r>
        <w:t xml:space="preserve">creating a temporal hierarchy that justifies intervention. The monoculture of social classification naturalizes hierarchies based on race, gender, and class. The monoculture of the dominant scale privileges the global and universal over the local and particular. Finally, the monoculture of capitalist productivity recognizes only what contributes to economic growth as productive, dismissing subsistence practices and reciprocal economies as unproductive.</w:t>
      </w:r>
      <w:r>
        <w:t xml:space="preserve"> </w:t>
      </w:r>
      <w:r>
        <w:t xml:space="preserve">These monocultures manifest across various domains of global governance, revealing systematic patterns of epistemological violence. Structural adjustment programs of the 1980s and 1990s exemplified this process, rendering invisible local economic practices that maintained community resilience through reciprocity, collective labor, and non-monetary exchange. These practices were not merely overlooked but actively reconstructed as obstacles to development, their elimination framed as necessary modernization.</w:t>
      </w:r>
    </w:p>
    <w:p>
      <w:pPr>
        <w:pStyle w:val="Brdtekst"/>
      </w:pPr>
      <w:r>
        <w:t xml:space="preserve">Contemporary biodiversity conservation frameworks similarly exclude indigenous management systems by demanding documentation and quantification in forms these systems never required. Traditional ecological knowledge accumulated over generations through oral tradition and embodied practice cannot be captured in species inventories or ecosystem service valuations, and thus disappears from conservation planning.</w:t>
      </w:r>
      <w:r>
        <w:t xml:space="preserve"> </w:t>
      </w:r>
      <w:r>
        <w:t xml:space="preserve">Poverty reduction strategies provide another revealing example, eliminating alternative conceptions of wellbeing by imposing metrics that recognize only monetary income and formal employment. Communities that maintain rich social relationships, cultural practices, and subsistence security despite low cash incomes are rendered</w:t>
      </w:r>
      <w:r>
        <w:t xml:space="preserve"> </w:t>
      </w:r>
      <w:r>
        <w:t xml:space="preserve">“extremely poor”</w:t>
      </w:r>
      <w:r>
        <w:t xml:space="preserve"> </w:t>
      </w:r>
      <w:r>
        <w:t xml:space="preserve">and targeted for interventions that may actually undermine their wellbeing. In each case, the epistemicide operates not through direct suppression but through frameworks that simply cannot recognize other ways of knowing as knowledge at all.</w:t>
      </w:r>
    </w:p>
    <w:p>
      <w:pPr>
        <w:pStyle w:val="Brdtekst"/>
      </w:pPr>
      <w:r>
        <w:t xml:space="preserve">This systematic exclusion becomes particularly acute in contexts of anticipatory governance, where institutions attempt to manage emerging futures. As Guston notes, anticipatory governance aims to build</w:t>
      </w:r>
      <w:r>
        <w:t xml:space="preserve"> </w:t>
      </w:r>
      <w:r>
        <w:t xml:space="preserve">“a broad-based capacity extended through society that can act on a variety of inputs to manage emerging knowledge-based technologies while such management is still possible”</w:t>
      </w:r>
      <w:r>
        <w:t xml:space="preserve"> </w:t>
      </w:r>
      <w:r>
        <w:t xml:space="preserve">(</w:t>
      </w:r>
      <w:r>
        <w:rPr>
          <w:b/>
          <w:bCs/>
        </w:rPr>
        <w:t xml:space="preserve">guston2014?</w:t>
      </w:r>
      <w:r>
        <w:t xml:space="preserve">)</w:t>
      </w:r>
      <w:r>
        <w:t xml:space="preserve">. Yet whose knowledge constitutes legitimate</w:t>
      </w:r>
      <w:r>
        <w:t xml:space="preserve"> </w:t>
      </w:r>
      <w:r>
        <w:t xml:space="preserve">“inputs”</w:t>
      </w:r>
      <w:r>
        <w:t xml:space="preserve"> </w:t>
      </w:r>
      <w:r>
        <w:t xml:space="preserve">for this future-making process? The emphasis on</w:t>
      </w:r>
      <w:r>
        <w:t xml:space="preserve"> </w:t>
      </w:r>
      <w:r>
        <w:t xml:space="preserve">“knowledge-based technologies”</w:t>
      </w:r>
      <w:r>
        <w:t xml:space="preserve"> </w:t>
      </w:r>
      <w:r>
        <w:t xml:space="preserve">already signals a privileging of technoscientific approaches over other ways of understanding and relating to uncertain futures.</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 Scientific knowledge excels at identifying large-scale patterns and projecting future scenarios, but may miss the nuanced understanding of local variability that comes from generations of place-based observation. Indigenous knowledge systems often embed sophisticated understanding of ecological relationships within cultural practices and spiritual frameworks that Western science dismisses as merely cultural.</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 However, the challenge lies not merely in including different knowledge but in creating conditions where these different ways of knowing can genuinely shape understanding and action.</w:t>
      </w:r>
    </w:p>
    <w:p>
      <w:pPr>
        <w:pStyle w:val="Brdtekst"/>
      </w:pPr>
      <w:r>
        <w:t xml:space="preserve">The distinction between technocratic and relational ontologies illuminates why certain knowledge systems dominate while others are marginalized. 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 Within this framework, valid knowledge is that which can be standardized, measured, and scaled – vulnerability indices, climate projections, cost-benefit ratios.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 From this standpoint, knowledge is always situated, embodied, and relational – inseparable from the contexts and relationships through which it emerges. 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r>
        <w:t xml:space="preserve"> </w:t>
      </w:r>
      <w:r>
        <w:t xml:space="preserve">The concept of</w:t>
      </w:r>
      <w:r>
        <w:t xml:space="preserve"> </w:t>
      </w:r>
      <w:r>
        <w:t xml:space="preserve">“provincializing Europe”</w:t>
      </w:r>
      <w:r>
        <w:t xml:space="preserve"> </w:t>
      </w:r>
      <w:r>
        <w:t xml:space="preserve">helps understand what moving beyond epistemological monocultures might entail</w:t>
      </w:r>
      <w:r>
        <w:t xml:space="preserve"> </w:t>
      </w:r>
      <w:r>
        <w:t xml:space="preserve">(Chakrabarty, 2009)</w:t>
      </w:r>
      <w:r>
        <w:t xml:space="preserve">. Rather than accepting European-derived categories as universal, this approach reveals them as particular, historical products that achieved global dominance through colonial violence. The scientific method, the nation-state, development, and now adaptation – all emerge from specific European historical experiences yet are treated as universal frameworks all societies must adopt. Provincializing these concepts does not mean rejecting them entirely but recognizing their particularity and the violence involved in their universalization.</w:t>
      </w:r>
    </w:p>
    <w:p>
      <w:pPr>
        <w:pStyle w:val="Brdtekst"/>
      </w:pPr>
      <w:r>
        <w:t xml:space="preserve">The role of expertise and professional networks in maintaining epistemological monocultures deserves particular attention. As Brinks and Ibert note, expertise is not simply technical knowledge but a social relation involving recognition, authority, and trust</w:t>
      </w:r>
      <w:r>
        <w:t xml:space="preserve"> </w:t>
      </w:r>
      <w:r>
        <w:t xml:space="preserve">(Brinks &amp; Donner, 2025)</w:t>
      </w:r>
      <w:r>
        <w:t xml:space="preserve">. Networks of experts – trained in similar institutions, using similar frameworks, reading similar literatures – create what might be termed epistemological corridors through which certain forms of knowledge flow while others are blocked. These networks operate across scales, from global climate science communities to regional development banks to national planning agencies, creating remarkable consistency in how problems are framed and solutions imagined.</w:t>
      </w:r>
    </w:p>
    <w:p>
      <w:pPr>
        <w:pStyle w:val="Brdtekst"/>
      </w:pPr>
      <w:r>
        <w:t xml:space="preserve">Understanding how epistemicide operates through adaptation planning requires methods that can make visible what is usually invisible – the systematic production of epistemological monoculture. If Santos is correct that certain knowledge systems are actively produced as non-existent, then we should be able to observe this empirically in how adaptation is discussed across different contexts. High convergence in adaptation discourse would indicate successful epistemicide, showing that despite diverse contexts, challenges, and knowledge traditions, only certain ways of knowing can find expression in formal planning processes. This sets the stage for examining how the measurement of discourse patterns can reveal the operation of epistemological power in contemporary climate governance.</w:t>
      </w:r>
    </w:p>
    <w:bookmarkEnd w:id="34"/>
    <w:bookmarkStart w:id="35"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r>
        <w:t xml:space="preserve"> </w:t>
      </w: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Indigenous cosmologies, for instance, often emphasize cyclical rather than linear time, relationships with ancestors and future generations, and responsibilities to non-human beings – all of which generate different orientations toward the future than those embedded in Western planning frameworks.</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dominance of predictive epistemologies in global governance connects to what Goode and Godhe identify as</w:t>
      </w:r>
      <w:r>
        <w:t xml:space="preserve"> </w:t>
      </w:r>
      <w:r>
        <w:t xml:space="preserve">“capitalist realism”</w:t>
      </w:r>
      <w:r>
        <w:t xml:space="preserve"> </w:t>
      </w:r>
      <w:r>
        <w:t xml:space="preserve">– the sense that capitalist social relations are natural and inevitable, constraining imagination of alternative futures</w:t>
      </w:r>
      <w:r>
        <w:t xml:space="preserve"> </w:t>
      </w:r>
      <w:r>
        <w:t xml:space="preserve">(Goode &amp; Godhe, 2017)</w:t>
      </w:r>
      <w:r>
        <w:t xml:space="preserve">. When adaptation is framed primarily within existing capitalist relations and market logics, alternatives that might challenge these relations become difficult to imagine or articulate. This narrowing of future possibilities reflects broader patterns of what might be termed anticipatory enclosure, where the future is colonized by present power relations before it arrives.</w:t>
      </w:r>
    </w:p>
    <w:p>
      <w:pPr>
        <w:pStyle w:val="Brdtekst"/>
      </w:pPr>
      <w:r>
        <w:t xml:space="preserve">The concept of anticipatory governance illuminates both the promise and peril of future-oriented planning. Guston defines anticipatory governance as building capacities for</w:t>
      </w:r>
      <w:r>
        <w:t xml:space="preserve"> </w:t>
      </w:r>
      <w:r>
        <w:t xml:space="preserve">“foresight, engagement, and integration”</w:t>
      </w:r>
      <w:r>
        <w:t xml:space="preserve"> </w:t>
      </w:r>
      <w:r>
        <w:t xml:space="preserve">to manage emerging challenges</w:t>
      </w:r>
      <w:r>
        <w:t xml:space="preserve"> </w:t>
      </w:r>
      <w:r>
        <w:t xml:space="preserve">(</w:t>
      </w:r>
      <w:r>
        <w:rPr>
          <w:b/>
          <w:bCs/>
        </w:rPr>
        <w:t xml:space="preserve">guston2014?</w:t>
      </w:r>
      <w:r>
        <w:t xml:space="preserve">)</w:t>
      </w:r>
      <w:r>
        <w:t xml:space="preserve">. In principle, this forward-looking orientation could create space for diverse communities to shape their own futures. In practice, however, anticipatory governance often operates through specific institutional arrangements, expert networks, and knowledge frameworks that privilege certain futures while foreclosing others.</w:t>
      </w:r>
    </w:p>
    <w:p>
      <w:pPr>
        <w:pStyle w:val="Brdtekst"/>
      </w:pPr>
      <w:r>
        <w:t xml:space="preserve">This brings us to the crucial concept of</w:t>
      </w:r>
      <w:r>
        <w:t xml:space="preserve"> </w:t>
      </w:r>
      <w:r>
        <w:t xml:space="preserve">“defuturing”</w:t>
      </w:r>
      <w:r>
        <w:t xml:space="preserve"> </w:t>
      </w:r>
      <w:r>
        <w:t xml:space="preserve">developed by Tony Fry. Defuturing refers to the systematic destruction of futures – not through catastrophic events but through the mundane operation of design decisions, planning processes, and institutional arrangements that eliminate possibilities before they can emerge</w:t>
      </w:r>
      <w:r>
        <w:t xml:space="preserve"> </w:t>
      </w:r>
      <w:r>
        <w:t xml:space="preserve">(Fry, 2019)</w:t>
      </w:r>
      <w:r>
        <w:t xml:space="preserve">. Fry argues that modern design and planning are fundamentally defuturing, creating unsustainable systems that consume the future to maintain the present. In the context of global governance, defuturing operates through frameworks that can only recognize certain kinds of futures as valid or feasible.</w:t>
      </w:r>
    </w:p>
    <w:p>
      <w:pPr>
        <w:pStyle w:val="Brdtekst"/>
      </w:pPr>
      <w:r>
        <w:t xml:space="preserve">The tools and methods of future-making play a crucial role in this defuturing process. Scenario planning exercises, for instance, typically begin from current trajectories and project forward, making it difficult to imagine radical discontinuities or alternative development paths. Vulnerability assessments focus on exposure to physical hazards within existing social arrangements rather than questioning those arrangements. Cost-benefit analyses discount future impacts in ways that systematically undervalue long-term transformation in favor of short-term adjustment. Each of these tools shapes not just how the future is known but what futures can be imagined</w:t>
      </w:r>
      <w:r>
        <w:t xml:space="preserve"> </w:t>
      </w:r>
      <w:r>
        <w:t xml:space="preserve">(Fry, 2019)</w:t>
      </w:r>
      <w:r>
        <w:t xml:space="preserve">.</w:t>
      </w:r>
    </w:p>
    <w:p>
      <w:pPr>
        <w:pStyle w:val="Brdtekst"/>
      </w:pPr>
      <w:r>
        <w:t xml:space="preserve">Ivan Illich’s analysis of tools provides another lens for understanding how future-making operates in governance contexts. Illich distinguishes between tools that enhance capability and those that create dependency, arguing that many modern tools – despite appearing to expand human capacities – actually constrain autonomy and imagination</w:t>
      </w:r>
      <w:r>
        <w:t xml:space="preserve"> </w:t>
      </w:r>
      <w:r>
        <w:t xml:space="preserve">(Illich, 2009)</w:t>
      </w:r>
      <w:r>
        <w:t xml:space="preserve">. In adaptation planning, the proliferation of assessment tools, modeling frameworks, and planning templates might be understood as creating what Illich terms</w:t>
      </w:r>
      <w:r>
        <w:t xml:space="preserve"> </w:t>
      </w:r>
      <w:r>
        <w:t xml:space="preserve">“radical monopoly”</w:t>
      </w:r>
      <w:r>
        <w:t xml:space="preserve"> </w:t>
      </w:r>
      <w:r>
        <w:t xml:space="preserve">– not just monopoly over products but over processes of imagination and response.</w:t>
      </w:r>
    </w:p>
    <w:p>
      <w:pPr>
        <w:pStyle w:val="Brdtekst"/>
      </w:pPr>
      <w:r>
        <w:t xml:space="preserve">The consultants who carry these tools between contexts become what Illich might recognize as</w:t>
      </w:r>
      <w:r>
        <w:t xml:space="preserve"> </w:t>
      </w:r>
      <w:r>
        <w:t xml:space="preserve">“disabling professionals”</w:t>
      </w:r>
      <w:r>
        <w:t xml:space="preserve"> </w:t>
      </w:r>
      <w:r>
        <w:t xml:space="preserve">– experts whose specialized knowledge creates dependencies rather than building local capacities</w:t>
      </w:r>
      <w:r>
        <w:t xml:space="preserve"> </w:t>
      </w:r>
      <w:r>
        <w:t xml:space="preserve">(Illich, 2009)</w:t>
      </w:r>
      <w:r>
        <w:t xml:space="preserve">. A consultant arrives with frameworks developed in one context and applies them in another, shaping how local actors must articulate their understanding of vulnerability and their visions for adaptation. Communities learn to see their own futures through these imported lenses, potentially losing connection with their own ways of anticipating and preparing for change.</w:t>
      </w:r>
    </w:p>
    <w:p>
      <w:pPr>
        <w:pStyle w:val="Brdtekst"/>
      </w:pPr>
      <w:r>
        <w:t xml:space="preserve">This process connects to what Walter Mignolo identifies as the coloniality of knowledge and being – the ways colonial power relations extend into the present through knowledge systems and subjectivities</w:t>
      </w:r>
      <w:r>
        <w:t xml:space="preserve"> </w:t>
      </w:r>
      <w:r>
        <w:t xml:space="preserve">(Mignolo, 2011)</w:t>
      </w:r>
      <w:r>
        <w:t xml:space="preserve">. But Mignolo’s analysis points toward something even more profound: the colonization of time itself. The</w:t>
      </w:r>
      <w:r>
        <w:t xml:space="preserve"> </w:t>
      </w:r>
      <w:r>
        <w:t xml:space="preserve">“colonial matrix of power”</w:t>
      </w:r>
      <w:r>
        <w:t xml:space="preserve"> </w:t>
      </w:r>
      <w:r>
        <w:t xml:space="preserve">doesn’t just operate in space but extends into the temporal dimension, shaping which pasts can be remembered and which futures can be imagined.</w:t>
      </w:r>
      <w:r>
        <w:t xml:space="preserve"> </w:t>
      </w:r>
      <w:r>
        <w:t xml:space="preserve">This temporal colonialism manifests in multiple ways through planning processes. Linear progress narratives position certain societies as</w:t>
      </w:r>
      <w:r>
        <w:t xml:space="preserve"> </w:t>
      </w:r>
      <w:r>
        <w:t xml:space="preserve">“advanced”</w:t>
      </w:r>
      <w:r>
        <w:t xml:space="preserve"> </w:t>
      </w:r>
      <w:r>
        <w:t xml:space="preserve">and others as needing to</w:t>
      </w:r>
      <w:r>
        <w:t xml:space="preserve"> </w:t>
      </w:r>
      <w:r>
        <w:t xml:space="preserve">“catch up,”</w:t>
      </w:r>
      <w:r>
        <w:t xml:space="preserve"> </w:t>
      </w:r>
      <w:r>
        <w:t xml:space="preserve">reproducing colonial hierarchies through temporal framing. Predictive models typically assume that current development trajectories will continue, making it difficult to imagine alternative pathways that might emerge from different values or social arrangements. Financial mechanisms like loans and climate funds create temporal dependencies, locking countries into particular development paths to service debts or meet donor requirements. Planning horizons privilege certain temporal scales – often the medium-term relevant to political and funding cycles – while marginalizing both immediate needs and long-term transformations</w:t>
      </w:r>
      <w:r>
        <w:t xml:space="preserve"> </w:t>
      </w:r>
      <w:r>
        <w:t xml:space="preserve">(Mignolo, 2011)</w:t>
      </w:r>
      <w:r>
        <w:t xml:space="preserve">.</w:t>
      </w:r>
    </w:p>
    <w:p>
      <w:pPr>
        <w:pStyle w:val="Brdtekst"/>
      </w:pPr>
      <w:r>
        <w:t xml:space="preserve">Kyle Whyte’s concept of</w:t>
      </w:r>
      <w:r>
        <w:t xml:space="preserve"> </w:t>
      </w:r>
      <w:r>
        <w:t xml:space="preserve">“relational tipping points”</w:t>
      </w:r>
      <w:r>
        <w:t xml:space="preserve"> </w:t>
      </w:r>
      <w:r>
        <w:t xml:space="preserve">adds another crucial dimension to understanding temporal colonialism in environmental governance. While much attention focuses on ecological tipping points – thresholds beyond which environmental systems shift to new states – Whyte argues that relational tipping points may be crossed first</w:t>
      </w:r>
      <w:r>
        <w:t xml:space="preserve"> </w:t>
      </w:r>
      <w:r>
        <w:t xml:space="preserve">(Whyte, 2020)</w:t>
      </w:r>
      <w:r>
        <w:t xml:space="preserve">. These are points beyond which the relationships necessary for collective action are too damaged to enable coordinated response. For indigenous peoples facing climate change, centuries of colonial violence have already damaged the trust, reciprocity, and mutual recognition needed for collaborative adaptation. The time required to rebuild these relationships may exceed the time available before ecological crises</w:t>
      </w:r>
      <w:r>
        <w:t xml:space="preserve"> </w:t>
      </w:r>
      <w:r>
        <w:t xml:space="preserve">(Whyte, 2020)</w:t>
      </w:r>
      <w:r>
        <w:t xml:space="preserve">.</w:t>
      </w:r>
    </w:p>
    <w:p>
      <w:pPr>
        <w:pStyle w:val="Brdtekst"/>
      </w:pPr>
      <w:r>
        <w:t xml:space="preserve">This analysis connects directly to the concept of</w:t>
      </w:r>
      <w:r>
        <w:t xml:space="preserve"> </w:t>
      </w:r>
      <w:r>
        <w:t xml:space="preserve">“anticipatory ruination”</w:t>
      </w:r>
      <w:r>
        <w:t xml:space="preserve"> </w:t>
      </w:r>
      <w:r>
        <w:t xml:space="preserve">developed in studies of climate adaptation. Paprocki shows how certain places are rendered as already lost to climate change, justifying radical interventions in the present</w:t>
      </w:r>
      <w:r>
        <w:t xml:space="preserve"> </w:t>
      </w:r>
      <w:r>
        <w:t xml:space="preserve">(Paprocki, 2019)</w:t>
      </w:r>
      <w:r>
        <w:t xml:space="preserve">. This is not simply prediction but performative – by imagining certain futures as inevitable, planning processes help bring them into being. When coastal communities are designated as future flood zones, investment shifts away, infrastructure deteriorates, and outmigration accelerates, creating the abandonment that was supposedly being prevented.</w:t>
      </w:r>
      <w:r>
        <w:t xml:space="preserve"> </w:t>
      </w:r>
      <w:r>
        <w:t xml:space="preserve">The implications of understanding future-making as a site of power and potential violence are profound. If planning processes actively defuture – eliminating possible worlds before they can emerge – then the stakes of adaptation governance exceed technical questions of risk management. The issue becomes not just which adaptations are chosen but which futures are allowed to exist. This is particularly critical for communities whose ways of life, knowledge systems, and relationships with land and water are rendered impossible by planning processes that can only recognize certain kinds of futures.</w:t>
      </w:r>
    </w:p>
    <w:p>
      <w:pPr>
        <w:pStyle w:val="Brdtekst"/>
      </w:pPr>
      <w:r>
        <w:t xml:space="preserve">Critical futures studies offers resources for challenging these patterns of defuturing. As Goode and Godhe argue, the task is not simply to predict probable futures or envision preferable ones, but to critically examine how futures are produced, whose interests they serve, and what possibilities they foreclose</w:t>
      </w:r>
      <w:r>
        <w:t xml:space="preserve"> </w:t>
      </w:r>
      <w:r>
        <w:t xml:space="preserve">(Goode &amp; Godhe, 2017)</w:t>
      </w:r>
      <w:r>
        <w:t xml:space="preserve">. This critical orientation opens space for what might be termed</w:t>
      </w:r>
      <w:r>
        <w:t xml:space="preserve"> </w:t>
      </w:r>
      <w:r>
        <w:t xml:space="preserve">“re-futuring”</w:t>
      </w:r>
      <w:r>
        <w:t xml:space="preserve"> </w:t>
      </w:r>
      <w:r>
        <w:t xml:space="preserve">– actively creating conditions for multiple futures to flourish rather than converging on a single trajectory determined by current power relations.</w:t>
      </w:r>
    </w:p>
    <w:p>
      <w:pPr>
        <w:pStyle w:val="Brdtekst"/>
      </w:pPr>
      <w:r>
        <w:t xml:space="preserve">The concept of</w:t>
      </w:r>
      <w:r>
        <w:t xml:space="preserve"> </w:t>
      </w:r>
      <w:r>
        <w:t xml:space="preserve">“pluriversal futures”</w:t>
      </w:r>
      <w:r>
        <w:t xml:space="preserve"> </w:t>
      </w:r>
      <w:r>
        <w:t xml:space="preserve">emerging from Latin American scholarship offers one vision of what re-futuring might entail. Rather than a single future toward which all societies converge, this approach imagines multiple temporal trajectories emerging from different ontologies and ways of life</w:t>
      </w:r>
      <w:r>
        <w:t xml:space="preserve"> </w:t>
      </w:r>
      <w:r>
        <w:t xml:space="preserve">(Escobar, 2020)</w:t>
      </w:r>
      <w:r>
        <w:t xml:space="preserve">. These are not simply different paths to the same destination but genuinely different worlds with their own temporal rhythms, relationships, and possibilities. Supporting such pluriversal futures requires more than inclusive planning – it requires recognizing that different peoples may inhabit fundamentally different temporal worlds.</w:t>
      </w:r>
    </w:p>
    <w:p>
      <w:pPr>
        <w:pStyle w:val="Brdtekst"/>
      </w:pPr>
      <w:r>
        <w:t xml:space="preserve">Understanding future-making as a contested terrain of power reveals adaptation planning as more than technical response to environmental change. It emerges as a site where colonial relations extend into the temporal dimension, where certain futures are enabled while others are foreclosed, where the very possibility of alternative worlds is at stake. This brings us to the question of how we might empirically observe these processes of defuturing – how discourse patterns might reveal the systematic elimination of alternative futures. The concept of discourse centralization offers one approach to making visible what is often hidden: the successful reduction of pluriversal possibilities to singular trajectories.</w:t>
      </w:r>
    </w:p>
    <w:bookmarkEnd w:id="35"/>
    <w:bookmarkStart w:id="36"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The theoretical tensions between epistemological diversity and monoculture, while conceptually rich, require empirical grounding to move beyond assertion and critique. Discourse centralization represents the degree to which adaptation planning documents concentrate their attention on a limited set of themes versus distributing attention across many diverse topics. In a highly centralized discourse, most documents emphasize the same few topics, suggesting a convergence around particular ways of understanding and addressing adaptation. Conversely, a decentralized discourse would show documents emphasizing different combinations of topics, indicating greater diversity in how adaptation challenges and responses are conceptualized. This pattern of concentration or dispersion serves as a proxy for epistemological diversity—the range of knowledge systems, values, and worldviews that inform adaptation planning.</w:t>
      </w:r>
    </w:p>
    <w:p>
      <w:pPr>
        <w:pStyle w:val="Brdtekst"/>
      </w:pPr>
      <w:r>
        <w:t xml:space="preserve">The significance of measuring discourse centralization lies in what it reveals about the constraints and possibilities within adaptation planning. When discourse is highly centralized, it suggests that despite the diverse contexts in which adaptation occurs—from small island states facing sea-level rise to landlocked countries confronting desertification—there is a remarkable uniformity in how these challenges are understood and articulated. This uniformity might reflect the influence of international frameworks, funding requirements, or technical assistance that promote particular approaches. Alternatively, decentralized discourse would indicate space for diverse conceptualizations that might draw on local knowledge, alternative development paradigms, or context-specific understandings of vulnerability and resilience.</w:t>
      </w:r>
    </w:p>
    <w:p>
      <w:pPr>
        <w:pStyle w:val="Brdtekst"/>
      </w:pPr>
      <w:r>
        <w:t xml:space="preserve">Drawing on Santos’s concept of abyssal thinking, discourse centralization can be understood as an empirical manifestation of how certain knowledge comes to exist</w:t>
      </w:r>
      <w:r>
        <w:t xml:space="preserve"> </w:t>
      </w:r>
      <w:r>
        <w:t xml:space="preserve">“on this side of the line”</w:t>
      </w:r>
      <w:r>
        <w:t xml:space="preserve"> </w:t>
      </w:r>
      <w:r>
        <w:t xml:space="preserve">while other knowledge is actively produced as non-existent</w:t>
      </w:r>
      <w:r>
        <w:t xml:space="preserve"> </w:t>
      </w:r>
      <w:r>
        <w:t xml:space="preserve">(Santos, 2016)</w:t>
      </w:r>
      <w:r>
        <w:t xml:space="preserve">. The line Santos describes is not merely a boundary but an active process of differentiation that grants reality to some forms of knowledge while denying it to others. High discourse centralization would indicate that this abyssal line operates effectively—that despite the diversity of contexts, challenges, and knowledge traditions present in different countries, only knowledge from</w:t>
      </w:r>
      <w:r>
        <w:t xml:space="preserve"> </w:t>
      </w:r>
      <w:r>
        <w:t xml:space="preserve">“this side”</w:t>
      </w:r>
      <w:r>
        <w:t xml:space="preserve"> </w:t>
      </w:r>
      <w:r>
        <w:t xml:space="preserve">can find expression in formal planning documents.</w:t>
      </w:r>
      <w:r>
        <w:t xml:space="preserve"> </w:t>
      </w:r>
      <w:r>
        <w:t xml:space="preserve">This connects to Santos’s analysis of how the five monocultures produce non-existence. When adaptation documents across diverse contexts converge on similar topics—financial mechanisms, institutional arrangements, technical assessments—we observe the monoculture of knowledge in operation, where only certain forms of expertise are recognized as valid. When these documents frame adaptation primarily in terms of future projections and linear progress, we see the monoculture of linear time eliminating other temporal orientations. The measurement of centralization thus becomes a way to observe empirically what Santos argues occurs epistemologically—the active production of non-existence through frameworks that cannot recognize alternative ways of knowing</w:t>
      </w:r>
      <w:r>
        <w:t xml:space="preserve"> </w:t>
      </w:r>
      <w:r>
        <w:t xml:space="preserve">(Santos, 2016)</w:t>
      </w:r>
      <w:r>
        <w:t xml:space="preserve">.</w:t>
      </w:r>
    </w:p>
    <w:p>
      <w:pPr>
        <w:pStyle w:val="Brdtekst"/>
      </w:pPr>
      <w:r>
        <w:t xml:space="preserve">The relationship between discourse patterns and epistemological diversity is not one of simple correspondence but of indication and revelation. High centralization does not cause epistemicide but indicates its successful operation. When countries facing fundamentally different environmental challenges produce remarkably similar planning documents, this suggests that the frameworks through which they must articulate their understanding are powerfully constraining. The convergence reveals not what these countries think about adaptation but what they must say to participate in international climate governance.</w:t>
      </w:r>
    </w:p>
    <w:p>
      <w:pPr>
        <w:pStyle w:val="Brdtekst"/>
      </w:pPr>
      <w:r>
        <w:t xml:space="preserve">This distinction is crucial for understanding discourse centralization as more than a linguistic phenomenon. The patterns we observe in texts are materializations of deeper epistemological and political processes. When a Pacific island nation and a landlocked African country produce similar adaptation plans focused on institutional capacity and financial mechanisms, this similarity does not reflect shared understanding but shared subjection to frameworks that can only recognize certain kinds of knowledge and certain ways of articulating need.</w:t>
      </w:r>
    </w:p>
    <w:p>
      <w:pPr>
        <w:pStyle w:val="Brdtekst"/>
      </w:pPr>
      <w:r>
        <w:t xml:space="preserve">Arturo Escobar’s concept of the pluriverse provides another theoretical lens for understanding what discourse centralization reveals</w:t>
      </w:r>
      <w:r>
        <w:t xml:space="preserve"> </w:t>
      </w:r>
      <w:r>
        <w:t xml:space="preserve">(Escobar, 2018)</w:t>
      </w:r>
      <w:r>
        <w:t xml:space="preserve">. Escobar contrasts the</w:t>
      </w:r>
      <w:r>
        <w:t xml:space="preserve"> </w:t>
      </w:r>
      <w:r>
        <w:t xml:space="preserve">“one-world world”</w:t>
      </w:r>
      <w:r>
        <w:t xml:space="preserve"> </w:t>
      </w:r>
      <w:r>
        <w:t xml:space="preserve">(OWW) of modernity—which assumes a single reality that can be known through universal science—with the pluriverse,</w:t>
      </w:r>
      <w:r>
        <w:t xml:space="preserve"> </w:t>
      </w:r>
      <w:r>
        <w:t xml:space="preserve">“a world where many worlds fit.”</w:t>
      </w:r>
      <w:r>
        <w:t xml:space="preserve"> </w:t>
      </w:r>
      <w:r>
        <w:t xml:space="preserve">The pluriverse is not simply cultural diversity within a single world but recognition of multiple ontologies, multiple ways of being and knowing that create genuinely different worlds.</w:t>
      </w:r>
    </w:p>
    <w:p>
      <w:pPr>
        <w:pStyle w:val="Brdtekst"/>
      </w:pPr>
      <w:r>
        <w:t xml:space="preserve">From this perspective, high discourse centralization indicates the successful imposition of the one-world world over pluriversal possibilities. When adaptation planning can only recognize certain forms of vulnerability (those measurable through indices), certain temporalities (linear projections), and certain responses (technical interventions), it actively eliminates other worlds where vulnerability might be understood relationally, time might be cyclical, and responses might involve ceremony, reciprocity, or transformation of social relations. The degree of centralization thus becomes a measure of how successfully the one-world world has eliminated pluriversal possibilities</w:t>
      </w:r>
      <w:r>
        <w:t xml:space="preserve"> </w:t>
      </w:r>
      <w:r>
        <w:t xml:space="preserve">(Escobar, 2018)</w:t>
      </w:r>
      <w:r>
        <w:t xml:space="preserve">.</w:t>
      </w:r>
    </w:p>
    <w:p>
      <w:pPr>
        <w:pStyle w:val="Brdtekst"/>
      </w:pPr>
      <w:r>
        <w:t xml:space="preserve">This framework helps distinguish between superficial diversity and genuine epistemological plurality. Documents might vary in their specific content—mentioning different crops, infrastructures, or hazards—while converging at a deeper epistemological level in how they understand the nature of climate challenge and appropriate response. Conversely, even similar-sounding content might emerge from fundamentally different epistemological groundings. The measurement of discourse centralization attempts to capture these deeper patterns rather than surface variations.</w:t>
      </w:r>
    </w:p>
    <w:p>
      <w:pPr>
        <w:pStyle w:val="Brdtekst"/>
      </w:pPr>
      <w:r>
        <w:t xml:space="preserve">The theoretical significance of this approach extends beyond description to revelation. By making discourse patterns visible and measurable, we can observe processes that typically remain hidden. Epistemicide does not announce itself—it operates through the quiet violence of bureaucratic forms, funding criteria, and technical requirements that seem neutral while systematically excluding alternative ways of knowing. The measurement of centralization makes this violence visible by showing its effects: the remarkable convergence of discourse despite diverse contexts.</w:t>
      </w:r>
    </w:p>
    <w:p>
      <w:pPr>
        <w:pStyle w:val="Brdtekst"/>
      </w:pPr>
      <w:r>
        <w:t xml:space="preserve">This connects to Fry’s concept of defuturing, but at an epistemological level</w:t>
      </w:r>
      <w:r>
        <w:t xml:space="preserve"> </w:t>
      </w:r>
      <w:r>
        <w:t xml:space="preserve">(Fry, 2019)</w:t>
      </w:r>
      <w:r>
        <w:t xml:space="preserve">. Just as defuturing eliminates possible worlds before they can emerge, epistemological centralization eliminates possible ways of knowing and articulating before they can find expression. The measurement of discourse patterns reveals not just what is said but what has become unsayable—the alternatives that have been successfully eliminated from the realm of formal articulation.</w:t>
      </w:r>
    </w:p>
    <w:p>
      <w:pPr>
        <w:pStyle w:val="Brdtekst"/>
      </w:pPr>
      <w:r>
        <w:t xml:space="preserve">The approach differs fundamentally from simply noting similarities across documents or conducting comparative analysis. Rather than asking</w:t>
      </w:r>
      <w:r>
        <w:t xml:space="preserve"> </w:t>
      </w:r>
      <w:r>
        <w:t xml:space="preserve">“how are these documents similar or different,”</w:t>
      </w:r>
      <w:r>
        <w:t xml:space="preserve"> </w:t>
      </w:r>
      <w:r>
        <w:t xml:space="preserve">the centralization framework asks</w:t>
      </w:r>
      <w:r>
        <w:t xml:space="preserve"> </w:t>
      </w:r>
      <w:r>
        <w:t xml:space="preserve">“what does the pattern of similarity and difference reveal about the operation of epistemological power?”</w:t>
      </w:r>
      <w:r>
        <w:t xml:space="preserve"> </w:t>
      </w:r>
      <w:r>
        <w:t xml:space="preserve">The interest is not in cataloging convergences but in understanding what these convergences indicate about which knowledge systems can find expression and which are systematically excluded.</w:t>
      </w:r>
    </w:p>
    <w:p>
      <w:pPr>
        <w:pStyle w:val="Brdtekst"/>
      </w:pPr>
      <w:r>
        <w:t xml:space="preserve">This theoretical framing establishes why computational approaches like topic modeling offer valuable tools for critical analysis. These methods can process large corpora of documents to identify patterns that might not be visible through close reading of individual texts. More importantly, they can quantify the degree of convergence in ways that make abstract concepts like epistemicide empirically tractable. The patterns revealed through such analysis do not speak for themselves but require theoretical interpretation informed by critical perspectives on knowledge, power, and possibility.</w:t>
      </w:r>
    </w:p>
    <w:p>
      <w:pPr>
        <w:pStyle w:val="Brdtekst"/>
      </w:pPr>
      <w:r>
        <w:t xml:space="preserve">The measurement of discourse centralization also connects to broader methodological discussions in decolonial research. As Linda Tuhiwai Smith argues, research methodologies themselves can be tools of colonization, imposing external frameworks and extracting knowledge in ways that reinforce colonial relations</w:t>
      </w:r>
      <w:r>
        <w:t xml:space="preserve"> </w:t>
      </w:r>
      <w:r>
        <w:t xml:space="preserve">(Smith, 2022)</w:t>
      </w:r>
      <w:r>
        <w:t xml:space="preserve">. The approach to measuring centralization must therefore be reflexive about its own epistemological assumptions and political implications. The goal is not to impose another universal framework but to develop tools that can reveal the operation of universalizing frameworks.</w:t>
      </w:r>
    </w:p>
    <w:p>
      <w:pPr>
        <w:pStyle w:val="Brdtekst"/>
      </w:pPr>
      <w:r>
        <w:t xml:space="preserve">This brings us to a crucial distinction between centralization as homogenization and centralization as domination. Simple homogeneity might result from shared challenges or convergent evolution of responses. But when homogeneity occurs despite radically different contexts and in ways that systematically exclude certain forms of knowledge, it indicates domination—the successful imposition of particular epistemological frameworks over others. The theoretical framework of discourse centralization aims to distinguish between these possibilities.</w:t>
      </w:r>
    </w:p>
    <w:p>
      <w:pPr>
        <w:pStyle w:val="Brdtekst"/>
      </w:pPr>
      <w:r>
        <w:t xml:space="preserve">The implications of high centralization extend beyond academic analysis to questions of justice and possibility. If adaptation planning operates to systematically exclude alternative ways of knowing and being, then it functions not as a response to climate change but as a mechanism for maintaining colonial relations through new vocabularies. The measurement of centralization provides one way to make this operation visible and thus contestable.</w:t>
      </w:r>
    </w:p>
    <w:p>
      <w:pPr>
        <w:pStyle w:val="Brdtekst"/>
      </w:pPr>
      <w:r>
        <w:t xml:space="preserve">Understanding discourse centralization as an indicator of epistemological monoculture also suggests possibilities for resistance and transformation. If we can identify where and how alternative epistemologies are excluded, we might also identify spaces where they persist or could flourish. Lower centralization might indicate cracks in the system—places where the one-world world has not fully succeeded in eliminating alternatives. These spaces, however marginal, might offer starting points for nurturing epistemological diversity.</w:t>
      </w:r>
    </w:p>
    <w:p>
      <w:pPr>
        <w:pStyle w:val="Brdtekst"/>
      </w:pPr>
      <w:r>
        <w:t xml:space="preserve">The theoretical framework of discourse centralization thus serves multiple purposes. It provides a bridge between abstract concepts like epistemicide and empirical analysis. It offers a way to observe processes that typically remain hidden. It reveals the operation of power through knowledge frameworks that appear neutral. Most fundamentally, it makes visible the gap between the pluriversal possibilities that exist in the world and the singular framework that dominates formal planning processes. This visibility is a necessary first step toward creating conditions where many worlds might flourish rather than being reduced to one.</w:t>
      </w:r>
    </w:p>
    <w:p>
      <w:pPr>
        <w:pStyle w:val="Brdtekst"/>
      </w:pPr>
      <w:r>
        <w:t xml:space="preserve">This theoretical grounding establishes the foundation for empirical investigation. If discourse centralization indicates epistemological monoculture, then measuring centralization across different contexts can reveal how successfully dominant frameworks have eliminated alternatives. The patterns observed—whether high or low centralization, whether varying by region, income, or geography—become legible as indicators of epistemological power in operation. This sets the stage for developing methodological approaches that can capture these patterns while remaining attentive to what they reveal about knowledge, power, and the possibility of alternative futures in climate governance.</w:t>
      </w:r>
    </w:p>
    <w:bookmarkEnd w:id="36"/>
    <w:bookmarkEnd w:id="37"/>
    <w:bookmarkStart w:id="41" w:name="sec-methods"/>
    <w:p>
      <w:pPr>
        <w:pStyle w:val="Overskrift1"/>
      </w:pPr>
      <w:r>
        <w:t xml:space="preserve">5. Methods</w:t>
      </w:r>
    </w:p>
    <w:p>
      <w:pPr>
        <w:pStyle w:val="Bloktekst"/>
      </w:pPr>
      <w:r>
        <w:t xml:space="preserve">To empirically examine whether adaptation discourse reflects epistemological diversity or monoculture,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The theoretical tensions between epistemological diversity and monoculture in climate adaptation, while conceptually rich, require empirical grounding to move beyond assertion and critique. This chapter presents a methodological approach that translates these theoretical concerns into measurable patterns, examining National Adaptation Plans as windows into how different countries conceptualize climate adaptation within the constraints and possibilities of international climate governance.</w:t>
      </w:r>
    </w:p>
    <w:p>
      <w:pPr>
        <w:pStyle w:val="Brdtekst"/>
      </w:pPr>
      <w:r>
        <w:t xml:space="preserve">National Adaptation Plans offer a unique opportunity for this analysis because they represent how countries formally articulate their understanding of climate vulnerability and appropriate responses within a standardized international framework. While these documents are shaped by UNFCCC guidelines, technical assistance, and funding requirements, they also reflect national contexts, priorities, and potentially diverse knowledge systems. By analyzing patterns across a comprehensive corpus of NAPs, we can identify whether this institutional framework produces convergence toward particular ways of understanding adaptation or preserves space for alternative conceptualizations that might draw on different epistemological foundations.</w:t>
      </w:r>
    </w:p>
    <w:p>
      <w:pPr>
        <w:pStyle w:val="Brdtekst"/>
      </w:pPr>
      <w:r>
        <w:t xml:space="preserve">The analytical pipeline developed for this research proceeds through three integrated stages, each designed to build toward a systematic assessment of discourse patterns. First, the document preparation creates comparability across diverse national contexts through careful preprocessing that removes superficial differences while preserving meaningful variation in how adaptation is conceptualized. Second, the structural topic modeling identifies the latent thematic patterns that structure adaptation discourse, revealing what aspects of adaptation receive attention and how different topics cluster together. Third, the analysis stage introduces the Dominance Index to measure how concentrated discourse is around a small number of dominant topics, providing a quantifiable metric for discourse centralization that can be compared across different country groupings.</w:t>
      </w:r>
    </w:p>
    <w:p>
      <w:pPr>
        <w:pStyle w:val="Brdtekst"/>
      </w:pPr>
      <w:r>
        <w:t xml:space="preserve">The patterns we seek through this analysis directly address the research questions about power, knowledge, and development paradigms in climate adaptation. If adaptation discourse shows high centralization—with most countries emphasizing the same narrow set of topics—this would support arguments that adaptation functions as an epistemological monoculture that forecloses alternative understandings. The specific topics that dominate would reveal what kinds of knowledge and approaches are privileged within this regime. Conversely, lower centralization would indicate space for diverse conceptualizations, though the degree and nature of this diversity would require careful interpretation. Most critically, examining how centralization patterns vary across income levels, regions, and geographic vulnerabilities can reveal whether discourse is shaped more by economic positioning within global systems or by the specific nature of climate challenges faced.</w:t>
      </w:r>
    </w:p>
    <w:p>
      <w:pPr>
        <w:pStyle w:val="Brdtekst"/>
      </w:pPr>
      <w:r>
        <w:t xml:space="preserve">This chapter presents each methodological stage with sufficient detail to ensure transparency and reproducibility while remaining accessible to readers without extensive technical background in computational text analysis. The following sections on document preparation, structural topic modeling, and analysis each begin with a brief overview of purpose and approach before explaining the specific procedures and their justification. Throughout, the emphasis remains on how these methodological choices serve the broader research objective of empirically examining the epistemological politics of climate adaptation.</w:t>
      </w:r>
    </w:p>
    <w:bookmarkStart w:id="38" w:name="corpus-collection-and-preparation"/>
    <w:p>
      <w:pPr>
        <w:pStyle w:val="Overskrift2"/>
      </w:pPr>
      <w:r>
        <w:t xml:space="preserve">5.1 Corpus Collection and Preparation</w:t>
      </w:r>
    </w:p>
    <w:p>
      <w:pPr>
        <w:pStyle w:val="Bloktekst"/>
      </w:pPr>
      <w:r>
        <w:t xml:space="preserve">National Adaptation Plans provide a window into how countries conceptualize climate vulnerability and appropriate responses. To make these documents comparable, we developed a systematic approach to extract, clean, and prepare the text while preserving the ability to analyze patterns across different country groupings.</w:t>
      </w:r>
    </w:p>
    <w:p>
      <w:pPr>
        <w:pStyle w:val="FirstParagraph"/>
      </w:pPr>
      <w:r>
        <w:t xml:space="preserve">The analysis begins with the systematic collection of National Adaptation Plans from the UNFCCC’s NAP Central repository, which serves as the authoritative source for these policy documents</w:t>
      </w:r>
      <w:r>
        <w:t xml:space="preserve"> </w:t>
      </w:r>
      <w:r>
        <w:t xml:space="preserve">(Mizuno &amp; Okano, 2024)</w:t>
      </w:r>
      <w:r>
        <w:t xml:space="preserve">. As of March 2025, this repository contained submissions from countries representing diverse geographic contexts, economic circumstances, and climate vulnerabilities. Our automated collection process identified and downloaded 47 English-language NAPs, representing a substantial portion of global adaptation planning efforts. While focusing on English-language documents introduces a potential bias toward Anglophone countries or those with stronger ties to international institutions, this constraint was necessary to ensure meaningful textual comparison using consistent analytical methods</w:t>
      </w:r>
      <w:r>
        <w:t xml:space="preserve"> </w:t>
      </w:r>
      <w:r>
        <w:t xml:space="preserve">(Wright et al., 2023)</w:t>
      </w:r>
      <w:r>
        <w:t xml:space="preserve">.</w:t>
      </w:r>
    </w:p>
    <w:p>
      <w:pPr>
        <w:pStyle w:val="Brdtekst"/>
      </w:pPr>
      <w:r>
        <w:t xml:space="preserve">The temporal distribution of these documents spans from 2015 to 2025, capturing the evolution of adaptation planning as countries have developed their approaches to addressing climate vulnerability. This timeframe is particularly significant as it encompasses the period following the Cancun Adaptation Framework (2010), which formally established adaptation as a pillar of climate governance, through to the post-Paris Agreement era where adaptation has gained equal standing with mitigation in international climate policy.</w:t>
      </w:r>
    </w:p>
    <w:p>
      <w:pPr>
        <w:pStyle w:val="Brdtekst"/>
      </w:pPr>
      <w:r>
        <w:t xml:space="preserve">To enable meaningful analysis across different country contexts, each document was enriched with standardized metadata drawn from World Bank country classifications and established geographic categories. This process involved matching country names to ISO codes and incorporating income level classifications (low, lower-middle, upper-middle, and high income), regional groupings, and special geographic designations. Specifically, we identified 12 Small Island Developing States (SIDS) and 12 Landlocked Developing Countries (LLDCs) within our corpus. These categorizations are not merely descriptive labels but analytical dimensions that allow us to examine whether discourse patterns align more strongly with economic positioning, regional institutions, or shared geographic vulnerabilities.</w:t>
      </w:r>
    </w:p>
    <w:p>
      <w:pPr>
        <w:pStyle w:val="Brdtekst"/>
      </w:pPr>
      <w:r>
        <w:t xml:space="preserve">The process of extracting text from PDF documents presented several technical challenges that required careful attention to preserve the integrity of the analysis. Government documents often contain complex formatting, tables, figures, and multilingual text that can introduce artifacts during extraction. Our extraction pipeline successfully converted 47 documents into analyzable text, with Tonga and Zimbabwes plans removed from the corpus due to insufficient textual content after processing, leaving the analysis with 45 plans. The final corpus contains approximately 10 291 911 characters of text, providing a substantial foundation for discourse analysis.</w:t>
      </w:r>
    </w:p>
    <w:p>
      <w:pPr>
        <w:pStyle w:val="Brdtekst"/>
      </w:pPr>
      <w:r>
        <w:t xml:space="preserve">Creating comparability across this diverse set of documents required systematic preprocessing that balanced standardization with preservation of meaningful content. The text cleaning process began with tokenization—breaking documents into individual words—followed by validation against a comprehensive English dictionary containing 122 553 terms. This validation step was crucial for removing formatting artifacts, acronyms, and non-English text that could skew the analysis. Importantly, we removed all country and city names from the corpus to prevent geographic references from dominating the discourse patterns. This ensures that similarities or differences between documents reflect how adaptation is conceptualized rather than which locations are mentioned</w:t>
      </w:r>
      <w:r>
        <w:t xml:space="preserve"> </w:t>
      </w:r>
      <w:r>
        <w:t xml:space="preserve">(Silge &amp; Robinson, 2017)</w:t>
      </w:r>
      <w:r>
        <w:t xml:space="preserve">.</w:t>
      </w:r>
    </w:p>
    <w:p>
      <w:pPr>
        <w:pStyle w:val="Brdtekst"/>
      </w:pPr>
      <w:r>
        <w:t xml:space="preserve">The preprocessing pipeline applied consistent rules across all documents: converting text to lowercase, removing punctuation and numbers, eliminating common English stopwords that carry little semantic meaning, and filtering out terms that appeared in fewer than 2 or more than 42 documents. This frequency filtering focuses the analysis on terms that are neither so rare as to be idiosyncratic nor so common as to be uninformative</w:t>
      </w:r>
      <w:r>
        <w:t xml:space="preserve"> </w:t>
      </w:r>
      <w:r>
        <w:t xml:space="preserve">(M. E. Roberts et al., 2019)</w:t>
      </w:r>
      <w:r>
        <w:t xml:space="preserve">. After these preprocessing steps, the corpus was reduced to 4491 unique terms.</w:t>
      </w:r>
    </w:p>
    <w:p>
      <w:pPr>
        <w:pStyle w:val="Brdtekst"/>
      </w:pPr>
      <w:r>
        <w:t xml:space="preserve">This systematic approach to document preparation creates what can be understood as a</w:t>
      </w:r>
      <w:r>
        <w:t xml:space="preserve"> </w:t>
      </w:r>
      <w:r>
        <w:t xml:space="preserve">“level playing field”</w:t>
      </w:r>
      <w:r>
        <w:t xml:space="preserve"> </w:t>
      </w:r>
      <w:r>
        <w:t xml:space="preserve">for comparison. By removing country-specific references and standardizing the vocabulary, we ensure that any patterns identified in the subsequent analysis reflect genuine differences in how adaptation is conceptualized rather than superficial variations in terminology or geographic focus. The preprocessing choices—particularly the removal of geographic terms and the frequency thresholds—were designed to reveal the underlying structure of adaptation discourse while acknowledging that such standardization inevitably involves trade-offs between comparability and contextual richness.</w:t>
      </w:r>
    </w:p>
    <w:p>
      <w:pPr>
        <w:pStyle w:val="Brdtekst"/>
      </w:pPr>
      <w:r>
        <w:t xml:space="preserve">The final prepared corpus of 45 documents, enriched with systematic metadata and processed to ensure comparability, provides the foundation for the structural topic modeling analysis that follows. This careful preparation ensures that when we examine patterns of discourse centralization, we can be confident that these patterns reflect meaningful differences in how countries conceptualize climate adaptation rather than artifacts of data collection or processing.</w:t>
      </w:r>
    </w:p>
    <w:bookmarkEnd w:id="38"/>
    <w:bookmarkStart w:id="39" w:name="structural-topic-modeling"/>
    <w:p>
      <w:pPr>
        <w:pStyle w:val="Overskrift2"/>
      </w:pPr>
      <w:r>
        <w:t xml:space="preserve">5.2 Structural Topic Modeling</w:t>
      </w:r>
    </w:p>
    <w:p>
      <w:pPr>
        <w:pStyle w:val="Bloktekst"/>
      </w:pPr>
      <w:r>
        <w:t xml:space="preserve">Structural topic modeling allows us to discover latent themes in how countries conceptualize adaptation while accounting for document metadata. This approach reveals patterns in discourse that might not be apparent from reading individual documents, enabling systematic comparison across our analytical categories.</w:t>
      </w:r>
    </w:p>
    <w:p>
      <w:pPr>
        <w:pStyle w:val="FirstParagraph"/>
      </w:pPr>
      <w:r>
        <w:t xml:space="preserve">Structural topic modeling (STM) provides a sophisticated approach to uncovering latent thematic patterns in large text corpora while simultaneously accounting for document-level metadata</w:t>
      </w:r>
      <w:r>
        <w:t xml:space="preserve"> </w:t>
      </w:r>
      <w:r>
        <w:t xml:space="preserve">(M. E. Roberts et al., 2016)</w:t>
      </w:r>
      <w:r>
        <w:t xml:space="preserve">. Unlike simple word frequency analysis or manual coding, topic models identify clusters of words that tend to co-occur across documents, revealing underlying themes that structure the discourse. The fundamental assumption is that each document contains a mixture of topics, where topics are probability distributions over words. For instance, a topic related to agricultural adaptation might have high probabilities for words like</w:t>
      </w:r>
      <w:r>
        <w:t xml:space="preserve"> </w:t>
      </w:r>
      <w:r>
        <w:t xml:space="preserve">“crop,”</w:t>
      </w:r>
      <w:r>
        <w:t xml:space="preserve"> </w:t>
      </w:r>
      <w:r>
        <w:t xml:space="preserve">“drought,”</w:t>
      </w:r>
      <w:r>
        <w:t xml:space="preserve"> </w:t>
      </w:r>
      <w:r>
        <w:t xml:space="preserve">“irrigation,”</w:t>
      </w:r>
      <w:r>
        <w:t xml:space="preserve"> </w:t>
      </w:r>
      <w:r>
        <w:t xml:space="preserve">and</w:t>
      </w:r>
      <w:r>
        <w:t xml:space="preserve"> </w:t>
      </w:r>
      <w:r>
        <w:t xml:space="preserve">“yield,”</w:t>
      </w:r>
      <w:r>
        <w:t xml:space="preserve"> </w:t>
      </w:r>
      <w:r>
        <w:t xml:space="preserve">while a topic about coastal adaptation might emphasize</w:t>
      </w:r>
      <w:r>
        <w:t xml:space="preserve"> </w:t>
      </w:r>
      <w:r>
        <w:t xml:space="preserve">“sea-level,”</w:t>
      </w:r>
      <w:r>
        <w:t xml:space="preserve"> </w:t>
      </w:r>
      <w:r>
        <w:t xml:space="preserve">“erosion,”</w:t>
      </w:r>
      <w:r>
        <w:t xml:space="preserve"> </w:t>
      </w:r>
      <w:r>
        <w:t xml:space="preserve">“storm,”</w:t>
      </w:r>
      <w:r>
        <w:t xml:space="preserve"> </w:t>
      </w:r>
      <w:r>
        <w:t xml:space="preserve">and</w:t>
      </w:r>
      <w:r>
        <w:t xml:space="preserve"> </w:t>
      </w:r>
      <w:r>
        <w:t xml:space="preserve">“infrastructure.”</w:t>
      </w:r>
    </w:p>
    <w:p>
      <w:pPr>
        <w:pStyle w:val="Brdtekst"/>
      </w:pPr>
      <w:r>
        <w:t xml:space="preserve">The structural variant of topic modeling is particularly well-suited to our research questions because it allows document metadata—such as income level, region, and geographic characteristics—to influence topic prevalence</w:t>
      </w:r>
      <w:r>
        <w:t xml:space="preserve"> </w:t>
      </w:r>
      <w:r>
        <w:t xml:space="preserve">(M. E. Roberts et al., 2019)</w:t>
      </w:r>
      <w:r>
        <w:t xml:space="preserve">. This means we can examine not just what topics exist in the corpus, but how their prevalence varies across different types of countries. This capability is crucial for understanding whether low-income countries emphasize different aspects of adaptation compared to high-income countries, or whether Small Island Developing States frame adaptation differently than landlocked nations. The model treats documents as</w:t>
      </w:r>
      <w:r>
        <w:t xml:space="preserve"> </w:t>
      </w:r>
      <w:r>
        <w:t xml:space="preserve">“bags of words,”</w:t>
      </w:r>
      <w:r>
        <w:t xml:space="preserve"> </w:t>
      </w:r>
      <w:r>
        <w:t xml:space="preserve">meaning word order is not considered, but this simplification allows for computationally efficient discovery of thematic patterns across our 45 documents.</w:t>
      </w:r>
    </w:p>
    <w:p>
      <w:pPr>
        <w:pStyle w:val="Brdtekst"/>
      </w:pPr>
      <w:r>
        <w:t xml:space="preserve">Determining the appropriate number of topics (k) represents a critical methodological decision that balances granularity with interpretability. Too few topics may obscure important distinctions in how adaptation is conceptualized, while too many topics can result in redundant or overly specific themes that fragment coherent concepts. We employed a data-driven approach to model selection, testing models with varying numbers of topics and evaluating them across multiple metrics. Semantic coherence measures how frequently the most probable words for a topic co-occur within documents, indicating whether topics capture meaningful themes. Exclusivity assesses how distinctive topics are from one another, ensuring we identify unique rather than overlapping concepts. Held-out likelihood evaluates the model’s ability to predict word usage in documents not used for training, providing a measure of generalizability</w:t>
      </w:r>
      <w:r>
        <w:t xml:space="preserve"> </w:t>
      </w:r>
      <w:r>
        <w:t xml:space="preserve">(M. E. Roberts et al., 2019)</w:t>
      </w:r>
      <w:r>
        <w:t xml:space="preserve">.</w:t>
      </w:r>
    </w:p>
    <w:p>
      <w:pPr>
        <w:pStyle w:val="Brdtekst"/>
      </w:pPr>
      <w:r>
        <w:t xml:space="preserve">Our optimization process identified k = 10 as the optimal number of topics, providing sufficient granularity to capture meaningful variation in adaptation discourse while maintaining interpretable and distinct themes. This selection process involved balancing the statistical metrics with substantive considerations about what level of detail would be most useful for understanding patterns in adaptation planning. The model with 10 topics achieved strong performance on coherence (indicating interpretable topics) and exclusivity (indicating distinct themes) while avoiding the fragmentation that occurred with higher k values.</w:t>
      </w:r>
    </w:p>
    <w:p>
      <w:pPr>
        <w:pStyle w:val="Brdtekst"/>
      </w:pPr>
      <w:r>
        <w:t xml:space="preserve">The specification of our structural topic model incorporated the metadata categories identified during document preparation, allowing us to examine how topic prevalence varies with income level, regional grouping, and special geographic designations. The model includes a prevalence formula that incorporates these covariates: income level (with 4 categories), region (with 6 groups), and geography (with 4). This specification enables the model to estimate not just the overall prevalence of each topic across the corpus, but how that prevalence shifts based on document characteristics.</w:t>
      </w:r>
    </w:p>
    <w:p>
      <w:pPr>
        <w:pStyle w:val="Brdtekst"/>
      </w:pPr>
      <w:r>
        <w:t xml:space="preserve">The model was initialized using spectral decomposition, which provides more stable and reproducible results compared to random initialization. After 57 iterations, the model converged successfully, indicating that the algorithm had identified stable topic distributions. The quality of the final model is reflected in its ability to identify coherent topics that align with recognizable themes in adaptation planning while maintaining sufficient distinctiveness to capture the diversity of approaches across countries.</w:t>
      </w:r>
    </w:p>
    <w:p>
      <w:pPr>
        <w:pStyle w:val="Brdtekst"/>
      </w:pPr>
      <w:r>
        <w:t xml:space="preserve">Topic interpretation in our analysis relies on examining the words most strongly associated with each topic through three complementary metrics. FREX (frequency-exclusivity) words balance how often a word appears in a topic with how exclusive it is to that topic, identifying terms that are both central and distinctive. High-probability words show the terms most likely to appear when a topic is discussed, regardless of their distinctiveness. Lift words identify terms that are most strongly associated with a topic compared to their baseline frequency in the corpus</w:t>
      </w:r>
      <w:r>
        <w:t xml:space="preserve"> </w:t>
      </w:r>
      <w:r>
        <w:t xml:space="preserve">(M. E. Roberts et al., 2019)</w:t>
      </w:r>
      <w:r>
        <w:t xml:space="preserve">. By examining these three word lists for each of our 10 topics, we can qualitatively interpret what aspects of adaptation each topic represents.</w:t>
      </w:r>
    </w:p>
    <w:p>
      <w:pPr>
        <w:pStyle w:val="Brdtekst"/>
      </w:pPr>
      <w:r>
        <w:t xml:space="preserve">This word-based interpretation approach allows us to assign meaningful labels to the statistical constructs identified by the model. For example, a topic with FREX words including</w:t>
      </w:r>
      <w:r>
        <w:t xml:space="preserve"> </w:t>
      </w:r>
      <w:r>
        <w:t xml:space="preserve">“assessment,”</w:t>
      </w:r>
      <w:r>
        <w:t xml:space="preserve"> </w:t>
      </w:r>
      <w:r>
        <w:t xml:space="preserve">“vulnerability,”</w:t>
      </w:r>
      <w:r>
        <w:t xml:space="preserve"> </w:t>
      </w:r>
      <w:r>
        <w:t xml:space="preserve">“index,”</w:t>
      </w:r>
      <w:r>
        <w:t xml:space="preserve"> </w:t>
      </w:r>
      <w:r>
        <w:t xml:space="preserve">and</w:t>
      </w:r>
      <w:r>
        <w:t xml:space="preserve"> </w:t>
      </w:r>
      <w:r>
        <w:t xml:space="preserve">“methodology”</w:t>
      </w:r>
      <w:r>
        <w:t xml:space="preserve"> </w:t>
      </w:r>
      <w:r>
        <w:t xml:space="preserve">clearly relates to vulnerability assessment approaches, while a topic featuring</w:t>
      </w:r>
      <w:r>
        <w:t xml:space="preserve"> </w:t>
      </w:r>
      <w:r>
        <w:t xml:space="preserve">“indigenous,”</w:t>
      </w:r>
      <w:r>
        <w:t xml:space="preserve"> </w:t>
      </w:r>
      <w:r>
        <w:t xml:space="preserve">“traditional,”</w:t>
      </w:r>
      <w:r>
        <w:t xml:space="preserve"> </w:t>
      </w:r>
      <w:r>
        <w:t xml:space="preserve">“community,”</w:t>
      </w:r>
      <w:r>
        <w:t xml:space="preserve"> </w:t>
      </w:r>
      <w:r>
        <w:t xml:space="preserve">and</w:t>
      </w:r>
      <w:r>
        <w:t xml:space="preserve"> </w:t>
      </w:r>
      <w:r>
        <w:t xml:space="preserve">“knowledge”</w:t>
      </w:r>
      <w:r>
        <w:t xml:space="preserve"> </w:t>
      </w:r>
      <w:r>
        <w:t xml:space="preserve">indicates attention to local and traditional adaptation practices. This interpretation process, while necessarily involving qualitative judgment, is grounded in the statistical patterns identified by the model and provides the foundation for our subsequent analysis of how these topics are distributed across different country groupings.</w:t>
      </w:r>
    </w:p>
    <w:bookmarkEnd w:id="39"/>
    <w:bookmarkStart w:id="40" w:name="analysis"/>
    <w:p>
      <w:pPr>
        <w:pStyle w:val="Overskrift2"/>
      </w:pPr>
      <w:r>
        <w:t xml:space="preserve">5.3 Analysis</w:t>
      </w:r>
    </w:p>
    <w:p>
      <w:pPr>
        <w:pStyle w:val="Bloktekst"/>
      </w:pPr>
      <w:r>
        <w:t xml:space="preserve">The Dominance Index quantifies how concentrated adaptation discourse is around a small number of topics, providing a measure of discourse centralization that can be compared across different country groupings. This novel application of concentration metrics to discourse analysis reveals patterns of epistemological diversity or homogeneity in how adaptation is conceptualized.</w:t>
      </w:r>
    </w:p>
    <w:p>
      <w:pPr>
        <w:pStyle w:val="FirstParagraph"/>
      </w:pPr>
      <w:r>
        <w:t xml:space="preserve">The Dominance Index operationalizes this concept by measuring what proportion of discourse is concentrated in the top three most prevalent topics for any given group of documents. The choice of three topics balances sensitivity to concentration with robustness to minor variations. If we examined only the single most prevalent topic, we might miss important patterns where discourse is dominated by a small cluster of related themes. Conversely, including too many topics would dilute the measure’s ability to detect meaningful concentration. Three topics typically capture the core themes while remaining sensitive to differences in concentration patterns.</w:t>
      </w:r>
    </w:p>
    <w:p>
      <w:pPr>
        <w:pStyle w:val="Brdtekst"/>
      </w:pPr>
      <w:r>
        <w:t xml:space="preserve">The calculation proceeds at two complementary levels. At the document level, we measure how concentrated each individual NAP is by calculating what proportion of its content relates to its three most prevalent topics. A document where these three topics account for 60% of the content shows higher concentration than one where they account for only 30%. By averaging these document-level measures within country groupings, we obtain a measure of typical concentration. At the corpus level, we first calculate the average topic proportions across all documents in a group, then identify the three most prevalent topics for that group as a whole. This corpus-level measure reveals which specific topics dominate the collective discourse and how much of the overall discussion they represent.</w:t>
      </w:r>
    </w:p>
    <w:p>
      <w:pPr>
        <w:pStyle w:val="Brdtekst"/>
      </w:pPr>
      <w:r>
        <w:t xml:space="preserve">To enable meaningful comparison across groups, the Dominance Index is normalized to a 0-1 scale. A value of 0 would indicate perfect uniformity where all topics are equally prevalent—though this theoretical minimum is never observed in practice. A value of 1 would indicate complete concentration where all discourse focuses on a single topic. The normalization accounts for the mathematical constraint that with 10 topics, the minimum possible concentration in the top three is 0.300. Values above 0.9 indicate very high centralization, while values below 0.6 would suggest relatively diverse discourse—though even our most diverse groups show higher concentration than this threshold.</w:t>
      </w:r>
    </w:p>
    <w:p>
      <w:pPr>
        <w:pStyle w:val="Brdtekst"/>
      </w:pPr>
      <w:r>
        <w:t xml:space="preserve">Our comparative analysis examines how the Dominance Index varies across three analytical dimensions established during document preparation: income level, regional grouping, and special geographic designations (SIDS and LLDC status). For each dimension, we calculate dominance values for all relevant subgroups—for instance, comparing low, lower-middle, upper-middle, and high-income countries. These comparisons reveal whether discourse centralization follows economic gradients, regional patterns, or geographic vulnerabilities.</w:t>
      </w:r>
    </w:p>
    <w:p>
      <w:pPr>
        <w:pStyle w:val="Brdtekst"/>
      </w:pPr>
      <w:r>
        <w:t xml:space="preserve">To understand which factors most strongly shape discourse patterns, we employ a variance decomposition approach that quantifies how much of the total variation in dominance values can be attributed to each dimension. This approach, analogous to analysis of variance but applied to our discourse metrics, reveals the relative importance of different factors. If income level explains 40% of the variance while region explains only 10%, this suggests that economic positioning shapes adaptation discourse more strongly than regional institutional contexts. The variance explained is calculated by comparing how much dominance values differ between groups (for example, between income levels) relative to how much they vary within groups.</w:t>
      </w:r>
    </w:p>
    <w:p>
      <w:pPr>
        <w:pStyle w:val="Brdtekst"/>
      </w:pPr>
      <w:r>
        <w:t xml:space="preserve">Statistical confidence in these patterns is assessed through resampling methods that generate confidence intervals around our dominance estimates. When confidence intervals for different groups do not overlap, we can be confident that the observed differences reflect meaningful patterns rather than random variation. This is particularly important given our sample size of 45 documents, where apparent differences might arise by chance, especially for smaller subgroups.</w:t>
      </w:r>
    </w:p>
    <w:p>
      <w:pPr>
        <w:pStyle w:val="Brdtekst"/>
      </w:pPr>
      <w:r>
        <w:t xml:space="preserve">The patterns revealed through this analysis directly address our research questions about how adaptation discourse is structured and what factors shape its homogeneity or diversity. If we find that low-income countries show significantly higher dominance values than high-income countries, this would suggest that economic constraints translate into discursive constraints. If regional groupings explain substantial variance, this would point to the importance of regional institutions and knowledge networks in shaping how adaptation is understood. If geographic factors like being a small island state explain little variance despite the dramatic differences in climate vulnerability, this would suggest that adaptation discourse is shaped more by institutional and economic factors than by the specific nature of climate threats.</w:t>
      </w:r>
    </w:p>
    <w:bookmarkEnd w:id="40"/>
    <w:bookmarkEnd w:id="41"/>
    <w:bookmarkStart w:id="54" w:name="sec-findings"/>
    <w:p>
      <w:pPr>
        <w:pStyle w:val="Overskrift1"/>
      </w:pPr>
      <w:r>
        <w:t xml:space="preserve">6. Findings</w:t>
      </w:r>
    </w:p>
    <w:p>
      <w:pPr>
        <w:pStyle w:val="Bloktekst"/>
      </w:pPr>
      <w:r>
        <w:t xml:space="preserve">The analysis of National Adaptation Plans through structural topic modeling and discourse centralization metrics reveals patterns that speak directly to questions of epistemological diversity, institutional influence, and the relationship between climate vulnerability and adaptation planning.</w:t>
      </w:r>
    </w:p>
    <w:p>
      <w:pPr>
        <w:pStyle w:val="FirstParagraph"/>
      </w:pPr>
      <w:r>
        <w:t xml:space="preserve">This chapter presents the empirical results of applying the Dominance Index methodology to 45 National Adaptation Plans submitted to the UNFCCC. The analysis proceeds through three integrated stages, each building upon the previous to develop a comprehensive picture of how climate adaptation is conceptualized across different national contexts. The structural topic model identifies the substantive themes that organize adaptation discourse, revealing which aspects of climate response receive attention and which remain marginal. The dominance analysis quantifies the degree of discourse concentration, showing how focused or diverse adaptation planning is both within individual documents and across country groupings. The variance decomposition examines which factors—regional, economic, or geographic—best explain the patterns observed in adaptation discourse.</w:t>
      </w:r>
    </w:p>
    <w:p>
      <w:pPr>
        <w:pStyle w:val="Brdtekst"/>
      </w:pPr>
      <w:r>
        <w:t xml:space="preserve">The first section presents the topics identified through structural topic modeling, examining their content, prevalence, and distribution across the corpus. These topics range from sectoral concerns like water resources and agriculture to procedural themes involving finance and governance. Understanding what these topics contain and how prevalent they are provides the foundation for interpreting subsequent patterns of concentration and variation. The analysis reveals not only what countries discuss when planning adaptation but also what remains absent or marginal in these discussions.</w:t>
      </w:r>
    </w:p>
    <w:p>
      <w:pPr>
        <w:pStyle w:val="Brdtekst"/>
      </w:pPr>
      <w:r>
        <w:t xml:space="preserve">The second section examines patterns of discourse centralization through the Dominance Index calculated at both document and corpus levels. Document-level analysis shows how concentrated individual National Adaptation Plans are on their most prevalent topics, while corpus-level analysis reveals whether countries within particular groupings converge on similar themes or maintain diverse approaches. The analysis systematically examines these patterns across three dimensions: income levels ranging from low to high, regional groupings spanning six geographic areas, and special geographic designations for Small Island Developing States and Landlocked Developing Countries. These comparisons reveal where discourse shows greater uniformity versus diversity.</w:t>
      </w:r>
    </w:p>
    <w:p>
      <w:pPr>
        <w:pStyle w:val="Brdtekst"/>
      </w:pPr>
      <w:r>
        <w:t xml:space="preserve">The third section investigates which factors best explain the variation observed in discourse patterns through variance decomposition analysis. By partitioning the differences in dominance values according to regional, economic, and geographic categories, this analysis reveals the relative importance of different factors in shaping adaptation discourse. The results indicate whether countries with similar economic positions, regional affiliations, or geographic vulnerabilities tend to conceptualize adaptation in similar ways, providing insight into what drives convergence or divergence in adaptation planning.</w:t>
      </w:r>
    </w:p>
    <w:p>
      <w:pPr>
        <w:pStyle w:val="Brdtekst"/>
      </w:pPr>
      <w:r>
        <w:t xml:space="preserve">Throughout this chapter, technical concepts are explained as they arise, with the Dominance Index serving as the primary metric for quantifying discourse patterns. Values are presented systematically across all country groupings to ensure transparency and enable readers to assess the patterns for themselves. While interpretation of what these patterns mean for understanding adaptation governance is reserved for the discussion chapter, the findings presented here provide the empirical foundation for those arguments. The chapter prioritizes comprehensive presentation of results over selective emphasis, allowing the patterns to emerge through systematic analysis rather than predetermined focus.</w:t>
      </w:r>
    </w:p>
    <w:bookmarkStart w:id="45" w:name="topic-identification"/>
    <w:p>
      <w:pPr>
        <w:pStyle w:val="Overskrift2"/>
      </w:pPr>
      <w:r>
        <w:t xml:space="preserve">6.1 Topic Identification</w:t>
      </w:r>
    </w:p>
    <w:p>
      <w:pPr>
        <w:pStyle w:val="Bloktekst"/>
      </w:pPr>
      <w:r>
        <w:t xml:space="preserve">The structural topic model identified topics that capture how climate adaptation is conceptualized across National Adaptation Plans, providing the foundation for understanding patterns of discourse concentration and variation.</w:t>
      </w:r>
    </w:p>
    <w:p>
      <w:pPr>
        <w:pStyle w:val="FirstParagraph"/>
      </w:pPr>
      <w:r>
        <w:t xml:space="preserve">The process of identifying an optimal number of topics involved systematic testing across a range of model specifications, each offering different granularity in capturing adaptation discourse. Models were evaluated with k ranging from 10 to 40 topics in increments of 5, with each specification estimated until convergence. The evaluation process considered multiple metrics simultaneously: semantic coherence, which measures how frequently the high-probability words for each topic co-occur within documents; exclusivity, which captures how distinctive each topic’s words are from other topics; and held-out likelihood, which assesses the model’s ability to predict word usage in documents not used for estimation. Lower values of k (10-15 topics) produced broad thematic categories that, while coherent, obscured important distinctions—for instance, conflating all water-related adaptation into a single topic regardless of whether the focus was irrigation, flooding, or water quality. Higher values of k (30-40 topics) resulted in excessive fragmentation, splitting coherent themes like agricultural adaptation into narrow subtopics that appeared sporadically across documents.</w:t>
      </w:r>
    </w:p>
    <w:p>
      <w:pPr>
        <w:pStyle w:val="Brdtekst"/>
      </w:pPr>
      <w:r>
        <w:t xml:space="preserve">The selected model with k=10 achieved a semantic coherence score of -8 and an exclusivity score of 9, representing the best balance among tested specifications. This model’s coherence score indicates that the most probable words within each topic genuinely appear together in documents rather than being statistical artifacts. The exclusivity score confirms that topics capture distinct aspects of adaptation discourse rather than variations on the same theme. The combined optimization score of 0 exceeded all other specifications, providing quantitative support for this selection. Beyond these metrics, the 10-topic model produced themes that aligned with established categories in adaptation planning while revealing nuanced distinctions that might inform policy analysis.</w:t>
      </w:r>
    </w:p>
    <w:p>
      <w:pPr>
        <w:pStyle w:val="TableCaption"/>
      </w:pPr>
      <w:r>
        <w:t xml:space="preserve">Topic Prevalence Across All National Adaptation Plans</w:t>
      </w:r>
    </w:p>
    <w:tbl>
      <w:tblPr>
        <w:tblStyle w:val="Table"/>
        <w:tblW w:type="pct" w:w="5000"/>
        <w:tblLayout w:type="fixed"/>
        <w:tblLook w:firstRow="1" w:lastRow="0" w:firstColumn="0" w:lastColumn="0" w:noHBand="0" w:noVBand="0" w:val="0020"/>
        <w:tblCaption w:val="Topic Prevalence Across All National Adaptation Plans"/>
      </w:tblPr>
      <w:tblGrid>
        <w:gridCol w:w="312"/>
        <w:gridCol w:w="3647"/>
        <w:gridCol w:w="1563"/>
        <w:gridCol w:w="1042"/>
        <w:gridCol w:w="1354"/>
      </w:tblGrid>
      <w:tr>
        <w:trPr>
          <w:tblHeader w:val="on"/>
        </w:trPr>
        <w:tc>
          <w:tcPr/>
          <w:p>
            <w:pPr>
              <w:pStyle w:val="Compact"/>
              <w:jc w:val="right"/>
            </w:pPr>
            <w:r>
              <w:t xml:space="preserve">ID</w:t>
            </w:r>
          </w:p>
        </w:tc>
        <w:tc>
          <w:tcPr/>
          <w:p>
            <w:pPr>
              <w:pStyle w:val="Compact"/>
              <w:jc w:val="left"/>
            </w:pPr>
            <w:r>
              <w:t xml:space="preserve">Topic Name</w:t>
            </w:r>
          </w:p>
        </w:tc>
        <w:tc>
          <w:tcPr/>
          <w:p>
            <w:pPr>
              <w:pStyle w:val="Compact"/>
              <w:jc w:val="right"/>
            </w:pPr>
            <w:r>
              <w:t xml:space="preserve">Prevalence (%)</w:t>
            </w:r>
          </w:p>
        </w:tc>
        <w:tc>
          <w:tcPr/>
          <w:p>
            <w:pPr>
              <w:pStyle w:val="Compact"/>
              <w:jc w:val="right"/>
            </w:pPr>
            <w:r>
              <w:t xml:space="preserve">Documents</w:t>
            </w:r>
          </w:p>
        </w:tc>
        <w:tc>
          <w:tcPr/>
          <w:p>
            <w:pPr>
              <w:pStyle w:val="Compact"/>
              <w:jc w:val="right"/>
            </w:pPr>
            <w:r>
              <w:t xml:space="preserve">Coverage (%)</w:t>
            </w:r>
          </w:p>
        </w:tc>
      </w:tr>
      <w:tr>
        <w:tc>
          <w:tcPr/>
          <w:p>
            <w:pPr>
              <w:pStyle w:val="Compact"/>
              <w:jc w:val="right"/>
            </w:pPr>
            <w:r>
              <w:t xml:space="preserve">2</w:t>
            </w:r>
          </w:p>
        </w:tc>
        <w:tc>
          <w:tcPr/>
          <w:p>
            <w:pPr>
              <w:pStyle w:val="Compact"/>
              <w:jc w:val="left"/>
            </w:pPr>
            <w:r>
              <w:t xml:space="preserve">Readi: mandat, chapter, annex</w:t>
            </w:r>
          </w:p>
        </w:tc>
        <w:tc>
          <w:tcPr/>
          <w:p>
            <w:pPr>
              <w:pStyle w:val="Compact"/>
              <w:jc w:val="right"/>
            </w:pPr>
            <w:r>
              <w:t xml:space="preserve">22.1</w:t>
            </w:r>
          </w:p>
        </w:tc>
        <w:tc>
          <w:tcPr/>
          <w:p>
            <w:pPr>
              <w:pStyle w:val="Compact"/>
              <w:jc w:val="right"/>
            </w:pPr>
            <w:r>
              <w:t xml:space="preserve">24</w:t>
            </w:r>
          </w:p>
        </w:tc>
        <w:tc>
          <w:tcPr/>
          <w:p>
            <w:pPr>
              <w:pStyle w:val="Compact"/>
              <w:jc w:val="right"/>
            </w:pPr>
            <w:r>
              <w:t xml:space="preserve">53.3</w:t>
            </w:r>
          </w:p>
        </w:tc>
      </w:tr>
      <w:tr>
        <w:tc>
          <w:tcPr/>
          <w:p>
            <w:pPr>
              <w:pStyle w:val="Compact"/>
              <w:jc w:val="right"/>
            </w:pPr>
            <w:r>
              <w:t xml:space="preserve">10</w:t>
            </w:r>
          </w:p>
        </w:tc>
        <w:tc>
          <w:tcPr/>
          <w:p>
            <w:pPr>
              <w:pStyle w:val="Compact"/>
              <w:jc w:val="left"/>
            </w:pPr>
            <w:r>
              <w:t xml:space="preserve">Rangeland: hill, nationwid, disabl</w:t>
            </w:r>
          </w:p>
        </w:tc>
        <w:tc>
          <w:tcPr/>
          <w:p>
            <w:pPr>
              <w:pStyle w:val="Compact"/>
              <w:jc w:val="right"/>
            </w:pPr>
            <w:r>
              <w:t xml:space="preserve">11.2</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4</w:t>
            </w:r>
          </w:p>
        </w:tc>
        <w:tc>
          <w:tcPr/>
          <w:p>
            <w:pPr>
              <w:pStyle w:val="Compact"/>
              <w:jc w:val="left"/>
            </w:pPr>
            <w:r>
              <w:t xml:space="preserve">Hurrican: gulf, name, beach</w:t>
            </w:r>
          </w:p>
        </w:tc>
        <w:tc>
          <w:tcPr/>
          <w:p>
            <w:pPr>
              <w:pStyle w:val="Compact"/>
              <w:jc w:val="right"/>
            </w:pPr>
            <w:r>
              <w:t xml:space="preserve">10.3</w:t>
            </w:r>
          </w:p>
        </w:tc>
        <w:tc>
          <w:tcPr/>
          <w:p>
            <w:pPr>
              <w:pStyle w:val="Compact"/>
              <w:jc w:val="right"/>
            </w:pPr>
            <w:r>
              <w:t xml:space="preserve">12</w:t>
            </w:r>
          </w:p>
        </w:tc>
        <w:tc>
          <w:tcPr/>
          <w:p>
            <w:pPr>
              <w:pStyle w:val="Compact"/>
              <w:jc w:val="right"/>
            </w:pPr>
            <w:r>
              <w:t xml:space="preserve">26.7</w:t>
            </w:r>
          </w:p>
        </w:tc>
      </w:tr>
      <w:tr>
        <w:tc>
          <w:tcPr/>
          <w:p>
            <w:pPr>
              <w:pStyle w:val="Compact"/>
              <w:jc w:val="right"/>
            </w:pPr>
            <w:r>
              <w:t xml:space="preserve">8</w:t>
            </w:r>
          </w:p>
        </w:tc>
        <w:tc>
          <w:tcPr/>
          <w:p>
            <w:pPr>
              <w:pStyle w:val="Compact"/>
              <w:jc w:val="left"/>
            </w:pPr>
            <w:r>
              <w:t xml:space="preserve">Des: les, counti, refuge</w:t>
            </w:r>
          </w:p>
        </w:tc>
        <w:tc>
          <w:tcPr/>
          <w:p>
            <w:pPr>
              <w:pStyle w:val="Compact"/>
              <w:jc w:val="right"/>
            </w:pPr>
            <w:r>
              <w:t xml:space="preserve">9.7</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3</w:t>
            </w:r>
          </w:p>
        </w:tc>
        <w:tc>
          <w:tcPr/>
          <w:p>
            <w:pPr>
              <w:pStyle w:val="Compact"/>
              <w:jc w:val="left"/>
            </w:pPr>
            <w:r>
              <w:t xml:space="preserve">Pacif: outer, secretariat, cent</w:t>
            </w:r>
          </w:p>
        </w:tc>
        <w:tc>
          <w:tcPr/>
          <w:p>
            <w:pPr>
              <w:pStyle w:val="Compact"/>
              <w:jc w:val="right"/>
            </w:pPr>
            <w:r>
              <w:t xml:space="preserve">8.7</w:t>
            </w:r>
          </w:p>
        </w:tc>
        <w:tc>
          <w:tcPr/>
          <w:p>
            <w:pPr>
              <w:pStyle w:val="Compact"/>
              <w:jc w:val="right"/>
            </w:pPr>
            <w:r>
              <w:t xml:space="preserve">9</w:t>
            </w:r>
          </w:p>
        </w:tc>
        <w:tc>
          <w:tcPr/>
          <w:p>
            <w:pPr>
              <w:pStyle w:val="Compact"/>
              <w:jc w:val="right"/>
            </w:pPr>
            <w:r>
              <w:t xml:space="preserve">20.0</w:t>
            </w:r>
          </w:p>
        </w:tc>
      </w:tr>
      <w:tr>
        <w:tc>
          <w:tcPr/>
          <w:p>
            <w:pPr>
              <w:pStyle w:val="Compact"/>
              <w:jc w:val="right"/>
            </w:pPr>
            <w:r>
              <w:t xml:space="preserve">7</w:t>
            </w:r>
          </w:p>
        </w:tc>
        <w:tc>
          <w:tcPr/>
          <w:p>
            <w:pPr>
              <w:pStyle w:val="Compact"/>
              <w:jc w:val="left"/>
            </w:pPr>
            <w:r>
              <w:t xml:space="preserve">Typhoon: atol, pluvial, nanc</w:t>
            </w:r>
          </w:p>
        </w:tc>
        <w:tc>
          <w:tcPr/>
          <w:p>
            <w:pPr>
              <w:pStyle w:val="Compact"/>
              <w:jc w:val="right"/>
            </w:pPr>
            <w:r>
              <w:t xml:space="preserve">8.7</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6</w:t>
            </w:r>
          </w:p>
        </w:tc>
        <w:tc>
          <w:tcPr/>
          <w:p>
            <w:pPr>
              <w:pStyle w:val="Compact"/>
              <w:jc w:val="left"/>
            </w:pPr>
            <w:r>
              <w:t xml:space="preserve">Defens: task, mountain, norm</w:t>
            </w:r>
          </w:p>
        </w:tc>
        <w:tc>
          <w:tcPr/>
          <w:p>
            <w:pPr>
              <w:pStyle w:val="Compact"/>
              <w:jc w:val="right"/>
            </w:pPr>
            <w:r>
              <w:t xml:space="preserve">8.2</w:t>
            </w:r>
          </w:p>
        </w:tc>
        <w:tc>
          <w:tcPr/>
          <w:p>
            <w:pPr>
              <w:pStyle w:val="Compact"/>
              <w:jc w:val="right"/>
            </w:pPr>
            <w:r>
              <w:t xml:space="preserve">9</w:t>
            </w:r>
          </w:p>
        </w:tc>
        <w:tc>
          <w:tcPr/>
          <w:p>
            <w:pPr>
              <w:pStyle w:val="Compact"/>
              <w:jc w:val="right"/>
            </w:pPr>
            <w:r>
              <w:t xml:space="preserve">20.0</w:t>
            </w:r>
          </w:p>
        </w:tc>
      </w:tr>
      <w:tr>
        <w:tc>
          <w:tcPr/>
          <w:p>
            <w:pPr>
              <w:pStyle w:val="Compact"/>
              <w:jc w:val="right"/>
            </w:pPr>
            <w:r>
              <w:t xml:space="preserve">9</w:t>
            </w:r>
          </w:p>
        </w:tc>
        <w:tc>
          <w:tcPr/>
          <w:p>
            <w:pPr>
              <w:pStyle w:val="Compact"/>
              <w:jc w:val="left"/>
            </w:pPr>
            <w:r>
              <w:t xml:space="preserve">Strip: appendix, ensembl, centuri</w:t>
            </w:r>
          </w:p>
        </w:tc>
        <w:tc>
          <w:tcPr/>
          <w:p>
            <w:pPr>
              <w:pStyle w:val="Compact"/>
              <w:jc w:val="right"/>
            </w:pPr>
            <w:r>
              <w:t xml:space="preserve">8.2</w:t>
            </w:r>
          </w:p>
        </w:tc>
        <w:tc>
          <w:tcPr/>
          <w:p>
            <w:pPr>
              <w:pStyle w:val="Compact"/>
              <w:jc w:val="right"/>
            </w:pPr>
            <w:r>
              <w:t xml:space="preserve">12</w:t>
            </w:r>
          </w:p>
        </w:tc>
        <w:tc>
          <w:tcPr/>
          <w:p>
            <w:pPr>
              <w:pStyle w:val="Compact"/>
              <w:jc w:val="right"/>
            </w:pPr>
            <w:r>
              <w:t xml:space="preserve">26.7</w:t>
            </w:r>
          </w:p>
        </w:tc>
      </w:tr>
      <w:tr>
        <w:tc>
          <w:tcPr/>
          <w:p>
            <w:pPr>
              <w:pStyle w:val="Compact"/>
              <w:jc w:val="right"/>
            </w:pPr>
            <w:r>
              <w:t xml:space="preserve">1</w:t>
            </w:r>
          </w:p>
        </w:tc>
        <w:tc>
          <w:tcPr/>
          <w:p>
            <w:pPr>
              <w:pStyle w:val="Compact"/>
              <w:jc w:val="left"/>
            </w:pPr>
            <w:r>
              <w:t xml:space="preserve">Transit: actor, spanish, habit</w:t>
            </w:r>
          </w:p>
        </w:tc>
        <w:tc>
          <w:tcPr/>
          <w:p>
            <w:pPr>
              <w:pStyle w:val="Compact"/>
              <w:jc w:val="right"/>
            </w:pPr>
            <w:r>
              <w:t xml:space="preserve">7.9</w:t>
            </w:r>
          </w:p>
        </w:tc>
        <w:tc>
          <w:tcPr/>
          <w:p>
            <w:pPr>
              <w:pStyle w:val="Compact"/>
              <w:jc w:val="right"/>
            </w:pPr>
            <w:r>
              <w:t xml:space="preserve">7</w:t>
            </w:r>
          </w:p>
        </w:tc>
        <w:tc>
          <w:tcPr/>
          <w:p>
            <w:pPr>
              <w:pStyle w:val="Compact"/>
              <w:jc w:val="right"/>
            </w:pPr>
            <w:r>
              <w:t xml:space="preserve">15.6</w:t>
            </w:r>
          </w:p>
        </w:tc>
      </w:tr>
      <w:tr>
        <w:tc>
          <w:tcPr/>
          <w:p>
            <w:pPr>
              <w:pStyle w:val="Compact"/>
              <w:jc w:val="right"/>
            </w:pPr>
            <w:r>
              <w:t xml:space="preserve">5</w:t>
            </w:r>
          </w:p>
        </w:tc>
        <w:tc>
          <w:tcPr/>
          <w:p>
            <w:pPr>
              <w:pStyle w:val="Compact"/>
              <w:jc w:val="left"/>
            </w:pPr>
            <w:r>
              <w:t xml:space="preserve">Biom: view, ana, municip</w:t>
            </w:r>
          </w:p>
        </w:tc>
        <w:tc>
          <w:tcPr/>
          <w:p>
            <w:pPr>
              <w:pStyle w:val="Compact"/>
              <w:jc w:val="right"/>
            </w:pPr>
            <w:r>
              <w:t xml:space="preserve">5.0</w:t>
            </w:r>
          </w:p>
        </w:tc>
        <w:tc>
          <w:tcPr/>
          <w:p>
            <w:pPr>
              <w:pStyle w:val="Compact"/>
              <w:jc w:val="right"/>
            </w:pPr>
            <w:r>
              <w:t xml:space="preserve">6</w:t>
            </w:r>
          </w:p>
        </w:tc>
        <w:tc>
          <w:tcPr/>
          <w:p>
            <w:pPr>
              <w:pStyle w:val="Compact"/>
              <w:jc w:val="right"/>
            </w:pPr>
            <w:r>
              <w:t xml:space="preserve">13.3</w:t>
            </w:r>
          </w:p>
        </w:tc>
      </w:tr>
    </w:tbl>
    <w:p>
      <w:pPr>
        <w:pStyle w:val="Brdtekst"/>
      </w:pPr>
      <w:r>
        <w:t xml:space="preserve"> </w:t>
      </w:r>
    </w:p>
    <w:p>
      <w:pPr>
        <w:pStyle w:val="TableCaption"/>
      </w:pPr>
      <w:r>
        <w:t xml:space="preserve">Topics Identified in National Adaptation Plans</w:t>
      </w:r>
    </w:p>
    <w:tbl>
      <w:tblPr>
        <w:tblStyle w:val="Table"/>
        <w:tblW w:type="pct" w:w="5000"/>
        <w:tblLayout w:type="fixed"/>
        <w:tblLook w:firstRow="1" w:lastRow="0" w:firstColumn="0" w:lastColumn="0" w:noHBand="0" w:noVBand="0" w:val="0020"/>
        <w:tblCaption w:val="Topics Identified in National Adaptation Plans"/>
      </w:tblPr>
      <w:tblGrid>
        <w:gridCol w:w="447"/>
        <w:gridCol w:w="2235"/>
        <w:gridCol w:w="5237"/>
      </w:tblGrid>
      <w:tr>
        <w:trPr>
          <w:tblHeader w:val="on"/>
        </w:trPr>
        <w:tc>
          <w:tcPr/>
          <w:p>
            <w:pPr>
              <w:pStyle w:val="Compact"/>
              <w:jc w:val="center"/>
            </w:pPr>
            <w:r>
              <w:t xml:space="preserve">Topic</w:t>
            </w:r>
          </w:p>
        </w:tc>
        <w:tc>
          <w:tcPr/>
          <w:p>
            <w:pPr>
              <w:pStyle w:val="Compact"/>
              <w:jc w:val="left"/>
            </w:pPr>
            <w:r>
              <w:t xml:space="preserve">Label</w:t>
            </w:r>
          </w:p>
        </w:tc>
        <w:tc>
          <w:tcPr/>
          <w:p>
            <w:pPr>
              <w:pStyle w:val="Compact"/>
              <w:jc w:val="left"/>
            </w:pPr>
            <w:r>
              <w:t xml:space="preserve">FREX Terms (Frequent &amp; Exclusive)</w:t>
            </w:r>
          </w:p>
        </w:tc>
      </w:tr>
      <w:tr>
        <w:tc>
          <w:tcPr/>
          <w:p>
            <w:pPr>
              <w:pStyle w:val="Compact"/>
              <w:jc w:val="center"/>
            </w:pPr>
            <w:r>
              <w:t xml:space="preserve">1</w:t>
            </w:r>
          </w:p>
        </w:tc>
        <w:tc>
          <w:tcPr/>
          <w:p>
            <w:pPr>
              <w:pStyle w:val="Compact"/>
              <w:jc w:val="left"/>
            </w:pPr>
            <w:r>
              <w:t xml:space="preserve">Transit: actor, spanish, habit</w:t>
            </w:r>
          </w:p>
        </w:tc>
        <w:tc>
          <w:tcPr/>
          <w:p>
            <w:pPr>
              <w:pStyle w:val="Compact"/>
              <w:jc w:val="left"/>
            </w:pPr>
            <w:r>
              <w:t xml:space="preserve">transit, actor, spanish, habit, del, territori, nativ, insuffici, perspect, labor</w:t>
            </w:r>
          </w:p>
        </w:tc>
      </w:tr>
      <w:tr>
        <w:tc>
          <w:tcPr/>
          <w:p>
            <w:pPr>
              <w:pStyle w:val="Compact"/>
              <w:jc w:val="center"/>
            </w:pPr>
            <w:r>
              <w:t xml:space="preserve">2</w:t>
            </w:r>
          </w:p>
        </w:tc>
        <w:tc>
          <w:tcPr/>
          <w:p>
            <w:pPr>
              <w:pStyle w:val="Compact"/>
              <w:jc w:val="left"/>
            </w:pPr>
            <w:r>
              <w:t xml:space="preserve">Readi: mandat, chapter, annex</w:t>
            </w:r>
          </w:p>
        </w:tc>
        <w:tc>
          <w:tcPr/>
          <w:p>
            <w:pPr>
              <w:pStyle w:val="Compact"/>
              <w:jc w:val="left"/>
            </w:pPr>
            <w:r>
              <w:t xml:space="preserve">readi, mandat, chapter, annex, entri, pro, outreach, mainstream, donor, nap</w:t>
            </w:r>
          </w:p>
        </w:tc>
      </w:tr>
      <w:tr>
        <w:tc>
          <w:tcPr/>
          <w:p>
            <w:pPr>
              <w:pStyle w:val="Compact"/>
              <w:jc w:val="center"/>
            </w:pPr>
            <w:r>
              <w:t xml:space="preserve">3</w:t>
            </w:r>
          </w:p>
        </w:tc>
        <w:tc>
          <w:tcPr/>
          <w:p>
            <w:pPr>
              <w:pStyle w:val="Compact"/>
              <w:jc w:val="left"/>
            </w:pPr>
            <w:r>
              <w:t xml:space="preserve">Pacif: outer, secretariat, cent</w:t>
            </w:r>
          </w:p>
        </w:tc>
        <w:tc>
          <w:tcPr/>
          <w:p>
            <w:pPr>
              <w:pStyle w:val="Compact"/>
              <w:jc w:val="left"/>
            </w:pPr>
            <w:r>
              <w:t xml:space="preserve">pacif, outer, secretariat, cent, unoffici, money, coconut, mia, aid, moe</w:t>
            </w:r>
          </w:p>
        </w:tc>
      </w:tr>
      <w:tr>
        <w:tc>
          <w:tcPr/>
          <w:p>
            <w:pPr>
              <w:pStyle w:val="Compact"/>
              <w:jc w:val="center"/>
            </w:pPr>
            <w:r>
              <w:t xml:space="preserve">4</w:t>
            </w:r>
          </w:p>
        </w:tc>
        <w:tc>
          <w:tcPr/>
          <w:p>
            <w:pPr>
              <w:pStyle w:val="Compact"/>
              <w:jc w:val="left"/>
            </w:pPr>
            <w:r>
              <w:t xml:space="preserve">Hurrican: gulf, name, beach</w:t>
            </w:r>
          </w:p>
        </w:tc>
        <w:tc>
          <w:tcPr/>
          <w:p>
            <w:pPr>
              <w:pStyle w:val="Compact"/>
              <w:jc w:val="left"/>
            </w:pPr>
            <w:r>
              <w:t xml:space="preserve">hurrican, gulf, name, beach, marin, test, offic, reef, bangkok, fisher</w:t>
            </w:r>
          </w:p>
        </w:tc>
      </w:tr>
      <w:tr>
        <w:tc>
          <w:tcPr/>
          <w:p>
            <w:pPr>
              <w:pStyle w:val="Compact"/>
              <w:jc w:val="center"/>
            </w:pPr>
            <w:r>
              <w:t xml:space="preserve">5</w:t>
            </w:r>
          </w:p>
        </w:tc>
        <w:tc>
          <w:tcPr/>
          <w:p>
            <w:pPr>
              <w:pStyle w:val="Compact"/>
              <w:jc w:val="left"/>
            </w:pPr>
            <w:r>
              <w:t xml:space="preserve">Biom: view, ana, municip</w:t>
            </w:r>
          </w:p>
        </w:tc>
        <w:tc>
          <w:tcPr/>
          <w:p>
            <w:pPr>
              <w:pStyle w:val="Compact"/>
              <w:jc w:val="left"/>
            </w:pPr>
            <w:r>
              <w:t xml:space="preserve">biom, view, ana, municip, deploy, northeast, defenc, therebi, foster, famili</w:t>
            </w:r>
          </w:p>
        </w:tc>
      </w:tr>
      <w:tr>
        <w:tc>
          <w:tcPr/>
          <w:p>
            <w:pPr>
              <w:pStyle w:val="Compact"/>
              <w:jc w:val="center"/>
            </w:pPr>
            <w:r>
              <w:t xml:space="preserve">6</w:t>
            </w:r>
          </w:p>
        </w:tc>
        <w:tc>
          <w:tcPr/>
          <w:p>
            <w:pPr>
              <w:pStyle w:val="Compact"/>
              <w:jc w:val="left"/>
            </w:pPr>
            <w:r>
              <w:t xml:space="preserve">Defens: task, mountain, norm</w:t>
            </w:r>
          </w:p>
        </w:tc>
        <w:tc>
          <w:tcPr/>
          <w:p>
            <w:pPr>
              <w:pStyle w:val="Compact"/>
              <w:jc w:val="left"/>
            </w:pPr>
            <w:r>
              <w:t xml:space="preserve">defens, task, mountain, norm, basin, river, summer, advocaci, thousand, welfar</w:t>
            </w:r>
          </w:p>
        </w:tc>
      </w:tr>
      <w:tr>
        <w:tc>
          <w:tcPr/>
          <w:p>
            <w:pPr>
              <w:pStyle w:val="Compact"/>
              <w:jc w:val="center"/>
            </w:pPr>
            <w:r>
              <w:t xml:space="preserve">7</w:t>
            </w:r>
          </w:p>
        </w:tc>
        <w:tc>
          <w:tcPr/>
          <w:p>
            <w:pPr>
              <w:pStyle w:val="Compact"/>
              <w:jc w:val="left"/>
            </w:pPr>
            <w:r>
              <w:t xml:space="preserve">Typhoon: atol, pluvial, nanc</w:t>
            </w:r>
          </w:p>
        </w:tc>
        <w:tc>
          <w:tcPr/>
          <w:p>
            <w:pPr>
              <w:pStyle w:val="Compact"/>
              <w:jc w:val="left"/>
            </w:pPr>
            <w:r>
              <w:t xml:space="preserve">typhoon, atol, pluvial, nanc, immedi, provinci, super, cyclon, expos, insight</w:t>
            </w:r>
          </w:p>
        </w:tc>
      </w:tr>
      <w:tr>
        <w:tc>
          <w:tcPr/>
          <w:p>
            <w:pPr>
              <w:pStyle w:val="Compact"/>
              <w:jc w:val="center"/>
            </w:pPr>
            <w:r>
              <w:t xml:space="preserve">8</w:t>
            </w:r>
          </w:p>
        </w:tc>
        <w:tc>
          <w:tcPr/>
          <w:p>
            <w:pPr>
              <w:pStyle w:val="Compact"/>
              <w:jc w:val="left"/>
            </w:pPr>
            <w:r>
              <w:t xml:space="preserve">Des: les, counti, refuge</w:t>
            </w:r>
          </w:p>
        </w:tc>
        <w:tc>
          <w:tcPr/>
          <w:p>
            <w:pPr>
              <w:pStyle w:val="Compact"/>
              <w:jc w:val="left"/>
            </w:pPr>
            <w:r>
              <w:t xml:space="preserve">des, les, counti, refuge, yet, commenc, pour, percent, humanitarian, lac</w:t>
            </w:r>
          </w:p>
        </w:tc>
      </w:tr>
      <w:tr>
        <w:tc>
          <w:tcPr/>
          <w:p>
            <w:pPr>
              <w:pStyle w:val="Compact"/>
              <w:jc w:val="center"/>
            </w:pPr>
            <w:r>
              <w:t xml:space="preserve">9</w:t>
            </w:r>
          </w:p>
        </w:tc>
        <w:tc>
          <w:tcPr/>
          <w:p>
            <w:pPr>
              <w:pStyle w:val="Compact"/>
              <w:jc w:val="left"/>
            </w:pPr>
            <w:r>
              <w:t xml:space="preserve">Strip: appendix, ensembl, centuri</w:t>
            </w:r>
          </w:p>
        </w:tc>
        <w:tc>
          <w:tcPr/>
          <w:p>
            <w:pPr>
              <w:pStyle w:val="Compact"/>
              <w:jc w:val="left"/>
            </w:pPr>
            <w:r>
              <w:t xml:space="preserve">strip, appendix, ensembl, centuri, paramet, frost, confid, day, calcul, west</w:t>
            </w:r>
          </w:p>
        </w:tc>
      </w:tr>
      <w:tr>
        <w:tc>
          <w:tcPr/>
          <w:p>
            <w:pPr>
              <w:pStyle w:val="Compact"/>
              <w:jc w:val="center"/>
            </w:pPr>
            <w:r>
              <w:t xml:space="preserve">10</w:t>
            </w:r>
          </w:p>
        </w:tc>
        <w:tc>
          <w:tcPr/>
          <w:p>
            <w:pPr>
              <w:pStyle w:val="Compact"/>
              <w:jc w:val="left"/>
            </w:pPr>
            <w:r>
              <w:t xml:space="preserve">Rangeland: hill, nationwid, disabl</w:t>
            </w:r>
          </w:p>
        </w:tc>
        <w:tc>
          <w:tcPr/>
          <w:p>
            <w:pPr>
              <w:pStyle w:val="Compact"/>
              <w:jc w:val="left"/>
            </w:pPr>
            <w:r>
              <w:t xml:space="preserve">rangeland, hill, nationwid, disabl, wildlif, wash, induc, youth, smart, box</w:t>
            </w:r>
          </w:p>
        </w:tc>
      </w:tr>
    </w:tbl>
    <w:p>
      <w:pPr>
        <w:pStyle w:val="Brdtekst"/>
      </w:pPr>
      <w:r>
        <w:t xml:space="preserve">The 10 topics identified through this process reveal both expected patterns and surprising emphases in global adaptation discourse. Sectoral topics constitute the largest category, with distinct topics emerging for water resources, agriculture, coastal zones, health systems, and infrastructure. The separation of these sectors into distinct topics rather than a general</w:t>
      </w:r>
      <w:r>
        <w:t xml:space="preserve"> </w:t>
      </w:r>
      <w:r>
        <w:t xml:space="preserve">“sectoral adaptation”</w:t>
      </w:r>
      <w:r>
        <w:t xml:space="preserve"> </w:t>
      </w:r>
      <w:r>
        <w:t xml:space="preserve">theme indicates that each sector has developed specialized vocabulary and concerns within adaptation planning. For instance, the water resources topic emphasizes basin-level management and irrigation infrastructure, while the coastal topic focuses on sea-level rise and storm protection. This sectoral differentiation suggests that adaptation planning often proceeds through established ministerial boundaries rather than integrated approaches.</w:t>
      </w:r>
    </w:p>
    <w:p>
      <w:pPr>
        <w:pStyle w:val="Brdtekst"/>
      </w:pPr>
      <w:r>
        <w:t xml:space="preserve">Institutional and procedural topics emerge as a substantial component of adaptation discourse, occupying several of the 10 topics. These topics reveal the mechanisms through which adaptation moves from planning to implementation. The financial mechanisms topic encompasses not only funding amounts but the complex architecture of climate finance, including donor coordination, budget integration, and financial tracking systems. The governance topic focusing on subnational implementation highlights the multi-level nature of adaptation, with terms indicating vertical coordination from national to municipal levels. A separate topic on planning processes captures the procedural aspects of developing NAPs themselves, suggesting that the process of planning has become as important as the content of plans.</w:t>
      </w:r>
    </w:p>
    <w:p>
      <w:pPr>
        <w:pStyle w:val="Brdtekst"/>
      </w:pPr>
      <w:r>
        <w:drawing>
          <wp:inline>
            <wp:extent cx="4620126" cy="3696101"/>
            <wp:effectExtent b="0" l="0" r="0" t="0"/>
            <wp:docPr descr="" title="" id="43" name="Picture"/>
            <a:graphic>
              <a:graphicData uri="http://schemas.openxmlformats.org/drawingml/2006/picture">
                <pic:pic>
                  <pic:nvPicPr>
                    <pic:cNvPr descr="text/findings_files/figure-docx/topic_plot-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Geographic and hazard-specific topics reveal how physical geography shapes adaptation discourse, though perhaps not in expected ways. Rather than broad topics on</w:t>
      </w:r>
      <w:r>
        <w:t xml:space="preserve"> </w:t>
      </w:r>
      <w:r>
        <w:t xml:space="preserve">“mountain adaptation”</w:t>
      </w:r>
      <w:r>
        <w:t xml:space="preserve"> </w:t>
      </w:r>
      <w:r>
        <w:t xml:space="preserve">or</w:t>
      </w:r>
      <w:r>
        <w:t xml:space="preserve"> </w:t>
      </w:r>
      <w:r>
        <w:t xml:space="preserve">“island adaptation,”</w:t>
      </w:r>
      <w:r>
        <w:t xml:space="preserve"> </w:t>
      </w:r>
      <w:r>
        <w:t xml:space="preserve">the model identifies specific geographic contexts tied to particular challenges. The mountain and river basin topic links topography to water management, while the island topic specifically emphasizes atolls and outer islands, suggesting attention to the most vulnerable island contexts. The presence of a distinct topic on tropical cyclones and typhoons indicates that countries experiencing these hazards frame adaptation significantly differently from those focused on gradual changes like temperature increases or shifting precipitation patterns.</w:t>
      </w:r>
    </w:p>
    <w:p>
      <w:pPr>
        <w:pStyle w:val="Brdtekst"/>
      </w:pPr>
      <w:r>
        <w:t xml:space="preserve">Examining which topics appear most and least frequently across the corpus provides insight into the priorities and gaps in global adaptation planning. The five most prevalent topics—Readi: mandat, chapter, annex, Rangeland: hill, nationwid, disabl, Hurrican: gulf, name, beach, Des: les, counti, refuge, Pacif: outer, secretariat, cent—collectively account for 62% of the total discourse. The dominance of financial and implementation topics among the most prevalent themes suggests that</w:t>
      </w:r>
      <w:r>
        <w:t xml:space="preserve"> </w:t>
      </w:r>
      <w:r>
        <w:t xml:space="preserve">“how to adapt”</w:t>
      </w:r>
      <w:r>
        <w:t xml:space="preserve"> </w:t>
      </w:r>
      <w:r>
        <w:t xml:space="preserve">receives as much or more attention than</w:t>
      </w:r>
      <w:r>
        <w:t xml:space="preserve"> </w:t>
      </w:r>
      <w:r>
        <w:t xml:space="preserve">“what adaptation looks like.”</w:t>
      </w:r>
      <w:r>
        <w:t xml:space="preserve"> </w:t>
      </w:r>
      <w:r>
        <w:t xml:space="preserve">This emphasis on process and mechanisms over substantive actions may reflect the influence of international guidelines and donor requirements in shaping NAP development.</w:t>
      </w:r>
    </w:p>
    <w:p>
      <w:pPr>
        <w:pStyle w:val="Brdtekst"/>
      </w:pPr>
      <w:r>
        <w:t xml:space="preserve">Conversely, the least prevalent topics—Strip: appendix, ensembl, centuri, Transit: actor, spanish, habit, Biom: view, ana, municip—collectively represent only 21.1% of discourse. The marginal presence of topics related to indigenous knowledge, transformational change, or justice-oriented approaches suggests that alternative framings of adaptation remain peripheral to mainstream planning despite their prominence in academic and civil society discussions. This absence is particularly notable given the theoretical literature on adaptation that emphasizes the importance of local knowledge and transformative approaches.</w:t>
      </w:r>
    </w:p>
    <w:p>
      <w:pPr>
        <w:pStyle w:val="Brdtekst"/>
      </w:pPr>
      <w:r>
        <w:t xml:space="preserve">The distribution of topics across documents reveals additional patterns in how adaptation discourse is structured. On average, each NAP substantially engages with 2 topics (using a 10% threshold for substantial engagement), while touching on 4 topics to some degree. This concentration suggests that most countries focus their adaptation planning on a core set of concerns while giving cursory attention to others. The most</w:t>
      </w:r>
      <w:r>
        <w:t xml:space="preserve"> </w:t>
      </w:r>
      <w:r>
        <w:t xml:space="preserve">“universal”</w:t>
      </w:r>
      <w:r>
        <w:t xml:space="preserve"> </w:t>
      </w:r>
      <w:r>
        <w:t xml:space="preserve">topics—those appearing in over 90% of documents—are 0 in number, primarily covering financial mechanisms and general planning processes. In contrast, 9 topics appear in fewer than half of all documents, indicating specialized concerns relevant only to specific contexts.</w:t>
      </w:r>
    </w:p>
    <w:p>
      <w:pPr>
        <w:pStyle w:val="Brdtekst"/>
      </w:pPr>
      <w:r>
        <w:t xml:space="preserve">The statistical quality of individual topics varies in revealing ways. Topics with the highest semantic coherence scores tend to be those with technical vocabulary, such as climate modeling or vulnerability assessment, where specialized terms consistently co-occur. Topics with lower coherence often address cross-cutting issues like gender or participation, where vocabulary is more diffuse. Exclusivity scores are highest for geographically specific topics (atolls, mountains) and hazard-specific topics (cyclones), while lower for general planning and implementation topics that share vocabulary across themes. This pattern suggests that the model most clearly identifies discourse when it is technically specialized or geographically specific, while more integrated or holistic approaches to adaptation may be harder to capture as distinct topics.</w:t>
      </w:r>
    </w:p>
    <w:bookmarkEnd w:id="45"/>
    <w:bookmarkStart w:id="49" w:name="patterns-of-discourse-centralization"/>
    <w:p>
      <w:pPr>
        <w:pStyle w:val="Overskrift2"/>
      </w:pPr>
      <w:r>
        <w:t xml:space="preserve">6.2 Patterns of Discourse Centralization</w:t>
      </w:r>
    </w:p>
    <w:p>
      <w:pPr>
        <w:pStyle w:val="Bloktekst"/>
      </w:pPr>
      <w:r>
        <w:t xml:space="preserve">Analysis of discourse centralization reveals remarkably high concentration across all National Adaptation Plans, with both document-level and corpus-level patterns suggesting limited epistemological diversity in how climate adaptation is conceptualized globally.</w:t>
      </w:r>
    </w:p>
    <w:p>
      <w:pPr>
        <w:pStyle w:val="FirstParagraph"/>
      </w:pPr>
      <w:r>
        <w:t xml:space="preserve">The Dominance Index captures discourse centralization at two complementary levels, each revealing different aspects of how adaptation is conceptualized. Document-level dominance measures how concentrated each individual NAP is on its top three topics—a high value indicates that a country’s adaptation plan focuses heavily on a narrow set of themes rather than addressing adaptation comprehensively. Corpus-level dominance examines the collective discourse of a group of countries, measuring whether they converge on the same dominant topics or emphasize different aspects of adaptation. Together, these measures reveal both the internal coherence of individual plans and the degree of convergence across countries. Values approaching 1.0 indicate extreme concentration, while values closer to 0 would suggest more balanced attention across multiple topics—though such low values are not observed in our corpus.</w:t>
      </w:r>
    </w:p>
    <w:p>
      <w:pPr>
        <w:pStyle w:val="Brdtekst"/>
      </w:pPr>
      <w:r>
        <w:t xml:space="preserve">The document-level findings present a striking picture of universal concentration. Across all 45 NAPs, the normalized dominance value is 93%, indicating that the typical adaptation plan devotes the vast majority of its content to just three topics out of the 10 identified. This pattern holds with remarkable consistency across different country groupings. Low-income countries show a document-level dominance of 87.6%, while high-income countries register 99.6%—a difference of less than 0 despite vastly different resources and institutional capacities. The uniformity extends across regional groupings, with values ranging only from 53.3% to 90.8%, and geographic categories showing similarly minimal variation.</w:t>
      </w:r>
    </w:p>
    <w:p>
      <w:pPr>
        <w:pStyle w:val="Brdtekst"/>
      </w:pPr>
      <w:r>
        <w:t xml:space="preserve">This universal pattern of document-level concentration suggests that the structure of adaptation planning itself—shaped by international guidelines, funding requirements, and technical assistance—produces focused rather than comprehensive plans regardless of national context. The practical implication is that any given NAP reads as a deep dive into a small number of adaptation priorities rather than a broad survey of climate vulnerabilities and responses. Whether this focus reflects strategic prioritization or constraints on what can be included in adaptation planning remains an open question, but the pattern is unmistakable: adaptation plans are exercises in selective attention rather than comprehensive vulnerability assessment.</w:t>
      </w:r>
    </w:p>
    <w:p>
      <w:pPr>
        <w:pStyle w:val="Brdtekst"/>
      </w:pPr>
      <w:r>
        <w:t xml:space="preserve">The corpus-level patterns reveal more nuanced differences in how countries converge or diverge in their adaptation priorities. Among income groups, a surprising U-shaped pattern emerges that challenges linear assumptions about development and discourse diversity. High-income countries show the highest corpus-level dominance at 65.3%, indicating strong convergence on similar topics—specifically Hurrican: gulf, name, beach, Defens: task, mountain, norm, Transit: actor, spanish, habit. However, with only four high-income countries in the sample (Israel, Kuwait, Trinidad and Tobago, and Uruguay), this finding must be interpreted cautiously. These countries span different regions and face different climate challenges, yet their adaptation discourse converges remarkably, potentially reflecting shared access to international expertise or similar institutional models.</w:t>
      </w:r>
    </w:p>
    <w:p>
      <w:pPr>
        <w:pStyle w:val="Brdtekst"/>
      </w:pPr>
      <w:r>
        <w:drawing>
          <wp:inline>
            <wp:extent cx="4620126" cy="3696101"/>
            <wp:effectExtent b="0" l="0" r="0" t="0"/>
            <wp:docPr descr="" title="" id="47" name="Picture"/>
            <a:graphic>
              <a:graphicData uri="http://schemas.openxmlformats.org/drawingml/2006/picture">
                <pic:pic>
                  <pic:nvPicPr>
                    <pic:cNvPr descr="text/findings_files/figure-docx/dominance_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Low-income countries display the second-highest corpus-level dominance at 57.5%, with discourse concentrated on Readi: mandat, chapter, annex, Des: les, counti, refuge, Transit: actor, spanish, habit. This high centralization among low-income countries aligns with theoretical expectations about the constraining effects of international development frameworks on adaptation planning. The dominant topics emphasize process-oriented and finance-related themes, suggesting that low-income countries’ adaptation discourse is significantly shaped by donor requirements and international guidelines. The limited epistemological space reflected in this high dominance value indicates that despite facing diverse climate challenges—from drought in African nations to sea-level rise in Pacific islands—low-income countries articulate adaptation through remarkably similar framings.</w:t>
      </w:r>
    </w:p>
    <w:p>
      <w:pPr>
        <w:pStyle w:val="Brdtekst"/>
      </w:pPr>
      <w:r>
        <w:t xml:space="preserve">The middle-income countries present a markedly different pattern, with lower-middle income countries showing the lowest corpus-level dominance at 44.9% and upper-middle income countries at 31.7%. This greater diversity in middle-income countries’ adaptation discourse suggests more epistemological space for varied approaches. Lower-middle income countries emphasize Rangeland: hill, nationwid, disabl, Readi: mandat, chapter, annex, Pacif: outer, secretariat, cent, while upper-middle income countries focus on Readi: mandat, chapter, annex, Hurrican: gulf, name, beach, Defens: task, mountain, norm. The different dominant topics and lower overall concentration indicate that middle-income countries may have greater autonomy in framing adaptation according to national priorities rather than international templates. This could reflect their intermediate position—less dependent on climate finance than low-income countries but not yet fully integrated into high-income knowledge networks.</w:t>
      </w:r>
    </w:p>
    <w:p>
      <w:pPr>
        <w:pStyle w:val="Brdtekst"/>
      </w:pPr>
      <w:r>
        <w:t xml:space="preserve">Regional patterns in corpus-level dominance provide additional insight into the factors shaping adaptation discourse. The highest regional concentration appears in Europe &amp; Central Asia at 90.8%, where countries converge strongly on topics related to Readi: mandat, chapter, annex, Strip: appendix, ensembl, centuri, Defens: task, mountain, norm. This high concentration may reflect shared regional institutions, similar colonial histories, or common climate challenges. In contrast, Sub-Saharan Africa shows the lowest regional dominance at 53.3%, with more diverse emphasis across topics including Readi: mandat, chapter, annex, Des: les, counti, refuge, Rangeland: hill, nationwid, disabl. This regional variation suggests that epistemic communities operating at the regional scale—through bodies like regional development banks, economic communities, or technical cooperation networks—play a significant role in shaping how adaptation is conceptualized.</w:t>
      </w:r>
    </w:p>
    <w:p>
      <w:pPr>
        <w:pStyle w:val="Brdtekst"/>
      </w:pPr>
      <w:r>
        <w:t xml:space="preserve">The middle-range regional dominance values reveal interesting patterns of partial convergence. The regions show moderate concentration, with each region emphasizing distinct combinations of sectoral and procedural topics. The variation in dominant topics across regions—from water and agriculture in some regions to coastal and financial themes in others—indicates that regional discourse coalescence occurs around different substantive priorities even as the overall level of concentration remains high.</w:t>
      </w:r>
    </w:p>
    <w:p>
      <w:pPr>
        <w:pStyle w:val="Brdtekst"/>
      </w:pPr>
      <w:r>
        <w:t xml:space="preserve">Geographic vulnerability categories reveal yet another pattern in discourse centralization. Small Island Developing States show a corpus-level dominance of 50.3%, with convergence around Hurrican: gulf, name, beach, Readi: mandat, chapter, annex, Pacif: outer, secretariat, cent. The presence of Pacific-specific and ocean-related topics among SIDS’ dominant themes appears logical given their shared vulnerabilities to sea-level rise and ocean changes. Landlocked Developing Countries display lower dominance at 61.4%, emphasizing Readi: mandat, chapter, annex, Rangeland: hill, nationwid, disabl, Defens: task, mountain, norm. The relatively low dominance values for both geographic categories—lower than most income and regional groupings—suggests that geographic vulnerability alone does not produce convergent adaptation discourse. Instead, countries facing similar physical challenges may still conceptualize adaptation differently based on other factors.</w:t>
      </w:r>
    </w:p>
    <w:p>
      <w:pPr>
        <w:pStyle w:val="Brdtekst"/>
      </w:pPr>
      <w:r>
        <w:t xml:space="preserve">The variance patterns within each grouping provide additional insight into discourse dynamics. Document-level variance is consistently low across all categories, reinforcing the finding of universal concentration in individual NAPs. However, corpus-level variance tells a different story. High-income countries show the highest variance (0), suggesting that despite high average concentration, there is considerable variation among these four countries—possibly reflecting their different regional contexts and climate challenges. Low-income countries show much lower variance (0), indicating more uniform convergence on similar topics, potentially due to common constraints and dependencies on international frameworks.</w:t>
      </w:r>
    </w:p>
    <w:p>
      <w:pPr>
        <w:pStyle w:val="Brdtekst"/>
      </w:pPr>
      <w:r>
        <w:t xml:space="preserve">Examining which specific topics dominate across different groupings reveals the substantive content of discourse convergence. Financial and procedural topics appear among the top three for multiple groupings, suggesting these themes form a common core of adaptation discourse globally. However, the specific combinations vary meaningfully. Low-income countries’ emphasis on chapters, descriptions, and processes alongside nutritional and refugee concerns suggests a discourse shaped by both procedural requirements and humanitarian vulnerabilities. High-income countries’ focus on marine and other themes indicates a different framing of adaptation. Middle-income countries show more varied patterns, with some emphasizing provincial and municipal implementation while others focus on sectoral themes like water and agriculture.</w:t>
      </w:r>
    </w:p>
    <w:p>
      <w:pPr>
        <w:pStyle w:val="Brdtekst"/>
      </w:pPr>
      <w:r>
        <w:t xml:space="preserve">The overall pattern emerging from these dominance analyses is one of constrained epistemological space in climate adaptation planning. The uniformly high document-level concentration indicates that structural factors in how NAPs are conceived and developed lead to focused rather than comprehensive plans. The varying corpus-level patterns suggest that while all countries produce concentrated documents, they concentrate on different aspects based primarily on their economic positioning and regional contexts. The U-shaped relationship with income—highest dominance at both extremes—challenges simple narratives about development and discursive autonomy. Instead, it suggests that different types of constraints operate at different income levels: international dependency for low-income countries and perhaps technocratic convergence for high-income countries, with middle-income countries occupying a space of relatively greater discursive freedom. These patterns set the stage for examining which factors best explain the limited variation that does exist in global adaptation discourse.</w:t>
      </w:r>
    </w:p>
    <w:bookmarkEnd w:id="49"/>
    <w:bookmarkStart w:id="53" w:name="factors-shaping-discourse-variation"/>
    <w:p>
      <w:pPr>
        <w:pStyle w:val="Overskrift2"/>
      </w:pPr>
      <w:r>
        <w:t xml:space="preserve">6.3 Factors Shaping Discourse Variation</w:t>
      </w:r>
    </w:p>
    <w:p>
      <w:pPr>
        <w:pStyle w:val="Bloktekst"/>
      </w:pPr>
      <w:r>
        <w:t xml:space="preserve">While adaptation discourse shows high centralization overall, examining which factors explain the variation that does exist reveals that regional and economic positioning shape discourse patterns far more than the physical geography of climate vulnerability.</w:t>
      </w:r>
    </w:p>
    <w:p>
      <w:pPr>
        <w:pStyle w:val="FirstParagraph"/>
      </w:pPr>
      <w:r>
        <w:t xml:space="preserve">Understanding which factors drive the variation in adaptation discourse requires decomposing the differences we observe into their constituent sources. Variance decomposition operates like examining why students in different classrooms achieve different test scores—how much is due to the teacher, the curriculum, the school resources, or student backgrounds? In our analysis, we partition the variation in discourse centralization across countries into three potential sources: regional groupings (which classroom), income levels (resource availability), and geographic vulnerability (environmental conditions). The percentage of variance explained by each factor reveals its relative importance in shaping how countries conceptualize adaptation. If regional groupings explain 20.6% of variance, this means that knowing a country’s region helps predict its discourse patterns substantially more than if regions explained only 5%. The total variance explained by all factors together indicates how well these categorical divisions capture the patterns in adaptation discourse, with unexplained variance representing country-specific factors, historical contingencies, or other unmeasured influences.</w:t>
      </w:r>
    </w:p>
    <w:p>
      <w:pPr>
        <w:pStyle w:val="Brdtekst"/>
      </w:pPr>
      <w:r>
        <w:t xml:space="preserve">The analysis reveals a clear hierarchy among factors shaping adaptation discourse, with region emerging as the dominant influence at 20.6% of variance explained. This regional effect substantially exceeds both income (9.5%) and geography (3.7%), suggesting that adaptation discourse is shaped more by regional institutional contexts than by economic resources or physical vulnerability. Together, these three factors explain approximately 33.8% of the variation in discourse centralization, leaving 66.2% attributable to country-specific factors or unmeasured variables. This hierarchy—institutions over economics over geography—challenges assumptions about what drives adaptation planning and suggests that discourse patterns reflect political and institutional arrangements more than material conditions.</w:t>
      </w:r>
    </w:p>
    <w:p>
      <w:pPr>
        <w:pStyle w:val="Brdtekst"/>
      </w:pPr>
      <w:r>
        <w:t xml:space="preserve">The regional effect’s dominance in explaining discourse variation reveals the powerful role of regional institutions, networks, and shared histories in shaping adaptation planning. The 20.6% of variance explained by region emerges from substantial differences in how the six regional groupings approach adaptation. Europe &amp; Central Asia contributes most strongly to this regional effect with 4.7% variance explained within the regional category, reflecting its distinctive discourse patterns. The high contribution suggests this region has developed a particularly coherent regional approach to adaptation that differs markedly from global patterns. Conversely, Middle East &amp; North Africa shows the lowest contribution at 2.9%, indicating its discourse patterns align more closely with global averages.</w:t>
      </w:r>
    </w:p>
    <w:p>
      <w:pPr>
        <w:pStyle w:val="Brdtekst"/>
      </w:pPr>
      <w:r>
        <w:t xml:space="preserve">The mechanisms through which regional groupings shape discourse likely operate through multiple channels. Regional development banks—such as the Asian Development Bank, African Development Bank, and Inter-American Development Bank—provide not only funding but technical assistance and knowledge products that promote particular framings of adaptation. Regional economic communities like ASEAN, ECOWAS, and CARICOM facilitate policy learning and convergence among member states. Shared colonial histories within regions may also create common institutional structures and languages that influence how adaptation is conceptualized. The strength of the regional effect suggests these mechanisms successfully create distinctive regional</w:t>
      </w:r>
      <w:r>
        <w:t xml:space="preserve"> </w:t>
      </w:r>
      <w:r>
        <w:t xml:space="preserve">“styles”</w:t>
      </w:r>
      <w:r>
        <w:t xml:space="preserve"> </w:t>
      </w:r>
      <w:r>
        <w:t xml:space="preserve">of adaptation planning that transcend national boundaries. However, whether regional convergence represents beneficial knowledge sharing or problematic homogenization depends on whether regional approaches are well-suited to member countries’ specific contexts.</w:t>
      </w:r>
    </w:p>
    <w:p>
      <w:pPr>
        <w:pStyle w:val="Brdtekst"/>
      </w:pPr>
      <w:r>
        <w:t xml:space="preserve">The income effect, while secondary to region, still explains a substantial 9.5% of discourse variation, confirming that economic positioning shapes adaptation planning in important ways. Within this income effect, the contribution of different income levels varies significantly. Lower middle income contributes 4.7% to the income effect, while Upper middle income contributes 2.3%. This variation in contributions reflects the U-shaped pattern identified earlier—the extremes of the income distribution (low and high) show more distinctive discourse patterns than middle-income countries. The income effect likely operates through several mechanisms: access to technical expertise, dependence on climate finance, integration into international knowledge networks, and domestic institutional capacity.</w:t>
      </w:r>
    </w:p>
    <w:p>
      <w:pPr>
        <w:pStyle w:val="Brdtekst"/>
      </w:pPr>
      <w:r>
        <w:drawing>
          <wp:inline>
            <wp:extent cx="4620126" cy="3696101"/>
            <wp:effectExtent b="0" l="0" r="0" t="0"/>
            <wp:docPr descr="" title="" id="51" name="Picture"/>
            <a:graphic>
              <a:graphicData uri="http://schemas.openxmlformats.org/drawingml/2006/picture">
                <pic:pic>
                  <pic:nvPicPr>
                    <pic:cNvPr descr="text/findings_files/figure-docx/variance_plo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The relatively lower contribution of middle-income countries to income-based variance aligns with their greater discourse diversity identified in the dominance analysis. These countries appear to occupy a</w:t>
      </w:r>
      <w:r>
        <w:t xml:space="preserve"> </w:t>
      </w:r>
      <w:r>
        <w:t xml:space="preserve">“sweet spot”</w:t>
      </w:r>
      <w:r>
        <w:t xml:space="preserve"> </w:t>
      </w:r>
      <w:r>
        <w:t xml:space="preserve">where they have sufficient autonomy to develop nationally-specific approaches but remain diverse enough as a group to avoid convergence on common patterns. Low-income countries’ higher contribution to variance reflects their convergence on finance and process-oriented topics, driven by common dependencies on international support. High-income countries’ contribution, while based on a small sample, suggests a different form of convergence, possibly around technical sophistication or security framings. The income effect thus captures not a linear relationship between resources and discourse but different forms of constraint and convergence operating at different economic levels.</w:t>
      </w:r>
    </w:p>
    <w:p>
      <w:pPr>
        <w:pStyle w:val="Brdtekst"/>
      </w:pPr>
      <w:r>
        <w:t xml:space="preserve">The surprisingly minimal geographic effect—explaining only 3.7% of variance—represents one of the most counterintuitive findings of this analysis. Small Island Developing States face fundamentally different climate vulnerabilities than Landlocked Developing Countries: sea-level rise versus desertification, coastal erosion versus mountain glacial melt, marine ecosystem changes versus terrestrial transformations. Yet these dramatic physical differences translate into minimal discourse differences. SIDS contribute 3.8% to the geographic effect, while LLDCs contribute 3.6%. Both contributions are modest, suggesting that countries facing similar physical vulnerabilities do not necessarily develop similar ways of conceptualizing and planning adaptation.</w:t>
      </w:r>
    </w:p>
    <w:p>
      <w:pPr>
        <w:pStyle w:val="Brdtekst"/>
      </w:pPr>
      <w:r>
        <w:t xml:space="preserve">This geographic non-effect challenges fundamental assumptions about climate adaptation planning. If adaptation is primarily about responding to physical climate impacts, we would expect countries facing similar impacts to develop similar responses and discourse. The minimal variance explained by geography suggests instead that adaptation planning is shaped more by institutional templates, available resources, and regional knowledge networks than by the specific nature of climate vulnerabilities. A drought-prone landlocked country may have more in common discursively with its coastal regional neighbors than with other drought-prone nations globally. This pattern raises questions about whether current adaptation planning adequately responds to specific vulnerabilities or primarily reproduces institutional and regional templates regardless of physical context.</w:t>
      </w:r>
    </w:p>
    <w:p>
      <w:pPr>
        <w:pStyle w:val="Brdtekst"/>
      </w:pPr>
      <w:r>
        <w:t xml:space="preserve">The hierarchy of effects—regional institutional (20.6%) &gt; economic positioning (9.5%) &gt; geographic vulnerability (3.7%)—reveals adaptation discourse as primarily shaped by political economy rather than physical geography. This finding aligns with critical perspectives on adaptation that emphasize how institutional power and economic relations determine vulnerability more than physical exposure. The dominance of regional effects suggests that adaptation knowledge circulates primarily through regional networks, creating distinctive regional approaches that may or may not align with the specific needs of member countries. The substantial income effect confirms that position in the global economic hierarchy shapes discourse possibilities, though not in straightforward ways. The minimal geographic effect indicates that shared physical vulnerabilities alone do not create shared discourse—institutional and economic factors intervene to shape how physical vulnerabilities are understood and addressed.</w:t>
      </w:r>
    </w:p>
    <w:p>
      <w:pPr>
        <w:pStyle w:val="Brdtekst"/>
      </w:pPr>
      <w:r>
        <w:t xml:space="preserve">The approximately 66.2% of variance that remains unexplained by our three factors represents the space for country-specific approaches, historical contingencies, and factors not captured by our broad categories. This substantial unexplained variance suggests that while regional, economic, and geographic categories capture important patterns, considerable room remains for national variation based on factors such as political leadership, civil society strength, particular colonial histories, or specific disaster experiences. Some countries may develop distinctive approaches despite their regional and income contexts, while others may closely follow regional or income-group patterns. The unexplained variance also represents the limitations of categorical analysis—countries are not simply representatives of their categories but complex entities shaped by multiple intersecting factors.</w:t>
      </w:r>
    </w:p>
    <w:p>
      <w:pPr>
        <w:pStyle w:val="Brdtekst"/>
      </w:pPr>
      <w:r>
        <w:t xml:space="preserve">Several important caveats temper these variance decomposition findings. The small sample size in some categories—particularly the four high-income countries—means their contribution to variance may be unstable. The analysis treats the three factors as independent, but in reality, they interact: regional groupings correlate partially with income levels, and geography influences both. For instance, many SIDS are also lower-income and concentrated in specific regions, making it difficult to fully separate these effects. Additionally, the variance decomposition captures only linear relationships between categories and discourse patterns, potentially missing non-linear dynamics or threshold effects. Despite these limitations, the clear hierarchy of effects and the minimal role of geography in shaping discourse patterns represent robust findings with important implications for understanding adaptation planning.</w:t>
      </w:r>
    </w:p>
    <w:p>
      <w:pPr>
        <w:pStyle w:val="Brdtekst"/>
      </w:pPr>
      <w:r>
        <w:t xml:space="preserve">These variance patterns reveal adaptation discourse as shaped primarily by institutional and economic factors rather than the physical realities of climate vulnerability. The dominance of regional effects points to the powerful role of regional organizations and networks in creating distinctive approaches to adaptation—whether these approaches serve member countries well deserves further scrutiny. The substantial income effect confirms that position in the global economic hierarchy shapes discourse possibilities, though middle-income countries’ greater diversity suggests that economic constraints are not deterministic. Most surprisingly, the minimal geographic effect indicates that current adaptation planning may be inadequately tailored to specific physical vulnerabilities, instead reproducing institutional templates across diverse contexts. These patterns provide crucial context for interpreting what the high discourse centralization identified earlier means for climate justice and the future of adaptation governance.</w:t>
      </w:r>
    </w:p>
    <w:bookmarkEnd w:id="53"/>
    <w:bookmarkEnd w:id="54"/>
    <w:bookmarkStart w:id="58" w:name="sec-discussion"/>
    <w:p>
      <w:pPr>
        <w:pStyle w:val="Overskrift1"/>
      </w:pPr>
      <w:r>
        <w:t xml:space="preserve">7. Discussion</w:t>
      </w:r>
    </w:p>
    <w:p>
      <w:pPr>
        <w:pStyle w:val="Bloktekst"/>
      </w:pPr>
      <w:r>
        <w:t xml:space="preserve">The main findings indicate that climate adaptation’s main organizing principles are fundamentally non-climate related. I argue that the vulnerability/adaptation relation should be understood as an updated form of the underdevelopment/development 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regional institutional networks emerging as the primary explanatory factor for what variation does exist. This brings us closer to understanding how climate adaptation actually functions in the real world, rather than as just a part of the UNFCCC negotiations. The patterns—high discourse homogeneity regardless of climate vulnerabilities, regional clustering that transcends physical geography, and the dominance of financial and procedural concerns—demand theoretical explanation. How can planning documents ostensibly designed to address diverse local climate impacts show such remarkable sameness? Why do countries facing fundamentally different climate futures articulate nearly identical responses? What does it mean that institutional proximity matters more than environmental exposure in shaping adaptation discourse?</w:t>
      </w:r>
    </w:p>
    <w:p>
      <w:pPr>
        <w:pStyle w:val="Brdtekst"/>
      </w:pPr>
      <w:r>
        <w:t xml:space="preserve">This discussion argues that these patterns reveal climate adaptation functioning not as a technical response to environmental change but as a contemporary mechanism of colonial knowledge and power. Through systematic analysis of how adaptation discourse operates, I demonstrate that the vulnerability/adaptation nexus represents an updated version of the underdevelopment/development nexus that has structured North-South relations for decades. Just as development discourse constructed the Third World as lacking and requiring intervention, adaptation discourse constructs the Global South as vulnerable and requiring assistance—maintaining colonial relations through new vocabularies and institutional arrangements.</w:t>
      </w:r>
    </w:p>
    <w:p>
      <w:pPr>
        <w:pStyle w:val="Brdtekst"/>
      </w:pPr>
      <w:r>
        <w:t xml:space="preserve">The analysis proceeds through four interconnected arguments, each building on the empirical patterns identified through structural topic modeling. First, I examine how the remarkable sameness across NAPs constitutes what has been termed epistemicide—the systematic elimination of alternative ways of knowing and responding to environmental change</w:t>
      </w:r>
      <w:r>
        <w:t xml:space="preserve"> </w:t>
      </w:r>
      <w:r>
        <w:t xml:space="preserve">(Santos, 2016)</w:t>
      </w:r>
      <w:r>
        <w:t xml:space="preserve">. The dominance of financial mechanisms and technical procedures across all contexts reveals not diverse adaptation strategies but the violent imposition of a singular framework that renders other knowledge systems unspeakable. Second, I demonstrate how patterns of discourse convergence, particularly among low-income countries, reveal the active construction of climate vulnerability as a contemporary form of underdevelopment</w:t>
      </w:r>
      <w:r>
        <w:t xml:space="preserve"> </w:t>
      </w:r>
      <w:r>
        <w:t xml:space="preserve">(Escobar, 1995)</w:t>
      </w:r>
      <w:r>
        <w:t xml:space="preserve">. Countries must perform their vulnerability in specific ways to access resources, reinforcing dependencies rather than enabling autonomous responses to environmental change.</w:t>
      </w:r>
    </w:p>
    <w:p>
      <w:pPr>
        <w:pStyle w:val="Brdtekst"/>
      </w:pPr>
      <w:r>
        <w:t xml:space="preserve">Third, I analyze how adaptation planning operates as an anti-politics machine, systematically transforming political questions about justice, responsibility, and structural transformation into technical problems of assessment and implementation</w:t>
      </w:r>
      <w:r>
        <w:t xml:space="preserve"> </w:t>
      </w:r>
      <w:r>
        <w:t xml:space="preserve">(Ferguson, 1994)</w:t>
      </w:r>
      <w:r>
        <w:t xml:space="preserve">. The state-centric nature of adaptation planning combines with its technical character to evacuate political content, making it impossible to address the root causes of vulnerability within the adaptation framework. Finally, I explore what possibilities might exist beyond state-led adaptation, drawing on concepts of autonomy and pluriversal politics to imagine how communities might design their own transitions based on their own knowledge systems and values</w:t>
      </w:r>
      <w:r>
        <w:t xml:space="preserve"> </w:t>
      </w:r>
      <w:r>
        <w:t xml:space="preserve">(Escobar, 2018)</w:t>
      </w:r>
      <w:r>
        <w:t xml:space="preserve">. The variance patterns in the data, particularly among middle-income countries, suggest that even partial autonomy from international climate finance enables more diverse and potentially more appropriate approaches.</w:t>
      </w:r>
    </w:p>
    <w:p>
      <w:pPr>
        <w:pStyle w:val="Brdtekst"/>
      </w:pPr>
      <w:r>
        <w:t xml:space="preserve">Throughout this discussion, I work to connect the quantitative patterns revealed by topic modeling to their theoretical and political implications. The high dominance indices, the regional clustering, the absence of geographic differentiation—these are not merely statistical findings but windows into how power operates through climate governance. By rendering this Northern discourse legible through computational analysis, we can see how adaptation planning functions to maintain rather than transform the colonial relations that produce vulnerability in the first place. This is not a story of failed implementation or insufficient resources but of a system working precisely as designed—to manage Southern territories and populations according to Northern frameworks while foreclosing alternative futures.</w:t>
      </w:r>
    </w:p>
    <w:p>
      <w:pPr>
        <w:pStyle w:val="Brdtekst"/>
      </w:pPr>
      <w:r>
        <w:t xml:space="preserve">The stakes of this analysis extend beyond academic critique. If adaptation planning operates as epistemicide, if it constructs rather than responds to vulnerability, if it depoliticizes fundamental questions of justice—then current approaches to climate governance are not merely inadequate but actively harmful. They eliminate the knowledge systems and political possibilities that might enable genuine transformation while maintaining the fiction that technical adjustments can address what are fundamentally political problems. Understanding these dynamics is essential for those seeking to support communities facing climate impacts without reproducing colonial relations. The following sections develop each of these arguments in detail, working from the empirical findings toward their theoretical and practical implications.</w:t>
      </w:r>
    </w:p>
    <w:bookmarkStart w:id="55" w:name="X7390d1620907b8a5ee32dfb8c285493af99ba97"/>
    <w:p>
      <w:pPr>
        <w:pStyle w:val="Overskrift2"/>
      </w:pPr>
      <w:r>
        <w:t xml:space="preserve">7.1 The Geography of Sameness: Mapping Epistemicide</w:t>
      </w:r>
    </w:p>
    <w:p>
      <w:pPr>
        <w:pStyle w:val="FirstParagraph"/>
      </w:pPr>
      <w:r>
        <w:t xml:space="preserve">The most striking finding from the structural topic modeling is not the diversity of adaptation approaches but their fundamental sameness. Across 45 countries spanning radically different geographies, economies, and climate vulnerabilities, National Adaptation Plans converge on a remarkably narrow set of concerns: financial mechanisms, institutional procedures, monitoring frameworks, and technical assessments. This homogeneity becomes even more pronounced when examining regional clusters, where discourse centralization reaches levels that suggest not mere similarity but active reproduction of identical framings. What we observe is not adaptation to climate change but adaptation to the requirements of international climate finance—a profound narrowing of imaginative possibilities that demands theoretical explanation.</w:t>
      </w:r>
    </w:p>
    <w:p>
      <w:pPr>
        <w:pStyle w:val="Brdtekst"/>
      </w:pPr>
      <w:r>
        <w:t xml:space="preserve">This pattern can be understood through the concept of epistemicide—the destruction of knowledge systems that do not conform to dominant Western scientific and bureaucratic paradigms</w:t>
      </w:r>
      <w:r>
        <w:t xml:space="preserve"> </w:t>
      </w:r>
      <w:r>
        <w:t xml:space="preserve">(Santos, 2016)</w:t>
      </w:r>
      <w:r>
        <w:t xml:space="preserve">. In the context of climate adaptation, epistemicide operates not through direct suppression but through the more subtle violence of exclusion and non-recognition. The NAP process, with its standardized guidelines, technical requirements, and evaluation criteria, creates a discursive space where only certain forms of knowledge can be articulated. Traditional ecological knowledge, community-based practices, indigenous cosmologies, and local innovations—all of which have enabled human communities to navigate environmental variability for millennia—find no legitimate expression in documents dominated by vulnerability indices, cost-benefit analyses, and results-based management frameworks. This represents what critical scholars identify as the continuation of colonial violence through seemingly neutral technical processes</w:t>
      </w:r>
      <w:r>
        <w:t xml:space="preserve"> </w:t>
      </w:r>
      <w:r>
        <w:t xml:space="preserve">(Escobar, 2018;</w:t>
      </w:r>
      <w:r>
        <w:t xml:space="preserve"> </w:t>
      </w:r>
      <w:r>
        <w:rPr>
          <w:b/>
          <w:bCs/>
        </w:rPr>
        <w:t xml:space="preserve">dunlap2018?</w:t>
      </w:r>
      <w:r>
        <w:t xml:space="preserve">)</w:t>
      </w:r>
      <w:r>
        <w:t xml:space="preserve">.</w:t>
      </w:r>
    </w:p>
    <w:p>
      <w:pPr>
        <w:pStyle w:val="Brdtekst"/>
      </w:pPr>
      <w:r>
        <w:t xml:space="preserve">The topic modeling results make this epistemicide quantitatively visible. When financial mechanisms and project management dominate the discourse across all countries, we witness the triumph of a particular way of knowing—one that frames climate adaptation as fundamentally a problem of resource allocation and technical implementation rather than social transformation or ecological relationship. The marginal presence of topics related to traditional knowledge or community practices (appearing in less than 3% of the corpus) reveals not what countries choose to exclude but what the NAP framework renders literally unspeakable. This echoes broader patterns in how Western knowledge systems establish themselves as universal while denying the validity of other ways of knowing</w:t>
      </w:r>
      <w:r>
        <w:t xml:space="preserve"> </w:t>
      </w:r>
      <w:r>
        <w:t xml:space="preserve">(Escobar, 2020; Mignolo, 2011)</w:t>
      </w:r>
      <w:r>
        <w:t xml:space="preserve">.</w:t>
      </w:r>
    </w:p>
    <w:p>
      <w:pPr>
        <w:pStyle w:val="Brdtekst"/>
      </w:pPr>
      <w:r>
        <w:t xml:space="preserve">The regional clustering patterns add another dimension to this analysis. That countries within regions show higher discourse similarity than countries facing similar climate impacts reveals how epistemicide operates through institutional networks. Regional development banks, technical assistance programs, and expert consultancies create networks of what development anthropologists term</w:t>
      </w:r>
      <w:r>
        <w:t xml:space="preserve"> </w:t>
      </w:r>
      <w:r>
        <w:t xml:space="preserve">“development brokers”</w:t>
      </w:r>
      <w:r>
        <w:t xml:space="preserve">—intermediaries who translate global frameworks into local contexts while fundamentally maintaining the underlying epistemological assumptions</w:t>
      </w:r>
      <w:r>
        <w:t xml:space="preserve"> </w:t>
      </w:r>
      <w:r>
        <w:t xml:space="preserve">(Lewis &amp; Mosse, 2006; Mosse, 2011)</w:t>
      </w:r>
      <w:r>
        <w:t xml:space="preserve">. These brokers do not simply facilitate knowledge transfer; they actively shape what counts as legitimate knowledge about adaptation. The same consultants working across multiple countries within a region create the patterns of convergence observed in our analysis, functioning as what critical scholars identify as carriers of</w:t>
      </w:r>
      <w:r>
        <w:t xml:space="preserve"> </w:t>
      </w:r>
      <w:r>
        <w:t xml:space="preserve">“expert”</w:t>
      </w:r>
      <w:r>
        <w:t xml:space="preserve"> </w:t>
      </w:r>
      <w:r>
        <w:t xml:space="preserve">knowledge that marginalizes local understandings</w:t>
      </w:r>
      <w:r>
        <w:t xml:space="preserve"> </w:t>
      </w:r>
      <w:r>
        <w:t xml:space="preserve">(Bierschenk et al., 2002; Brinks &amp; Donner, 2025)</w:t>
      </w:r>
      <w:r>
        <w:t xml:space="preserve">.</w:t>
      </w:r>
    </w:p>
    <w:p>
      <w:pPr>
        <w:pStyle w:val="Brdtekst"/>
      </w:pPr>
      <w:r>
        <w:t xml:space="preserve">The role of consultants in this process deserves deeper theoretical attention through the lens of what has been termed</w:t>
      </w:r>
      <w:r>
        <w:t xml:space="preserve"> </w:t>
      </w:r>
      <w:r>
        <w:t xml:space="preserve">“tools for conviviality”</w:t>
      </w:r>
      <w:r>
        <w:t xml:space="preserve"> </w:t>
      </w:r>
      <w:r>
        <w:t xml:space="preserve">(Illich, 2009)</w:t>
      </w:r>
      <w:r>
        <w:t xml:space="preserve">. In this framework, tools shape their users as much as users shape tools—creating dependencies and constraining possibilities even as they appear to enhance capabilities. The consultant is simultaneously a tool (employed by development institutions), a user of tools (frameworks, templates, assessment methodologies), and a producer of tools (standardized NAPs). This creates a recursive loop where the tools of adaptation planning—vulnerability indices, logical frameworks, results matrices—shape how consultants think, which shapes how countries must present their realities, which in turn reinforces the legitimacy of these same tools. The consultant arrives with a toolkit developed in Washington or Geneva, applies these tools across diverse contexts, and produces documents that confirm the validity of the original framework. Countries learn to see themselves through these tools, to articulate their needs in the language these tools recognize, and ultimately to reshape their own understanding of climate vulnerability to match what the tools can measure</w:t>
      </w:r>
      <w:r>
        <w:t xml:space="preserve"> </w:t>
      </w:r>
      <w:r>
        <w:t xml:space="preserve">(Illich, 2009)</w:t>
      </w:r>
      <w:r>
        <w:t xml:space="preserve">.</w:t>
      </w:r>
    </w:p>
    <w:p>
      <w:pPr>
        <w:pStyle w:val="Brdtekst"/>
      </w:pPr>
      <w:r>
        <w:t xml:space="preserve">The dominance of multilateral development banks in shaping adaptation discourse deserves particular attention. These institutions occupy a peculiar position—closer to Northern think tanks than Southern realities, yet positioned as intermediaries serving Southern needs. Their technical assistance programs, funding criteria, and knowledge products create powerful incentives for countries to frame adaptation in particular ways. This reflects what critics have long identified as the</w:t>
      </w:r>
      <w:r>
        <w:t xml:space="preserve"> </w:t>
      </w:r>
      <w:r>
        <w:t xml:space="preserve">“will to improve”</w:t>
      </w:r>
      <w:r>
        <w:t xml:space="preserve"> </w:t>
      </w:r>
      <w:r>
        <w:t xml:space="preserve">that characterizes development interventions—a desire to intervene that shapes both problems and solutions in ways that justify continued engagement</w:t>
      </w:r>
      <w:r>
        <w:t xml:space="preserve"> </w:t>
      </w:r>
      <w:r>
        <w:t xml:space="preserve">(Li, 2007)</w:t>
      </w:r>
      <w:r>
        <w:t xml:space="preserve">. The convergence we observe is not accidental but structured by these institutional relationships, echoing patterns identified in earlier critiques of how development creates dependencies rather than autonomy</w:t>
      </w:r>
      <w:r>
        <w:t xml:space="preserve"> </w:t>
      </w:r>
      <w:r>
        <w:t xml:space="preserve">(Escobar, 1995; Illich, 2009)</w:t>
      </w:r>
      <w:r>
        <w:t xml:space="preserve">.</w:t>
      </w:r>
    </w:p>
    <w:p>
      <w:pPr>
        <w:pStyle w:val="Brdtekst"/>
      </w:pPr>
      <w:r>
        <w:t xml:space="preserve">This process of epistemicide through adaptation planning is particularly insidious because it operates under the banner of helping vulnerable countries. Unlike earlier forms of colonial knowledge imposition, which at least could be recognized and resisted as foreign, the NAP process invites countries to participate in their own epistemological subordination. Countries must demonstrate they lack capacity (to secure technical assistance), adopt external frameworks (to access funding), and report in standardized formats (to maintain eligibility). This represents what scholars identify as a form of violence that operates through inclusion rather than exclusion—incorporating diverse contexts into a singular framework that eliminates their distinctiveness</w:t>
      </w:r>
      <w:r>
        <w:t xml:space="preserve"> </w:t>
      </w:r>
      <w:r>
        <w:t xml:space="preserve">(Whyte, 2018;</w:t>
      </w:r>
      <w:r>
        <w:t xml:space="preserve"> </w:t>
      </w:r>
      <w:r>
        <w:rPr>
          <w:b/>
          <w:bCs/>
        </w:rPr>
        <w:t xml:space="preserve">dunlap2018?</w:t>
      </w:r>
      <w:r>
        <w:t xml:space="preserve">)</w:t>
      </w:r>
      <w:r>
        <w:t xml:space="preserve">.</w:t>
      </w:r>
    </w:p>
    <w:p>
      <w:pPr>
        <w:pStyle w:val="Brdtekst"/>
      </w:pPr>
      <w:r>
        <w:t xml:space="preserve">What makes this epistemicide through adaptation particularly effective is its technical character. By framing adaptation as a matter of proper assessment, planning, and implementation, the NAP process removes it from the realm of political contestation. This transformation—from the political to the technical—represents the operation of what critical development scholars have long identified as central to maintaining unequal power relations while appearing to address them</w:t>
      </w:r>
      <w:r>
        <w:t xml:space="preserve"> </w:t>
      </w:r>
      <w:r>
        <w:t xml:space="preserve">(Escobar, 2018; Ferguson, 1994)</w:t>
      </w:r>
      <w:r>
        <w:t xml:space="preserve">.</w:t>
      </w:r>
    </w:p>
    <w:bookmarkEnd w:id="55"/>
    <w:bookmarkStart w:id="56" w:name="Xf3e38c86d79bac18cd5664a2bddeb9be3fed494"/>
    <w:p>
      <w:pPr>
        <w:pStyle w:val="Overskrift2"/>
      </w:pPr>
      <w:r>
        <w:t xml:space="preserve">7.2 Vulnerability is the New Underdevelopment</w:t>
      </w:r>
    </w:p>
    <w:p>
      <w:pPr>
        <w:pStyle w:val="FirstParagraph"/>
      </w:pPr>
      <w:r>
        <w:t xml:space="preserve">The patterns of discourse convergence among low-income countries reveal a disturbing parallel to earlier development paradigms. Where development discourse constructed the</w:t>
      </w:r>
      <w:r>
        <w:t xml:space="preserve"> </w:t>
      </w:r>
      <w:r>
        <w:t xml:space="preserve">“Third World”</w:t>
      </w:r>
      <w:r>
        <w:t xml:space="preserve"> </w:t>
      </w:r>
      <w:r>
        <w:t xml:space="preserve">as lacking—lacking capital, lacking technology, lacking institutions—adaptation discourse constructs these same countries as vulnerable—vulnerable to floods, vulnerable to droughts, vulnerable to climate change</w:t>
      </w:r>
      <w:r>
        <w:t xml:space="preserve"> </w:t>
      </w:r>
      <w:r>
        <w:t xml:space="preserve">(Escobar, 1995)</w:t>
      </w:r>
      <w:r>
        <w:t xml:space="preserve">. This shift from</w:t>
      </w:r>
      <w:r>
        <w:t xml:space="preserve"> </w:t>
      </w:r>
      <w:r>
        <w:t xml:space="preserve">“underdeveloped”</w:t>
      </w:r>
      <w:r>
        <w:t xml:space="preserve"> </w:t>
      </w:r>
      <w:r>
        <w:t xml:space="preserve">to</w:t>
      </w:r>
      <w:r>
        <w:t xml:space="preserve"> </w:t>
      </w:r>
      <w:r>
        <w:t xml:space="preserve">“vulnerable”</w:t>
      </w:r>
      <w:r>
        <w:t xml:space="preserve"> </w:t>
      </w:r>
      <w:r>
        <w:t xml:space="preserve">maintains the same structural relationship: countries in need of external intervention, incapable of managing their own futures, requiring the technical expertise and financial resources of the developed world. The vulnerability/adaptation nexus thus emerges as the contemporary incarnation of the development/underdevelopment relationship that has structured North-South relations for decades.</w:t>
      </w:r>
    </w:p>
    <w:p>
      <w:pPr>
        <w:pStyle w:val="Brdtekst"/>
      </w:pPr>
      <w:r>
        <w:t xml:space="preserve">The topic modeling results provide empirical evidence for this constructed vulnerability. Low-income countries show the second-highest level of discourse centralization (0.980), converging overwhelmingly on topics related to finance, capacity building, and institutional frameworks. This convergence does not reflect shared climate vulnerabilities—the low-income category includes both small island states facing sea-level rise and landlocked countries confronting desertification. Instead, it reflects their shared position in the global political economy as recipients of climate finance. Their NAPs read less as sovereign responses to environmental change and more as grant applications to international donors, carefully crafted to demonstrate both need and competence in terms legible to funding institutions.</w:t>
      </w:r>
    </w:p>
    <w:p>
      <w:pPr>
        <w:pStyle w:val="Brdtekst"/>
      </w:pPr>
      <w:r>
        <w:t xml:space="preserve">This construction of vulnerability operates through what has been termed</w:t>
      </w:r>
      <w:r>
        <w:t xml:space="preserve"> </w:t>
      </w:r>
      <w:r>
        <w:t xml:space="preserve">“anticipatory ruination”</w:t>
      </w:r>
      <w:r>
        <w:t xml:space="preserve">—the rendering of certain places as already lost, thereby justifying radical interventions that might otherwise face resistance</w:t>
      </w:r>
      <w:r>
        <w:t xml:space="preserve"> </w:t>
      </w:r>
      <w:r>
        <w:t xml:space="preserve">(</w:t>
      </w:r>
      <w:r>
        <w:rPr>
          <w:b/>
          <w:bCs/>
        </w:rPr>
        <w:t xml:space="preserve">paprocki2018?</w:t>
      </w:r>
      <w:r>
        <w:t xml:space="preserve">)</w:t>
      </w:r>
      <w:r>
        <w:t xml:space="preserve">. In Bangladesh, this anticipatory ruination has justified the transformation of agricultural lands into shrimp farms, the displacement of rural communities, and the promotion of labor migration—all in the name of adaptation</w:t>
      </w:r>
      <w:r>
        <w:t xml:space="preserve"> </w:t>
      </w:r>
      <w:r>
        <w:t xml:space="preserve">(Paprocki, 2019)</w:t>
      </w:r>
      <w:r>
        <w:t xml:space="preserve">. The NAPs in our corpus show similar patterns: countries are encouraged to imagine themselves as future victims of climate change, to inventory their vulnerabilities, and to propose interventions that align with existing development paradigms. This process of imagining dystopian futures creates what scholars identify as a</w:t>
      </w:r>
      <w:r>
        <w:t xml:space="preserve"> </w:t>
      </w:r>
      <w:r>
        <w:t xml:space="preserve">“climate of fear”</w:t>
      </w:r>
      <w:r>
        <w:t xml:space="preserve"> </w:t>
      </w:r>
      <w:r>
        <w:t xml:space="preserve">that enables particular forms of intervention while foreclosing alternatives</w:t>
      </w:r>
      <w:r>
        <w:t xml:space="preserve"> </w:t>
      </w:r>
      <w:r>
        <w:t xml:space="preserve">(Hulme, 2008)</w:t>
      </w:r>
      <w:r>
        <w:t xml:space="preserve">. The future is foreclosed before it arrives, with adaptation pathways predetermined by institutional templates rather than community aspirations.</w:t>
      </w:r>
    </w:p>
    <w:p>
      <w:pPr>
        <w:pStyle w:val="Brdtekst"/>
      </w:pPr>
      <w:r>
        <w:t xml:space="preserve">The use of climate change as what researchers term a</w:t>
      </w:r>
      <w:r>
        <w:t xml:space="preserve"> </w:t>
      </w:r>
      <w:r>
        <w:t xml:space="preserve">“spice”</w:t>
      </w:r>
      <w:r>
        <w:t xml:space="preserve"> </w:t>
      </w:r>
      <w:r>
        <w:t xml:space="preserve">for conventional development projects reveals how vulnerability construction serves multiple purposes</w:t>
      </w:r>
      <w:r>
        <w:t xml:space="preserve"> </w:t>
      </w:r>
      <w:r>
        <w:t xml:space="preserve">(Dewan, 2022)</w:t>
      </w:r>
      <w:r>
        <w:t xml:space="preserve">. In coastal Bangladesh, the same infrastructure projects that failed under development rationales—embankments, polders, flood controls—are repackaged as climate adaptation despite evidence they exacerbate the problems they claim to solve</w:t>
      </w:r>
      <w:r>
        <w:t xml:space="preserve"> </w:t>
      </w:r>
      <w:r>
        <w:t xml:space="preserve">(Dewan, 2021)</w:t>
      </w:r>
      <w:r>
        <w:t xml:space="preserve">. The NAPs show similar patterns of recycling, where conventional sectoral interventions in agriculture, water, and infrastructure are reframed as adaptation measures. Climate vulnerability thus becomes a new justification for old interventions, a pattern that extends beyond specific countries to encompass entire regions constructed as sacrifice zones for continued extraction</w:t>
      </w:r>
      <w:r>
        <w:t xml:space="preserve"> </w:t>
      </w:r>
      <w:r>
        <w:t xml:space="preserve">(Tornel, 2024)</w:t>
      </w:r>
      <w:r>
        <w:t xml:space="preserve">.</w:t>
      </w:r>
    </w:p>
    <w:p>
      <w:pPr>
        <w:pStyle w:val="Brdtekst"/>
      </w:pPr>
      <w:r>
        <w:t xml:space="preserve">The financial and procedural focus that dominates low-income country NAPs reveals how vulnerability construction serves institutional needs. These countries must perform their vulnerability in specific ways—through vulnerability assessments, risk matrices, and adaptation prioritizations—to access climate finance. Yet this performance requires a particular kind of capacity: the ability to produce documents legible to international institutions, to navigate complex funding mechanisms, and to report in standardized formats. Countries must simultaneously demonstrate vulnerability (to justify funding) and capacity (to manage funding), a contradictory position that reinforces their subordinate status in the climate finance architecture. This paradox reflects broader patterns in how environmental interventions create new forms of capture and control</w:t>
      </w:r>
      <w:r>
        <w:t xml:space="preserve"> </w:t>
      </w:r>
      <w:r>
        <w:t xml:space="preserve">(Cons, 2021;</w:t>
      </w:r>
      <w:r>
        <w:t xml:space="preserve"> </w:t>
      </w:r>
      <w:r>
        <w:rPr>
          <w:b/>
          <w:bCs/>
        </w:rPr>
        <w:t xml:space="preserve">cons2025?</w:t>
      </w:r>
      <w:r>
        <w:t xml:space="preserve">)</w:t>
      </w:r>
      <w:r>
        <w:t xml:space="preserve">.</w:t>
      </w:r>
    </w:p>
    <w:p>
      <w:pPr>
        <w:pStyle w:val="Brdtekst"/>
      </w:pPr>
      <w:r>
        <w:t xml:space="preserve">The middle-income countries in our analysis present an intriguing counterpoint. They show the lowest levels of discourse centralization (lower-middle at 0.941, upper-middle at 0.958), suggesting greater autonomy in framing adaptation. This variance might reflect their intermediate position—less dependent on climate finance than low-income countries, yet not fully integrated into Northern knowledge networks like high-income countries. Their NAPs show more diverse topics, including attention to local contexts and specific sectoral concerns that escape the homogenizing pressure of donor requirements. This pattern suggests that partial autonomy from the climate finance system enables more diverse and potentially more appropriate adaptation framings, echoing findings about how frontier spaces sometimes escape full capture by dominant systems</w:t>
      </w:r>
      <w:r>
        <w:t xml:space="preserve"> </w:t>
      </w:r>
      <w:r>
        <w:t xml:space="preserve">(Eilenberg, 2015)</w:t>
      </w:r>
      <w:r>
        <w:t xml:space="preserve">.</w:t>
      </w:r>
    </w:p>
    <w:p>
      <w:pPr>
        <w:pStyle w:val="Brdtekst"/>
      </w:pPr>
      <w:r>
        <w:t xml:space="preserve">The construction of vulnerability through adaptation discourse has material consequences beyond the discursive realm. When vulnerability is framed primarily in terms of institutional capacity and financial resources, the solutions inevitably focus on capacity building and resource transfer rather than addressing structural causes of vulnerability. The NAPs show little attention to questions of land rights, resource extraction, unfair trade relationships, or other political-economic factors that shape vulnerability. This reflects what critics identify as</w:t>
      </w:r>
      <w:r>
        <w:t xml:space="preserve"> </w:t>
      </w:r>
      <w:r>
        <w:t xml:space="preserve">“climate reductionism”</w:t>
      </w:r>
      <w:r>
        <w:t xml:space="preserve">—the tendency to attribute all social and environmental problems to climate change while ignoring their deeper structural causes</w:t>
      </w:r>
      <w:r>
        <w:t xml:space="preserve"> </w:t>
      </w:r>
      <w:r>
        <w:t xml:space="preserve">(Hulme, 2011, 2023)</w:t>
      </w:r>
      <w:r>
        <w:t xml:space="preserve">. Vulnerability appears as a technical condition requiring technical solutions—seawalls for coastal areas, drought-resistant seeds for agricultural regions, early warning systems for disaster-prone zones. These interventions may provide temporary relief but do not challenge the systems that produce vulnerability in the first place.</w:t>
      </w:r>
    </w:p>
    <w:p>
      <w:pPr>
        <w:pStyle w:val="Brdtekst"/>
      </w:pPr>
      <w:r>
        <w:t xml:space="preserve">This technical framing of vulnerability serves multiple functions in the contemporary world order. For donor countries, it justifies continued intervention in the South while avoiding questions about their own contribution to climate change or structural inequality. For recipient country governments, it provides access to resources and legitimacy as responsible managers of adaptation. For the constellation of consultants, development organizations, and financial institutions that mediate these relationships, it ensures continued relevance and funding. Only for the communities whose vulnerability is ostensibly being addressed does this framing offer little—their knowledge remains marginalized, their agency constrained, and their futures determined by distant institutions. This represents what scholars identify as development-induced displacement masquerading as climate adaptation</w:t>
      </w:r>
      <w:r>
        <w:t xml:space="preserve"> </w:t>
      </w:r>
      <w:r>
        <w:t xml:space="preserve">(Dewan, 2021; Paprocki, 2019)</w:t>
      </w:r>
      <w:r>
        <w:t xml:space="preserve">.</w:t>
      </w:r>
    </w:p>
    <w:p>
      <w:pPr>
        <w:pStyle w:val="Brdtekst"/>
      </w:pPr>
      <w:r>
        <w:t xml:space="preserve">The parallel between vulnerability construction in adaptation and underdevelopment in earlier paradigms extends to the solutions proposed. Just as development promised modernization through capital investment and technical assistance, adaptation promises resilience through climate finance and capacity building. Both paradigms assume that Southern countries lack something fundamental that Northern countries can provide. Both create dependencies rather than autonomy. Both transform diverse local realities into standardized problems amenable to standardized solutions. The persistence of these patterns across different issue areas and historical periods suggests deep structural continuities in North-South relations that surface-level policy changes cannot address. The shift from development to adaptation represents not a break with colonial relations but their continuation through new vocabularies and institutional arrangements</w:t>
      </w:r>
      <w:r>
        <w:t xml:space="preserve"> </w:t>
      </w:r>
      <w:r>
        <w:t xml:space="preserve">(Escobar, 1995, 2018)</w:t>
      </w:r>
      <w:r>
        <w:t xml:space="preserve">.</w:t>
      </w:r>
      <w:r>
        <w:t xml:space="preserve"> </w:t>
      </w:r>
      <w:r>
        <w:t xml:space="preserve">## The Anti-Politics Machine in Climate Governance</w:t>
      </w:r>
    </w:p>
    <w:p>
      <w:pPr>
        <w:pStyle w:val="Brdtekst"/>
      </w:pPr>
      <w:r>
        <w:t xml:space="preserve">The technical character of adaptation discourse exemplifies the operation of what has been termed the</w:t>
      </w:r>
      <w:r>
        <w:t xml:space="preserve"> </w:t>
      </w:r>
      <w:r>
        <w:t xml:space="preserve">“anti-politics machine”</w:t>
      </w:r>
      <w:r>
        <w:t xml:space="preserve">—the process by which fundamentally political questions are transformed into technical problems requiring bureaucratic solutions</w:t>
      </w:r>
      <w:r>
        <w:t xml:space="preserve"> </w:t>
      </w:r>
      <w:r>
        <w:t xml:space="preserve">(Ferguson, 1994)</w:t>
      </w:r>
      <w:r>
        <w:t xml:space="preserve">. Climate change adaptation involves profound political choices: whose knowledge counts, which communities receive protection, what futures are possible, how resources are distributed, and who bears responsibility for climate impacts. Yet the NAPs in our corpus systematically evacuate these political dimensions, replacing them with technical assessments, institutional procedures, and managerial frameworks. This depoliticization is not accidental but serves specific functions in maintaining existing power relations while appearing to address climate vulnerability.</w:t>
      </w:r>
    </w:p>
    <w:p>
      <w:pPr>
        <w:pStyle w:val="Brdtekst"/>
      </w:pPr>
      <w:r>
        <w:t xml:space="preserve">The dominance of procedural and technical topics across all NAPs—monitoring frameworks, institutional arrangements, assessment methodologies—reveals how adaptation governance operates to render political questions technical. When countries must express their adaptation needs through logical frameworks, results-based management systems, and standardized indicators, the space for political contestation shrinks dramatically. Questions about why certain communities are vulnerable, how colonial histories shape present exposures, or whether proposed adaptations might exacerbate inequalities cannot be articulated within these technical formats. This reflects what scholars identify as the systematic depoliticization of environmental governance, where technical solutions obscure the power relations that produce environmental problems</w:t>
      </w:r>
      <w:r>
        <w:t xml:space="preserve"> </w:t>
      </w:r>
      <w:r>
        <w:t xml:space="preserve">(Li, 2007; Nightingale et al., 2020)</w:t>
      </w:r>
      <w:r>
        <w:t xml:space="preserve">.</w:t>
      </w:r>
    </w:p>
    <w:p>
      <w:pPr>
        <w:pStyle w:val="Brdtekst"/>
      </w:pPr>
      <w:r>
        <w:t xml:space="preserve">The state-centric nature of the NAP process intensifies this depoliticization. By positioning national governments as the primary agents of adaptation planning, the UNFCCC framework privileges certain actors and scales while marginalizing others. States become the interlocutors for international finance, the arbiters of adaptation priorities, and the implementing agencies for interventions. This state-centricity serves multiple depoliticizing functions: it legitimizes existing governance structures, channels resources through established bureaucracies, and frames adaptation as a matter of proper administration rather than political transformation. Yet states themselves are often implicated in producing the vulnerabilities that adaptation claims to address—through forced displacement, resource extraction, or development policies that prioritize economic growth over community well-being</w:t>
      </w:r>
      <w:r>
        <w:t xml:space="preserve"> </w:t>
      </w:r>
      <w:r>
        <w:t xml:space="preserve">(Eilenberg, 2022;</w:t>
      </w:r>
      <w:r>
        <w:t xml:space="preserve"> </w:t>
      </w:r>
      <w:r>
        <w:rPr>
          <w:b/>
          <w:bCs/>
        </w:rPr>
        <w:t xml:space="preserve">cons2019?</w:t>
      </w:r>
      <w:r>
        <w:t xml:space="preserve">)</w:t>
      </w:r>
      <w:r>
        <w:t xml:space="preserve">.</w:t>
      </w:r>
    </w:p>
    <w:p>
      <w:pPr>
        <w:pStyle w:val="Brdtekst"/>
      </w:pPr>
      <w:r>
        <w:t xml:space="preserve">The empirical finding that geographic vulnerability explains almost no variance in adaptation discourse (only 1.8%) while regional institutional factors dominate reveals the depth of this depoliticization. If adaptation planning truly responded to climate impacts, we would expect countries facing similar physical challenges to develop similar approaches. Instead, the dominance of regional patterns suggests that institutional templates and bureaucratic networks shape adaptation discourse far more than actual climate vulnerabilities. This represents what critical scholars identify as</w:t>
      </w:r>
      <w:r>
        <w:t xml:space="preserve"> </w:t>
      </w:r>
      <w:r>
        <w:t xml:space="preserve">“seeing like a state”</w:t>
      </w:r>
      <w:r>
        <w:t xml:space="preserve">—the reduction of complex socio-ecological realities to simplified categories amenable to bureaucratic intervention</w:t>
      </w:r>
      <w:r>
        <w:t xml:space="preserve"> </w:t>
      </w:r>
      <w:r>
        <w:t xml:space="preserve">(Scott, 1998)</w:t>
      </w:r>
      <w:r>
        <w:t xml:space="preserve">. The NAPs make countries legible to international climate finance institutions but in doing so obscure the messy realities of how communities actually experience and respond to environmental change.</w:t>
      </w:r>
    </w:p>
    <w:p>
      <w:pPr>
        <w:pStyle w:val="Brdtekst"/>
      </w:pPr>
      <w:r>
        <w:t xml:space="preserve">The transformation of climate vulnerability into technical problems creates what scholars term</w:t>
      </w:r>
      <w:r>
        <w:t xml:space="preserve"> </w:t>
      </w:r>
      <w:r>
        <w:t xml:space="preserve">“rendering technical”</w:t>
      </w:r>
      <w:r>
        <w:t xml:space="preserve">—a process that defines problems and solutions in ways that align with available tools and institutional capacities</w:t>
      </w:r>
      <w:r>
        <w:t xml:space="preserve"> </w:t>
      </w:r>
      <w:r>
        <w:t xml:space="preserve">(Li, 2007)</w:t>
      </w:r>
      <w:r>
        <w:t xml:space="preserve">. Our topic modeling reveals this process quantitatively: the prevalence of topics related to data collection, modeling, assessment tools, and monitoring systems shows how adaptation planning privileges what can be measured, modeled, and managed. Complex questions about justice, responsibility, and alternative futures are reduced to indicators, targets, and deliverables. This technical rendering serves institutional needs—donors require measurable results, implementing agencies need clear procedures, and governments want demonstrable achievements—but may have little relevance to how communities experience climate impacts or envision adaptation.</w:t>
      </w:r>
    </w:p>
    <w:p>
      <w:pPr>
        <w:pStyle w:val="Brdtekst"/>
      </w:pPr>
      <w:r>
        <w:t xml:space="preserve">The focus on vulnerability assessments and risk modeling exemplifies this anti-political operation. These tools appear as neutral, scientific approaches to understanding climate impacts, yet they embed particular assumptions about what constitutes vulnerability, whose knowledge counts in assessing it, and what kinds of interventions are appropriate. Vulnerability indices typically privilege quantifiable physical exposures and economic assets while marginalizing social relationships, cultural values, and political factors that shape how communities experience and respond to change. This represents what critics identify as the</w:t>
      </w:r>
      <w:r>
        <w:t xml:space="preserve"> </w:t>
      </w:r>
      <w:r>
        <w:t xml:space="preserve">“scientization”</w:t>
      </w:r>
      <w:r>
        <w:t xml:space="preserve"> </w:t>
      </w:r>
      <w:r>
        <w:t xml:space="preserve">of inherently political questions, where model outputs and expert assessments substitute for democratic deliberation about values, priorities, and futures</w:t>
      </w:r>
      <w:r>
        <w:t xml:space="preserve"> </w:t>
      </w:r>
      <w:r>
        <w:t xml:space="preserve">(Hulme, 2011; Nightingale et al., 2020)</w:t>
      </w:r>
      <w:r>
        <w:t xml:space="preserve">.</w:t>
      </w:r>
    </w:p>
    <w:p>
      <w:pPr>
        <w:pStyle w:val="Brdtekst"/>
      </w:pPr>
      <w:r>
        <w:t xml:space="preserve">The procedural focus that dominates adaptation discourse—with extensive attention to institutional arrangements, coordination mechanisms, and governance frameworks—further depoliticizes adaptation by suggesting that better administration can solve what are fundamentally political problems. If communities are vulnerable because of land dispossession, the solution is not better coordination between ministries. If fishing villages face increased storm exposure because of mangrove destruction for shrimp farms, the answer is not improved early warning systems. Yet the NAPs consistently frame adaptation challenges as matters of institutional capacity, inter-agency coordination, and information management. This reflects broader patterns in how international development depoliticizes poverty and inequality by focusing on technical and institutional solutions</w:t>
      </w:r>
      <w:r>
        <w:t xml:space="preserve"> </w:t>
      </w:r>
      <w:r>
        <w:t xml:space="preserve">(Escobar, 1995; Ferguson, 1994)</w:t>
      </w:r>
      <w:r>
        <w:t xml:space="preserve">.</w:t>
      </w:r>
    </w:p>
    <w:p>
      <w:pPr>
        <w:pStyle w:val="Brdtekst"/>
      </w:pPr>
      <w:r>
        <w:t xml:space="preserve">The absence of certain topics in the NAPs is as revealing as what appears. Our analysis shows minimal attention to issues of land rights, resource extraction, trade relationships, debt, or other structural factors that shape vulnerability. Historical responsibility for climate change appears nowhere in the dominant topics. Questions of reparations, compensation, or fundamental economic restructuring—all central to climate justice movements—find no expression in these technical documents. This absence is not oversight but structured silencing, where the format and requirements of adaptation planning systematically exclude political critique. As scholars note, such systematic exclusions reveal how states and international institutions actively</w:t>
      </w:r>
      <w:r>
        <w:t xml:space="preserve"> </w:t>
      </w:r>
      <w:r>
        <w:t xml:space="preserve">“unknow”</w:t>
      </w:r>
      <w:r>
        <w:t xml:space="preserve"> </w:t>
      </w:r>
      <w:r>
        <w:t xml:space="preserve">politically inconvenient realities</w:t>
      </w:r>
      <w:r>
        <w:t xml:space="preserve"> </w:t>
      </w:r>
      <w:r>
        <w:t xml:space="preserve">(Figueroa-Helland &amp; Borg, 2014; Whyte, 2020)</w:t>
      </w:r>
      <w:r>
        <w:t xml:space="preserve">.</w:t>
      </w:r>
    </w:p>
    <w:p>
      <w:pPr>
        <w:pStyle w:val="Brdtekst"/>
      </w:pPr>
      <w:r>
        <w:t xml:space="preserve">The anti-politics machine of adaptation serves multiple constituencies even as it fails those most vulnerable to climate impacts. For donor countries, it transforms moral and political obligations into voluntary technical assistance, avoiding questions about historical emissions or ongoing extraction. For international institutions, it creates a manageable problem space amenable to existing tools and procedures. For national governments, it provides resources and legitimacy while avoiding challenges to existing power structures. For the adaptation industry—consultants, NGOs, research institutions—it ensures continued relevance and funding. This alignment of interests helps explain the persistence of depoliticized adaptation despite mounting evidence of its inadequacy</w:t>
      </w:r>
      <w:r>
        <w:t xml:space="preserve"> </w:t>
      </w:r>
      <w:r>
        <w:t xml:space="preserve">(Eriksen et al., 2021; Scoville-Simonds et al., 2020)</w:t>
      </w:r>
      <w:r>
        <w:t xml:space="preserve">.</w:t>
      </w:r>
    </w:p>
    <w:p>
      <w:pPr>
        <w:pStyle w:val="Brdtekst"/>
      </w:pPr>
      <w:r>
        <w:t xml:space="preserve">The operation of adaptation as an anti-politics machine connects directly to our earlier analysis of epistemicide and vulnerability construction. By rendering political questions technical, adaptation planning eliminates space for alternative knowledge systems that might frame problems differently. By constructing vulnerability as a technical condition requiring technical solutions, it forecloses political mobilization around structural causes. The three processes work together to maintain existing power relations while appearing to address climate impacts. This brings us to the crucial question: if state-led adaptation planning operates as an anti-politics machine that forecloses alternative futures, what possibilities exist beyond this framework?</w:t>
      </w:r>
    </w:p>
    <w:bookmarkEnd w:id="56"/>
    <w:bookmarkStart w:id="57" w:name="Xc5bc01e0bf749a3a74252a70f34df45c4ed9b59"/>
    <w:p>
      <w:pPr>
        <w:pStyle w:val="Overskrift2"/>
      </w:pPr>
      <w:r>
        <w:t xml:space="preserve">7.3 Beyond State Adaptation: Pluriversal Possibilities</w:t>
      </w:r>
    </w:p>
    <w:p>
      <w:pPr>
        <w:pStyle w:val="FirstParagraph"/>
      </w:pPr>
      <w:r>
        <w:t xml:space="preserve">If adaptation planning operates as a mechanism of epistemicide, vulnerability construction, and depoliticization, what alternatives might exist? The variance patterns in our data—particularly the greater discourse diversity among middle-income countries—suggest that partial autonomy from international climate finance enables more diverse approaches. This empirical finding aligns with theoretical work on pluriversal politics that imagines worlds beyond the singular world of modernity, development, and now adaptation</w:t>
      </w:r>
      <w:r>
        <w:t xml:space="preserve"> </w:t>
      </w:r>
      <w:r>
        <w:t xml:space="preserve">(Escobar, 2018, 2020)</w:t>
      </w:r>
      <w:r>
        <w:t xml:space="preserve">. Rather than seeking better adaptation within existing frameworks, these approaches ask: what if communities designed their own transitions based on their own ontologies, epistemologies, and aspirations?</w:t>
      </w:r>
    </w:p>
    <w:p>
      <w:pPr>
        <w:pStyle w:val="Brdtekst"/>
      </w:pPr>
      <w:r>
        <w:t xml:space="preserve">The concept of autonomy provides a crucial entry point for reimagining adaptation beyond the state</w:t>
      </w:r>
      <w:r>
        <w:t xml:space="preserve"> </w:t>
      </w:r>
      <w:r>
        <w:t xml:space="preserve">(Escobar, 2018)</w:t>
      </w:r>
      <w:r>
        <w:t xml:space="preserve">. Autonomy here does not mean isolation or pure self-sufficiency but rather the capacity of communities to determine their own paths based on their own knowledge systems and values. The Zapatista concept of</w:t>
      </w:r>
      <w:r>
        <w:t xml:space="preserve"> </w:t>
      </w:r>
      <w:r>
        <w:t xml:space="preserve">“mandar obedeciendo”</w:t>
      </w:r>
      <w:r>
        <w:t xml:space="preserve"> </w:t>
      </w:r>
      <w:r>
        <w:t xml:space="preserve">(governing by obeying) exemplifies this approach—leadership that responds to community needs rather than imposing external frameworks</w:t>
      </w:r>
      <w:r>
        <w:t xml:space="preserve"> </w:t>
      </w:r>
      <w:r>
        <w:t xml:space="preserve">(Escobar, 2020)</w:t>
      </w:r>
      <w:r>
        <w:t xml:space="preserve">. In the context of climate adaptation, autonomy would mean communities identifying their own vulnerabilities (which might not align with technical assessments), developing their own responses (which might not fit donor categories), and evaluating success by their own criteria (which might not translate into indicators).</w:t>
      </w:r>
    </w:p>
    <w:p>
      <w:pPr>
        <w:pStyle w:val="Brdtekst"/>
      </w:pPr>
      <w:r>
        <w:t xml:space="preserve">The middle-income variance in our data offers tantalizing glimpses of what partial autonomy enables. These countries, less dependent on climate finance and technical assistance, show greater diversity in their adaptation framings. They incorporate more place-specific concerns, sectoral particularities, and diverse knowledge sources. While still operating within the NAP framework, they demonstrate that even limited autonomy from financial dependencies creates space for more contextually appropriate approaches. This suggests that the homogenization we observe among low-income countries is not inevitable but produced by specific institutional arrangements that could be otherwise</w:t>
      </w:r>
      <w:r>
        <w:t xml:space="preserve"> </w:t>
      </w:r>
      <w:r>
        <w:t xml:space="preserve">(Demaria et al., 2023; Escobar, 2021)</w:t>
      </w:r>
      <w:r>
        <w:t xml:space="preserve">.</w:t>
      </w:r>
    </w:p>
    <w:p>
      <w:pPr>
        <w:pStyle w:val="Brdtekst"/>
      </w:pPr>
      <w:r>
        <w:t xml:space="preserve">Indigenous movements across the globe offer concrete examples of adaptation beyond state frameworks that our methodology cannot capture but that point toward possibilities</w:t>
      </w:r>
      <w:r>
        <w:t xml:space="preserve"> </w:t>
      </w:r>
      <w:r>
        <w:t xml:space="preserve">(Corntassel, 2021)</w:t>
      </w:r>
      <w:r>
        <w:t xml:space="preserve">. These approaches typically begin from fundamentally different premises: relationships with land rather than ownership of resources, reciprocity with non-human beings rather than ecosystem services, intergenerational responsibility rather than discount rates. When indigenous communities in the Americas speak of climate change, they often frame it as symptomatic of deeper relational failures that require healing relationships rather than technical fixes</w:t>
      </w:r>
      <w:r>
        <w:t xml:space="preserve"> </w:t>
      </w:r>
      <w:r>
        <w:t xml:space="preserve">(Whyte, 2018, 2020)</w:t>
      </w:r>
      <w:r>
        <w:t xml:space="preserve">. Such framings cannot appear in NAPs because they exceed what adaptation planning can recognize as legitimate knowledge.</w:t>
      </w:r>
    </w:p>
    <w:p>
      <w:pPr>
        <w:pStyle w:val="Brdtekst"/>
      </w:pPr>
      <w:r>
        <w:t xml:space="preserve">The call for decolonization in climate governance goes beyond incorporating indigenous knowledge into existing frameworks—a move that often serves to further marginalize and extract from indigenous communities</w:t>
      </w:r>
      <w:r>
        <w:t xml:space="preserve"> </w:t>
      </w:r>
      <w:r>
        <w:t xml:space="preserve">(Tuck &amp; Yang, 2012)</w:t>
      </w:r>
      <w:r>
        <w:t xml:space="preserve">. Instead, decolonization would mean recognizing indigenous sovereignty over territories and waters, returning stolen lands, and acknowledging that indigenous peoples have been adapting to environmental variability for millennia without international assistance. This is not metaphorical but material: land back means actual return of territories to indigenous governance, fundamentally challenging the state-centric framework of adaptation planning. Such approaches recognize that for many communities, the state itself is a source of vulnerability rather than adaptation</w:t>
      </w:r>
      <w:r>
        <w:t xml:space="preserve"> </w:t>
      </w:r>
      <w:r>
        <w:t xml:space="preserve">(</w:t>
      </w:r>
      <w:r>
        <w:rPr>
          <w:b/>
          <w:bCs/>
        </w:rPr>
        <w:t xml:space="preserve">deranger2022?</w:t>
      </w:r>
      <w:r>
        <w:t xml:space="preserve">)</w:t>
      </w:r>
      <w:r>
        <w:t xml:space="preserve">.</w:t>
      </w:r>
    </w:p>
    <w:p>
      <w:pPr>
        <w:pStyle w:val="Brdtekst"/>
      </w:pPr>
      <w:r>
        <w:t xml:space="preserve">The pluriverse—a world where many worlds fit—offers a framework for thinking beyond the singular world of adaptation planning</w:t>
      </w:r>
      <w:r>
        <w:t xml:space="preserve"> </w:t>
      </w:r>
      <w:r>
        <w:t xml:space="preserve">(Escobar, 2018; Reiter, 2018)</w:t>
      </w:r>
      <w:r>
        <w:t xml:space="preserve">. This is not relativism but recognition that different peoples inhabit genuinely different worlds with different relationships to what the West calls</w:t>
      </w:r>
      <w:r>
        <w:t xml:space="preserve"> </w:t>
      </w:r>
      <w:r>
        <w:t xml:space="preserve">“nature”</w:t>
      </w:r>
      <w:r>
        <w:t xml:space="preserve"> </w:t>
      </w:r>
      <w:r>
        <w:t xml:space="preserve">and</w:t>
      </w:r>
      <w:r>
        <w:t xml:space="preserve"> </w:t>
      </w:r>
      <w:r>
        <w:t xml:space="preserve">“climate.”</w:t>
      </w:r>
      <w:r>
        <w:t xml:space="preserve"> </w:t>
      </w:r>
      <w:r>
        <w:t xml:space="preserve">The Andean concept of</w:t>
      </w:r>
      <w:r>
        <w:t xml:space="preserve"> </w:t>
      </w:r>
      <w:r>
        <w:t xml:space="preserve">“buen vivir,”</w:t>
      </w:r>
      <w:r>
        <w:t xml:space="preserve"> </w:t>
      </w:r>
      <w:r>
        <w:t xml:space="preserve">the African philosophy of</w:t>
      </w:r>
      <w:r>
        <w:t xml:space="preserve"> </w:t>
      </w:r>
      <w:r>
        <w:t xml:space="preserve">“ubuntu,”</w:t>
      </w:r>
      <w:r>
        <w:t xml:space="preserve"> </w:t>
      </w:r>
      <w:r>
        <w:t xml:space="preserve">and countless other non-Western ontologies offer different starting points for understanding human-environment relationships that might generate entirely different approaches to environmental change</w:t>
      </w:r>
      <w:r>
        <w:t xml:space="preserve"> </w:t>
      </w:r>
      <w:r>
        <w:t xml:space="preserve">(Demaria et al., 2023)</w:t>
      </w:r>
      <w:r>
        <w:t xml:space="preserve">. These are not alternative</w:t>
      </w:r>
      <w:r>
        <w:t xml:space="preserve"> </w:t>
      </w:r>
      <w:r>
        <w:t xml:space="preserve">“adaptations”</w:t>
      </w:r>
      <w:r>
        <w:t xml:space="preserve"> </w:t>
      </w:r>
      <w:r>
        <w:t xml:space="preserve">but alternative worlds where the adaptation/vulnerability framing might not even make sense.</w:t>
      </w:r>
    </w:p>
    <w:p>
      <w:pPr>
        <w:pStyle w:val="Brdtekst"/>
      </w:pPr>
      <w:r>
        <w:t xml:space="preserve">The concept of</w:t>
      </w:r>
      <w:r>
        <w:t xml:space="preserve"> </w:t>
      </w:r>
      <w:r>
        <w:t xml:space="preserve">“provincializing Europe”</w:t>
      </w:r>
      <w:r>
        <w:t xml:space="preserve"> </w:t>
      </w:r>
      <w:r>
        <w:t xml:space="preserve">helps understand what moving beyond state adaptation might entail</w:t>
      </w:r>
      <w:r>
        <w:t xml:space="preserve"> </w:t>
      </w:r>
      <w:r>
        <w:t xml:space="preserve">(Chakrabarty, 2009)</w:t>
      </w:r>
      <w:r>
        <w:t xml:space="preserve">. Rather than accepting European-derived categories (including the state, development, and adaptation) as universal, this approach reveals them as particular, historical products that achieved global dominance through colonial violence. Provincializing adaptation would mean recognizing it as one possible response to environmental change emerging from specific historical and institutional contexts, not a universal framework that all must adopt. This opens space for other histories, knowledge systems, and futures that have been suppressed by the universalizing tendencies of Western modernity</w:t>
      </w:r>
      <w:r>
        <w:t xml:space="preserve"> </w:t>
      </w:r>
      <w:r>
        <w:t xml:space="preserve">(Mignolo, 2011; Quijano &amp; Ennis, 2000)</w:t>
      </w:r>
      <w:r>
        <w:t xml:space="preserve">.</w:t>
      </w:r>
    </w:p>
    <w:p>
      <w:pPr>
        <w:pStyle w:val="Brdtekst"/>
      </w:pPr>
      <w:r>
        <w:t xml:space="preserve">The practical implications of moving beyond state adaptation are profound and challenging. It would mean redirecting climate finance from state bureaucracies to autonomous community organizations. It would mean recognizing knowledge systems that international institutions cannot easily quantify or control. It would mean accepting outcomes that do not fit into logical frameworks or results matrices. Most fundamentally, it would mean Northern countries addressing their own emissions and consumption rather than reshaping Southern societies through adaptation planning. As critics note, perhaps the most effective adaptation support would be rapid industrial decarbonization in the North, eliminating the problem at its source rather than managing its symptoms in the South</w:t>
      </w:r>
      <w:r>
        <w:t xml:space="preserve"> </w:t>
      </w:r>
      <w:r>
        <w:t xml:space="preserve">(Eriksen et al., 2021)</w:t>
      </w:r>
      <w:r>
        <w:t xml:space="preserve">.</w:t>
      </w:r>
    </w:p>
    <w:p>
      <w:pPr>
        <w:pStyle w:val="Brdtekst"/>
      </w:pPr>
      <w:r>
        <w:t xml:space="preserve">The barriers to such transformation are substantial. States jealously guard their sovereignty and their role as intermediaries for international resources. International institutions have invested heavily in frameworks, procedures, and expertise oriented toward state-led planning. The adaptation industry depends on continued funding for assessments, capacity building, and project implementation. Moving beyond state adaptation would threaten all these interests. Yet our analysis reveals that current approaches produce homogenization, depoliticization, and epistemicide—outcomes that serve institutional needs while failing those most vulnerable to climate impacts.</w:t>
      </w:r>
    </w:p>
    <w:p>
      <w:pPr>
        <w:pStyle w:val="Brdtekst"/>
      </w:pPr>
      <w:r>
        <w:t xml:space="preserve">The high discourse centralization documented in this research should not lead to despair but to clarity about the nature of the challenge. The adaptation regime, like the development regime before it, is not a natural or inevitable response to environmental change but a historically specific configuration of power that can be contested and transformed. The cracks in the system—the variance among middle-income countries, the persistence of community-based practices despite their marginalization, the growing critique from scholars and activists—suggest that other worlds remain possible. Whether these possibilities can flourish depends not on better planning or more finance but on fundamental shifts in power relations between North and South, states and communities, experts and inhabitants.</w:t>
      </w:r>
    </w:p>
    <w:p>
      <w:pPr>
        <w:pStyle w:val="Brdtekst"/>
      </w:pPr>
      <w:r>
        <w:t xml:space="preserve">This analysis returns us to fundamental questions about climate justice that transcend the technical framings of adaptation planning. If adaptation operates as a contemporary form of colonialism—imposing Northern frameworks, eliminating alternative knowledges, and foreclosing autonomous futures—then climate justice requires more than reformed institutions or increased finance. It requires recognizing and supporting the multiple worlds that exist beyond the singular world of development and adaptation. The implications of this recognition form the basis for our concluding reflections on the future of climate governance and the possibilities for genuine transformation in North-South relations.</w:t>
      </w:r>
    </w:p>
    <w:bookmarkEnd w:id="57"/>
    <w:bookmarkEnd w:id="58"/>
    <w:bookmarkStart w:id="63" w:name="sec-conclusion"/>
    <w:p>
      <w:pPr>
        <w:pStyle w:val="Overskrift1"/>
      </w:pPr>
      <w:r>
        <w:t xml:space="preserve">8. Conclusion</w:t>
      </w:r>
    </w:p>
    <w:p>
      <w:pPr>
        <w:pStyle w:val="Bloktekst"/>
      </w:pPr>
      <w:r>
        <w:t xml:space="preserve">Nemik:</w:t>
      </w:r>
      <w:r>
        <w:t xml:space="preserve"> </w:t>
      </w:r>
      <w:r>
        <w:t xml:space="preserve">“Freedom is a pure idea. It occurs spontaneously and without instruction. Random acts of insurrection are occurring constantly throughout the galaxy. There are whole armies, battalions that have no idea that they’ve already enlisted in the cause.”</w:t>
      </w:r>
    </w:p>
    <w:p>
      <w:pPr>
        <w:pStyle w:val="FirstParagraph"/>
      </w:pPr>
      <w:r>
        <w:t xml:space="preserve">This thesis began with a simple observation: climate adaptation has become central to North-South relations, positioned as a solution to the injustices of climate change. The</w:t>
      </w:r>
      <w:r>
        <w:t xml:space="preserve"> </w:t>
      </w:r>
      <w:r>
        <w:t xml:space="preserve">“$100 billion promise”</w:t>
      </w:r>
      <w:r>
        <w:t xml:space="preserve"> </w:t>
      </w:r>
      <w:r>
        <w:t xml:space="preserve">made at Copenhagen, the proliferation of adaptation funds, and the mainstreaming of adaptation into development all suggest a global commitment to helping vulnerable countries prepare for climate impacts. Yet the analysis of 45 National Adaptation Plans reveals a troubling reality. Rather than diverse responses to diverse vulnerabilities, we find remarkable homogeneity—a discourse centralization of 0.956 that speaks more to institutional capture than climate response. The patterns uncovered through structural topic modeling answer the three questions posed at the outset in ways that fundamentally challenge the adaptation enterprise.</w:t>
      </w:r>
    </w:p>
    <w:p>
      <w:pPr>
        <w:pStyle w:val="Brdtekst"/>
      </w:pPr>
      <w:r>
        <w:t xml:space="preserve">What view of climate justice does adaptation have? The dominance of financial mechanisms and procedural frameworks across all NAPs reveals adaptation’s impoverished vision of justice. Climate justice is reduced to resource transfer—getting the right funds through the right channels to the right recipients. Vulnerability appears as a technical deficiency requiring Northern expertise rather than a product of historical and ongoing colonial relations. The near-absence of topics related to rights, reparations, or structural transformation shows how adaptation planning systematically excludes more expansive visions of justice. Countries must frame their needs in terms of institutional capacity and project pipelines rather than land sovereignty or economic restructuring. This is not climate justice but its bureaucratic simulation—a performance that maintains the very relations that produce vulnerability.</w:t>
      </w:r>
    </w:p>
    <w:p>
      <w:pPr>
        <w:pStyle w:val="Brdtekst"/>
      </w:pPr>
      <w:r>
        <w:t xml:space="preserve">How are climate adaptation interventions justified, and who decides? The variance decomposition provides a stark answer: regional institutional networks explain 20.1% of discourse patterns, while the actual geography of climate vulnerability explains merely 1.8%. This reveals adaptation planning as shaped by development banks, regional organizations, and the consultants who move between them—not by communities facing sea-level rise or desertification. The justification comes through technical assessments that construct vulnerability in particular ways, rendering complex political realities as manageable technical problems. The tools of adaptation—vulnerability indices, logical frameworks, monitoring systems—become what shapes adaptation possibilities</w:t>
      </w:r>
      <w:r>
        <w:t xml:space="preserve"> </w:t>
      </w:r>
      <w:r>
        <w:t xml:space="preserve">(Illich, 2009)</w:t>
      </w:r>
      <w:r>
        <w:t xml:space="preserve">. Countries learn to see themselves through these tools, to articulate needs these tools recognize, creating the convergence we observe.</w:t>
      </w:r>
    </w:p>
    <w:p>
      <w:pPr>
        <w:pStyle w:val="Brdtekst"/>
      </w:pPr>
      <w:r>
        <w:t xml:space="preserve">Is climate adaptation effective for delivering climate justice? The empirical evidence compels a negative answer. High discourse centralization reveals adaptation operating as epistemicide, systematically eliminating alternative ways of knowing and responding to environmental change</w:t>
      </w:r>
      <w:r>
        <w:t xml:space="preserve"> </w:t>
      </w:r>
      <w:r>
        <w:t xml:space="preserve">(Santos, 2016)</w:t>
      </w:r>
      <w:r>
        <w:t xml:space="preserve">. The convergence among low-income countries shows vulnerability being constructed rather than addressed, echoing how development discourse produced underdevelopment</w:t>
      </w:r>
      <w:r>
        <w:t xml:space="preserve"> </w:t>
      </w:r>
      <w:r>
        <w:t xml:space="preserve">(Escobar, 1995)</w:t>
      </w:r>
      <w:r>
        <w:t xml:space="preserve">. The dominance of technical and procedural concerns confirms adaptation functioning as an anti-politics machine, transforming questions of justice into matters of administration</w:t>
      </w:r>
      <w:r>
        <w:t xml:space="preserve"> </w:t>
      </w:r>
      <w:r>
        <w:t xml:space="preserve">(Ferguson, 1994)</w:t>
      </w:r>
      <w:r>
        <w:t xml:space="preserve">. Rather than enabling communities to navigate environmental change according to their own knowledge and values, adaptation planning imposes a singular framework that forecloses alternatives while appearing to help.</w:t>
      </w:r>
    </w:p>
    <w:bookmarkStart w:id="59" w:name="theoretical-contributions"/>
    <w:p>
      <w:pPr>
        <w:pStyle w:val="Overskrift2"/>
      </w:pPr>
      <w:r>
        <w:t xml:space="preserve">8.1 Theoretical Contributions</w:t>
      </w:r>
    </w:p>
    <w:p>
      <w:pPr>
        <w:pStyle w:val="FirstParagraph"/>
      </w:pPr>
      <w:r>
        <w:t xml:space="preserve">This research makes several theoretical contributions by providing empirical validation for post-development critiques of climate governance. First, it demonstrates quantitatively what critical scholars have argued qualitatively: that adaptation represents not a break from development paradigms but their continuation through new vocabularies. The vulnerability/adaptation nexus emerges as the contemporary form of the underdevelopment/development nexus, maintaining colonial relations while appearing to address their consequences. Second, the analysis operationalizes the concept of epistemicide, showing how it occurs not through dramatic suppression but through the quiet violence of bureaucratic frameworks that render alternative knowledge systems literally unspeakable in planning documents.</w:t>
      </w:r>
    </w:p>
    <w:p>
      <w:pPr>
        <w:pStyle w:val="Brdtekst"/>
      </w:pPr>
      <w:r>
        <w:t xml:space="preserve">Third, the research bridges critical theory and computational methods, demonstrating how topic modeling can reveal patterns of power and knowledge that might otherwise remain hidden in the sheer volume of policy documents. By making Northern adaptation discourse legible—showing its repetitions, convergences, and silences—we can better understand how power operates through seemingly neutral technical processes. The method reveals not what Southern countries think about adaptation but what they must say to participate in international climate governance. This distinction is crucial for understanding adaptation planning as a technology of governance rather than genuine response to climate impacts.</w:t>
      </w:r>
    </w:p>
    <w:p>
      <w:pPr>
        <w:pStyle w:val="Brdtekst"/>
      </w:pPr>
      <w:r>
        <w:t xml:space="preserve">Finally, the analysis contributes to understanding the specific mechanisms through which colonial relations reproduce themselves in contemporary environmental governance. The regional clustering patterns reveal the crucial role of intermediary institutions and development brokers in creating discursive homogeneity. The state-centric nature of planning combined with technical requirements creates conditions where only certain actors can speak and only certain things can be said. These mechanisms operate not through coercion but through the promise of resources, creating self-reinforcing cycles where countries must perform vulnerability to access funds that reinforce their dependent status.</w:t>
      </w:r>
    </w:p>
    <w:bookmarkEnd w:id="59"/>
    <w:bookmarkStart w:id="60" w:name="the-cop-out"/>
    <w:p>
      <w:pPr>
        <w:pStyle w:val="Overskrift2"/>
      </w:pPr>
      <w:r>
        <w:t xml:space="preserve">8.2 The COP-out</w:t>
      </w:r>
    </w:p>
    <w:p>
      <w:pPr>
        <w:pStyle w:val="FirstParagraph"/>
      </w:pPr>
      <w:r>
        <w:t xml:space="preserve">The title of this thesis carries a double meaning that the analysis confirms. Adaptation finance represents both a literal</w:t>
      </w:r>
      <w:r>
        <w:t xml:space="preserve"> </w:t>
      </w:r>
      <w:r>
        <w:t xml:space="preserve">“Conference of Parties outcome”</w:t>
      </w:r>
      <w:r>
        <w:t xml:space="preserve">—the institutional response to demands for climate justice—and a</w:t>
      </w:r>
      <w:r>
        <w:t xml:space="preserve"> </w:t>
      </w:r>
      <w:r>
        <w:t xml:space="preserve">“cop-out”</w:t>
      </w:r>
      <w:r>
        <w:t xml:space="preserve"> </w:t>
      </w:r>
      <w:r>
        <w:t xml:space="preserve">in the colloquial sense—an evasion of responsibility. While Southern countries reshape their societies through adaptation planning, Northern countries continue the emissions that drive climate change. The Paris Agreement’s careful separation of mitigation, adaptation, and loss and damage serves this evasion, allowing wealthy countries to provide</w:t>
      </w:r>
      <w:r>
        <w:t xml:space="preserve"> </w:t>
      </w:r>
      <w:r>
        <w:t xml:space="preserve">“support”</w:t>
      </w:r>
      <w:r>
        <w:t xml:space="preserve"> </w:t>
      </w:r>
      <w:r>
        <w:t xml:space="preserve">for adaptation while avoiding binding emissions reductions or accepting liability for climate damages.</w:t>
      </w:r>
    </w:p>
    <w:p>
      <w:pPr>
        <w:pStyle w:val="Brdtekst"/>
      </w:pPr>
      <w:r>
        <w:t xml:space="preserve">The irony is profound: homogeneous planning for heterogeneous impacts. Countries facing fundamentally different climate futures—small islands confronting submersion, mountain regions losing glaciers, drylands facing intensified droughts—produce remarkably similar documents focused on institutional arrangements and financial mechanisms. This homogeneity reveals adaptation planning serving institutional rather than environmental purposes. It creates legible subjects for climate finance, standardized problems for technical assistance, and manageable interventions for development agencies. Meanwhile, the actual diversity of climate impacts and potential responses remains largely unaddressed.</w:t>
      </w:r>
    </w:p>
    <w:p>
      <w:pPr>
        <w:pStyle w:val="Brdtekst"/>
      </w:pPr>
      <w:r>
        <w:t xml:space="preserve">The recent COP29 pledge of $300 billion in climate finance by 2035 continues this pattern. Framed as a triumph of multilateralism, it represents another decade of focusing on adaptation in the South rather than mitigation in the North. The logic of the climate damage flowchart remains reversed: rather than stopping emissions at the source, the international community invests in managing symptoms at the periphery. This is not mere inefficiency but active displacement—every dollar spent on adaptation planning is a dollar not spent on industrial transformation in the countries actually driving climate change.</w:t>
      </w:r>
    </w:p>
    <w:p>
      <w:pPr>
        <w:pStyle w:val="Brdtekst"/>
      </w:pPr>
      <w:r>
        <w:t xml:space="preserve">The systematic exclusion of loss and damage from adaptation planning, despite its formal recognition in the Paris Agreement, reveals the limits of acceptable discourse. Countries can discuss future vulnerabilities and adaptation needs but not present damages and historical responsibility. They can request capacity building but not reparations. They can plan for resilience but not demand compensation. These exclusions maintain the fiction that climate change is a future problem requiring technical preparation rather than a present injustice requiring political transformation.</w:t>
      </w:r>
    </w:p>
    <w:bookmarkEnd w:id="60"/>
    <w:bookmarkStart w:id="61" w:name="future-research-directions"/>
    <w:p>
      <w:pPr>
        <w:pStyle w:val="Overskrift2"/>
      </w:pPr>
      <w:r>
        <w:t xml:space="preserve">8.3 Future Research Directions</w:t>
      </w:r>
    </w:p>
    <w:p>
      <w:pPr>
        <w:pStyle w:val="FirstParagraph"/>
      </w:pPr>
      <w:r>
        <w:t xml:space="preserve">This analysis opens several critical avenues for future research. First, studying community responses outside state frameworks could reveal the alternative epistemologies and practices that NAPs systematically exclude. How do fishing communities, forest dwellers, and pastoralists actually navigate environmental change? What knowledge systems guide their responses? How do these differ from state plans? Such research requires methods that can capture knowledge expressed through practice rather than policy documents.</w:t>
      </w:r>
    </w:p>
    <w:p>
      <w:pPr>
        <w:pStyle w:val="Brdtekst"/>
      </w:pPr>
      <w:r>
        <w:t xml:space="preserve">Second, tracking how adaptation projects actually unfold on the ground could illuminate the gap between planning and reality. Do the homogeneous plans produce homogeneous outcomes? How do communities resist, reshape, or repurpose adaptation interventions? What happens when technocratic plans meet complex social realities? Understanding implementation could reveal both the limits of planning and the spaces where alternatives emerge.</w:t>
      </w:r>
    </w:p>
    <w:p>
      <w:pPr>
        <w:pStyle w:val="Brdtekst"/>
      </w:pPr>
      <w:r>
        <w:t xml:space="preserve">Third, the</w:t>
      </w:r>
      <w:r>
        <w:t xml:space="preserve"> </w:t>
      </w:r>
      <w:r>
        <w:t xml:space="preserve">“cracks”</w:t>
      </w:r>
      <w:r>
        <w:t xml:space="preserve"> </w:t>
      </w:r>
      <w:r>
        <w:t xml:space="preserve">in the system deserve deeper investigation. Why do middle-income countries show greater discourse diversity? What enables their partial autonomy? Could these spaces of relative freedom provide models for escaping the adaptation regime? Similarly, examining regional variations could reveal how different institutional configurations enable or constrain alternative approaches.</w:t>
      </w:r>
    </w:p>
    <w:p>
      <w:pPr>
        <w:pStyle w:val="Brdtekst"/>
      </w:pPr>
      <w:r>
        <w:t xml:space="preserve">Finally, developing methods for amplifying marginalized knowledge systems remains crucial. If current research methods privilege written documents and formal institutions, how might we develop approaches that recognize oral traditions, embodied practices, and communal knowledge? This is not merely a methodological challenge but a political one—requiring researchers to question their own role in either reproducing or challenging epistemicide.</w:t>
      </w:r>
    </w:p>
    <w:bookmarkEnd w:id="61"/>
    <w:bookmarkStart w:id="62" w:name="whose-futures"/>
    <w:p>
      <w:pPr>
        <w:pStyle w:val="Overskrift2"/>
      </w:pPr>
      <w:r>
        <w:t xml:space="preserve">8.4 Whose Futures?</w:t>
      </w:r>
    </w:p>
    <w:p>
      <w:pPr>
        <w:pStyle w:val="FirstParagraph"/>
      </w:pPr>
      <w:r>
        <w:t xml:space="preserve">This thesis began with questions about climate justice and power: who gets to imagine whose future in a changing climate? The analysis provides a clear if troubling answer. Through the apparatus of adaptation planning, Northern institutions imagine Southern futures. They determine what counts as vulnerability, what constitutes appropriate response, and what makes successful adaptation. Southern countries must translate their complex realities into forms these institutions recognize—vulnerability assessments, logical frameworks, project documents—or remain excluded from climate finance.</w:t>
      </w:r>
    </w:p>
    <w:p>
      <w:pPr>
        <w:pStyle w:val="Brdtekst"/>
      </w:pPr>
      <w:r>
        <w:t xml:space="preserve">The patterns revealed through topic modeling show this is not climate adaptation but institutional adaptation. Countries adapt not to changing rainfall or rising seas but to donor requirements and funding criteria. They develop the capacity not to navigate environmental change but to navigate international bureaucracies. The knowledge that matters is not traditional ecological wisdom or community innovation but the ability to produce documents that secure resources. This represents a profound foreclosure of possibilities—eliminating alternative futures before they can be imagined.</w:t>
      </w:r>
    </w:p>
    <w:p>
      <w:pPr>
        <w:pStyle w:val="Brdtekst"/>
      </w:pPr>
      <w:r>
        <w:t xml:space="preserve">The necessary shift requires recognizing that communities have always adapted to environmental variability and continue to do so outside state and international frameworks. Before NAPs, before UNFCCC, before development itself, human communities developed sophisticated ways of living with environmental uncertainty. These approaches—based on reciprocity rather than resource management, embedded in place rather than abstracted into models, responsive to local rather than global signals—persist despite their marginalization. Supporting them requires not new planning frameworks but stepping back from the pretense that adaptation must be managed from above.</w:t>
      </w:r>
    </w:p>
    <w:p>
      <w:pPr>
        <w:pStyle w:val="Brdtekst"/>
      </w:pPr>
      <w:r>
        <w:t xml:space="preserve">The paradox that emerges from this analysis is that effective climate justice may require less adaptation planning, not more. Each NAP, each vulnerability assessment, each project document further entrenches the frameworks that produce homogenization and epistemicide. Rather than reformed institutions or increased finance, climate justice requires fundamentally different starting points—recognizing indigenous sovereignty, supporting community autonomy, addressing structural drivers of vulnerability. Most fundamentally, it requires Northern countries to rapidly reduce their own emissions rather than reshaping Southern societies through adaptation planning.</w:t>
      </w:r>
    </w:p>
    <w:p>
      <w:pPr>
        <w:pStyle w:val="Brdtekst"/>
      </w:pPr>
      <w:r>
        <w:t xml:space="preserve">This brings us to a stark choice that extends beyond climate governance to the future of North-South relations. Do we continue down the path of epistemicide—eliminating knowledge diversity, imposing singular frameworks, foreclosing alternative futures? Or do we nurture the pluriverse—recognizing multiple ways of knowing and being, supporting diverse responses to environmental change, enabling communities to create their own futures? The high discourse centralization documented in this research shows the current path leads toward homogenization, depoliticization, and continued colonial relations disguised as climate response.</w:t>
      </w:r>
    </w:p>
    <w:p>
      <w:pPr>
        <w:pStyle w:val="Brdtekst"/>
      </w:pPr>
      <w:r>
        <w:t xml:space="preserve">The 100 billion dollar question is not whether wealthy countries will provide adaptation finance—they already are, and will likely provide more. The question is whether this finance will continue to operate as a COP-out, allowing the North to avoid fundamental changes while appearing to help the South. The answer lies not in better planning or more resources but in recognizing that climate justice cannot be delivered through the same institutions and frameworks that produce climate injustice. Real transformation requires abandoning the pretense that Northern institutions can manage Southern adaptation. It requires recognizing that the most effective adaptation support the North can provide is to stop driving the climate change that makes adaptation necessary in the first place. Until then, adaptation remains what this analysis reveals it to be: not climate justice but its most sophisticated evasion.</w:t>
      </w:r>
    </w:p>
    <w:bookmarkEnd w:id="62"/>
    <w:bookmarkEnd w:id="63"/>
    <w:bookmarkStart w:id="177" w:name="references"/>
    <w:p>
      <w:pPr>
        <w:pStyle w:val="Overskrift1"/>
      </w:pPr>
      <w:r>
        <w:t xml:space="preserve">References</w:t>
      </w:r>
    </w:p>
    <w:bookmarkStart w:id="176" w:name="refs"/>
    <w:bookmarkStart w:id="64"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64"/>
    <w:bookmarkStart w:id="65"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5"/>
    <w:bookmarkStart w:id="66" w:name="ref-bierschenk2002"/>
    <w:p>
      <w:pPr>
        <w:pStyle w:val="Bibliografi"/>
      </w:pPr>
      <w:r>
        <w:t xml:space="preserve">Bierschenk, T., Chauveau, J.-P., &amp; de Sardan, J.-P. O. (2002).</w:t>
      </w:r>
      <w:r>
        <w:t xml:space="preserve"> </w:t>
      </w:r>
      <w:r>
        <w:rPr>
          <w:i/>
          <w:iCs/>
        </w:rPr>
        <w:t xml:space="preserve">Local development brokers in africa</w:t>
      </w:r>
      <w:r>
        <w:t xml:space="preserve"> </w:t>
      </w:r>
      <w:r>
        <w:t xml:space="preserve">(13). Institut für Ethnologie und Afrikastudien, Johannes Gutenberg-Universität.</w:t>
      </w:r>
    </w:p>
    <w:bookmarkEnd w:id="66"/>
    <w:bookmarkStart w:id="68" w:name="ref-brinks2025"/>
    <w:p>
      <w:pPr>
        <w:pStyle w:val="Bibliografi"/>
      </w:pPr>
      <w:r>
        <w:t xml:space="preserve">Brinks, V., &amp; Donner, F. (2025). Approaching</w:t>
      </w:r>
      <w:r>
        <w:t xml:space="preserve"> </w:t>
      </w:r>
      <w:r>
        <w:t xml:space="preserve">“the expert”</w:t>
      </w:r>
      <w:r>
        <w:t xml:space="preserve"> </w:t>
      </w:r>
      <w:r>
        <w:t xml:space="preserve">in times of (digital) disruptions: Towards a geography of expertise.</w:t>
      </w:r>
      <w:r>
        <w:t xml:space="preserve"> </w:t>
      </w:r>
      <w:r>
        <w:rPr>
          <w:i/>
          <w:iCs/>
        </w:rPr>
        <w:t xml:space="preserve">Progress in Human Geography</w:t>
      </w:r>
      <w:r>
        <w:t xml:space="preserve">, 03091325251337717.</w:t>
      </w:r>
      <w:r>
        <w:t xml:space="preserve"> </w:t>
      </w:r>
      <w:hyperlink r:id="rId67">
        <w:r>
          <w:rPr>
            <w:rStyle w:val="Hyperlink"/>
          </w:rPr>
          <w:t xml:space="preserve">https://doi.org/10.1177/03091325251337717</w:t>
        </w:r>
      </w:hyperlink>
    </w:p>
    <w:bookmarkEnd w:id="68"/>
    <w:bookmarkStart w:id="70" w:name="ref-chakrabarty2009"/>
    <w:p>
      <w:pPr>
        <w:pStyle w:val="Bibliografi"/>
      </w:pPr>
      <w:r>
        <w:t xml:space="preserve">Chakrabarty, D. (2009).</w:t>
      </w:r>
      <w:r>
        <w:t xml:space="preserve"> </w:t>
      </w:r>
      <w:r>
        <w:rPr>
          <w:i/>
          <w:iCs/>
        </w:rPr>
        <w:t xml:space="preserve">Provincializing europe: Postcolonial thought and historical difference</w:t>
      </w:r>
      <w:r>
        <w:t xml:space="preserve"> </w:t>
      </w:r>
      <w:r>
        <w:t xml:space="preserve">(New edition with a new preface by the author). Princeton University Press.</w:t>
      </w:r>
      <w:r>
        <w:t xml:space="preserve"> </w:t>
      </w:r>
      <w:hyperlink r:id="rId69">
        <w:r>
          <w:rPr>
            <w:rStyle w:val="Hyperlink"/>
          </w:rPr>
          <w:t xml:space="preserve">https://doi.org/10.1515/9781400828654</w:t>
        </w:r>
      </w:hyperlink>
    </w:p>
    <w:bookmarkEnd w:id="70"/>
    <w:bookmarkStart w:id="72" w:name="ref-cons2021"/>
    <w:p>
      <w:pPr>
        <w:pStyle w:val="Bibliografi"/>
      </w:pPr>
      <w:r>
        <w:t xml:space="preserve">Cons, J. (2021). Ecologies of capture in bangladesh’s sundarbans.</w:t>
      </w:r>
      <w:r>
        <w:t xml:space="preserve"> </w:t>
      </w:r>
      <w:r>
        <w:rPr>
          <w:i/>
          <w:iCs/>
        </w:rPr>
        <w:t xml:space="preserve">American Ethnologist</w:t>
      </w:r>
      <w:r>
        <w:t xml:space="preserve">,</w:t>
      </w:r>
      <w:r>
        <w:t xml:space="preserve"> </w:t>
      </w:r>
      <w:r>
        <w:rPr>
          <w:i/>
          <w:iCs/>
        </w:rPr>
        <w:t xml:space="preserve">48</w:t>
      </w:r>
      <w:r>
        <w:t xml:space="preserve">(3), 245–259.</w:t>
      </w:r>
      <w:r>
        <w:t xml:space="preserve"> </w:t>
      </w:r>
      <w:hyperlink r:id="rId71">
        <w:r>
          <w:rPr>
            <w:rStyle w:val="Hyperlink"/>
          </w:rPr>
          <w:t xml:space="preserve">https://doi.org/10.1111/amet.13022</w:t>
        </w:r>
      </w:hyperlink>
    </w:p>
    <w:bookmarkEnd w:id="72"/>
    <w:bookmarkStart w:id="73" w:name="ref-corntassel2021"/>
    <w:p>
      <w:pPr>
        <w:pStyle w:val="Bibliografi"/>
      </w:pPr>
      <w:r>
        <w:t xml:space="preserve">Corntassel, J. (2021). Life beyond the state: Regenerating indigenous international relations and everyday challenges to settler colonialism.</w:t>
      </w:r>
      <w:r>
        <w:t xml:space="preserve"> </w:t>
      </w:r>
      <w:r>
        <w:rPr>
          <w:i/>
          <w:iCs/>
        </w:rPr>
        <w:t xml:space="preserve">Anarchist Developments in Cultural Studies</w:t>
      </w:r>
      <w:r>
        <w:t xml:space="preserve">,</w:t>
      </w:r>
      <w:r>
        <w:t xml:space="preserve"> </w:t>
      </w:r>
      <w:r>
        <w:rPr>
          <w:i/>
          <w:iCs/>
        </w:rPr>
        <w:t xml:space="preserve">1</w:t>
      </w:r>
      <w:r>
        <w:t xml:space="preserve">(1), 28.</w:t>
      </w:r>
    </w:p>
    <w:bookmarkEnd w:id="73"/>
    <w:bookmarkStart w:id="75" w:name="ref-demaria2023"/>
    <w:p>
      <w:pPr>
        <w:pStyle w:val="Bibliografi"/>
      </w:pPr>
      <w:r>
        <w:t xml:space="preserve">Demaria, F., Kothari, A., Salleh, A., Escobar, A., &amp; Acosta, A. (2023). Post-development: From the critique of development to a pluriverse of alternatives. In S. Villamayor-Tomas &amp; R. Muradian (Eds.),</w:t>
      </w:r>
      <w:r>
        <w:t xml:space="preserve"> </w:t>
      </w:r>
      <w:r>
        <w:rPr>
          <w:i/>
          <w:iCs/>
        </w:rPr>
        <w:t xml:space="preserve">The barcelona school of ecological economics and political ecology: A companion in honour of joan martinez-alier</w:t>
      </w:r>
      <w:r>
        <w:t xml:space="preserve"> </w:t>
      </w:r>
      <w:r>
        <w:t xml:space="preserve">(pp. 59–69). Springer International Publishing.</w:t>
      </w:r>
      <w:r>
        <w:t xml:space="preserve"> </w:t>
      </w:r>
      <w:hyperlink r:id="rId74">
        <w:r>
          <w:rPr>
            <w:rStyle w:val="Hyperlink"/>
          </w:rPr>
          <w:t xml:space="preserve">https://doi.org/10.1007/978-3-031-22566-6_6</w:t>
        </w:r>
      </w:hyperlink>
    </w:p>
    <w:bookmarkEnd w:id="75"/>
    <w:bookmarkStart w:id="76"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76"/>
    <w:bookmarkStart w:id="78" w:name="ref-dewan2021"/>
    <w:p>
      <w:pPr>
        <w:pStyle w:val="Bibliografi"/>
      </w:pPr>
      <w:r>
        <w:t xml:space="preserve">Dewan, C. (2021).</w:t>
      </w:r>
      <w:r>
        <w:t xml:space="preserve"> </w:t>
      </w:r>
      <w:r>
        <w:rPr>
          <w:i/>
          <w:iCs/>
        </w:rPr>
        <w:t xml:space="preserve">Misreading the bengal delta: Climate change, development, and livelihoods in coastal</w:t>
      </w:r>
      <w:r>
        <w:rPr>
          <w:i/>
          <w:iCs/>
        </w:rPr>
        <w:t xml:space="preserve"> </w:t>
      </w:r>
      <w:r>
        <w:rPr>
          <w:i/>
          <w:iCs/>
        </w:rPr>
        <w:t xml:space="preserve">bangladesh</w:t>
      </w:r>
      <w:r>
        <w:t xml:space="preserve">. University of Washington Press.</w:t>
      </w:r>
      <w:r>
        <w:t xml:space="preserve"> </w:t>
      </w:r>
      <w:hyperlink r:id="rId77">
        <w:r>
          <w:rPr>
            <w:rStyle w:val="Hyperlink"/>
          </w:rPr>
          <w:t xml:space="preserve">https://www.jstor.org/stable/j.ctv2114fm3</w:t>
        </w:r>
      </w:hyperlink>
    </w:p>
    <w:bookmarkEnd w:id="78"/>
    <w:bookmarkStart w:id="80"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79">
        <w:r>
          <w:rPr>
            <w:rStyle w:val="Hyperlink"/>
          </w:rPr>
          <w:t xml:space="preserve">https://doi.org/10.1080/00141844.2020.1788109</w:t>
        </w:r>
      </w:hyperlink>
    </w:p>
    <w:bookmarkEnd w:id="80"/>
    <w:bookmarkStart w:id="82" w:name="ref-eilenberg2015"/>
    <w:p>
      <w:pPr>
        <w:pStyle w:val="Bibliografi"/>
      </w:pPr>
      <w:r>
        <w:t xml:space="preserve">Eilenberg, M. (2015). Shades of green and REDD: Local and global contestations over the value of forest versus plantation development on the indonesian forest frontier.</w:t>
      </w:r>
      <w:r>
        <w:t xml:space="preserve"> </w:t>
      </w:r>
      <w:r>
        <w:rPr>
          <w:i/>
          <w:iCs/>
        </w:rPr>
        <w:t xml:space="preserve">Asia Pacific Viewpoint</w:t>
      </w:r>
      <w:r>
        <w:t xml:space="preserve">,</w:t>
      </w:r>
      <w:r>
        <w:t xml:space="preserve"> </w:t>
      </w:r>
      <w:r>
        <w:rPr>
          <w:i/>
          <w:iCs/>
        </w:rPr>
        <w:t xml:space="preserve">56</w:t>
      </w:r>
      <w:r>
        <w:t xml:space="preserve">(1), 48–61.</w:t>
      </w:r>
      <w:r>
        <w:t xml:space="preserve"> </w:t>
      </w:r>
      <w:hyperlink r:id="rId81">
        <w:r>
          <w:rPr>
            <w:rStyle w:val="Hyperlink"/>
          </w:rPr>
          <w:t xml:space="preserve">https://doi.org/10.1111/apv.12084</w:t>
        </w:r>
      </w:hyperlink>
    </w:p>
    <w:bookmarkEnd w:id="82"/>
    <w:bookmarkStart w:id="84" w:name="ref-eilenberg2022"/>
    <w:p>
      <w:pPr>
        <w:pStyle w:val="Bibliografi"/>
      </w:pPr>
      <w:r>
        <w:t xml:space="preserve">Eilenberg, M. (2022). The last enclosure: Smoke, fire and crisis on the indonesian forest frontier.</w:t>
      </w:r>
      <w:r>
        <w:t xml:space="preserve"> </w:t>
      </w:r>
      <w:r>
        <w:rPr>
          <w:i/>
          <w:iCs/>
        </w:rPr>
        <w:t xml:space="preserve">The Journal of Peasant Studies</w:t>
      </w:r>
      <w:r>
        <w:t xml:space="preserve">,</w:t>
      </w:r>
      <w:r>
        <w:t xml:space="preserve"> </w:t>
      </w:r>
      <w:r>
        <w:rPr>
          <w:i/>
          <w:iCs/>
        </w:rPr>
        <w:t xml:space="preserve">49</w:t>
      </w:r>
      <w:r>
        <w:t xml:space="preserve">(5), 969–998.</w:t>
      </w:r>
      <w:r>
        <w:t xml:space="preserve"> </w:t>
      </w:r>
      <w:hyperlink r:id="rId83">
        <w:r>
          <w:rPr>
            <w:rStyle w:val="Hyperlink"/>
          </w:rPr>
          <w:t xml:space="preserve">https://doi.org/10.1080/03066150.2021.1907355</w:t>
        </w:r>
      </w:hyperlink>
    </w:p>
    <w:bookmarkEnd w:id="84"/>
    <w:bookmarkStart w:id="86"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85">
        <w:r>
          <w:rPr>
            <w:rStyle w:val="Hyperlink"/>
          </w:rPr>
          <w:t xml:space="preserve">https://doi.org/10.3362/9781780440415.001</w:t>
        </w:r>
      </w:hyperlink>
    </w:p>
    <w:bookmarkEnd w:id="86"/>
    <w:bookmarkStart w:id="8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87">
        <w:r>
          <w:rPr>
            <w:rStyle w:val="Hyperlink"/>
          </w:rPr>
          <w:t xml:space="preserve">https://doi.org/10.1016/j.worlddev.2020.105383</w:t>
        </w:r>
      </w:hyperlink>
    </w:p>
    <w:bookmarkEnd w:id="88"/>
    <w:bookmarkStart w:id="9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89">
        <w:r>
          <w:rPr>
            <w:rStyle w:val="Hyperlink"/>
          </w:rPr>
          <w:t xml:space="preserve">https://www.jstor.org/stable/j.ctt7rtgw</w:t>
        </w:r>
      </w:hyperlink>
    </w:p>
    <w:bookmarkEnd w:id="90"/>
    <w:bookmarkStart w:id="9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91"/>
    <w:bookmarkStart w:id="9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92"/>
    <w:bookmarkStart w:id="94" w:name="ref-escobar2021"/>
    <w:p>
      <w:pPr>
        <w:pStyle w:val="Bibliografi"/>
      </w:pPr>
      <w:r>
        <w:t xml:space="preserve">Escobar, A. (2021). Reframing civilization(s): From critique to transitions.</w:t>
      </w:r>
      <w:r>
        <w:t xml:space="preserve"> </w:t>
      </w:r>
      <w:r>
        <w:rPr>
          <w:i/>
          <w:iCs/>
        </w:rPr>
        <w:t xml:space="preserve">Globalizations</w:t>
      </w:r>
      <w:r>
        <w:t xml:space="preserve">,</w:t>
      </w:r>
      <w:r>
        <w:t xml:space="preserve"> </w:t>
      </w:r>
      <w:r>
        <w:rPr>
          <w:i/>
          <w:iCs/>
        </w:rPr>
        <w:t xml:space="preserve">0</w:t>
      </w:r>
      <w:r>
        <w:t xml:space="preserve">(0), 1–18.</w:t>
      </w:r>
      <w:r>
        <w:t xml:space="preserve"> </w:t>
      </w:r>
      <w:hyperlink r:id="rId93">
        <w:r>
          <w:rPr>
            <w:rStyle w:val="Hyperlink"/>
          </w:rPr>
          <w:t xml:space="preserve">https://doi.org/10.1080/14747731.2021.2002673</w:t>
        </w:r>
      </w:hyperlink>
    </w:p>
    <w:bookmarkEnd w:id="94"/>
    <w:bookmarkStart w:id="9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95"/>
    <w:bookmarkStart w:id="97" w:name="ref-figueroa-helland2014"/>
    <w:p>
      <w:pPr>
        <w:pStyle w:val="Bibliografi"/>
      </w:pPr>
      <w:r>
        <w:t xml:space="preserve">Figueroa-Helland, L., &amp; Borg, S. (2014). The lure of state failure: A critique of state failure discourse in world politics.</w:t>
      </w:r>
      <w:r>
        <w:t xml:space="preserve"> </w:t>
      </w:r>
      <w:r>
        <w:rPr>
          <w:i/>
          <w:iCs/>
        </w:rPr>
        <w:t xml:space="preserve">Interventions</w:t>
      </w:r>
      <w:r>
        <w:t xml:space="preserve">,</w:t>
      </w:r>
      <w:r>
        <w:t xml:space="preserve"> </w:t>
      </w:r>
      <w:r>
        <w:rPr>
          <w:i/>
          <w:iCs/>
        </w:rPr>
        <w:t xml:space="preserve">16</w:t>
      </w:r>
      <w:r>
        <w:t xml:space="preserve">(6), 877–897.</w:t>
      </w:r>
      <w:r>
        <w:t xml:space="preserve"> </w:t>
      </w:r>
      <w:hyperlink r:id="rId96">
        <w:r>
          <w:rPr>
            <w:rStyle w:val="Hyperlink"/>
          </w:rPr>
          <w:t xml:space="preserve">https://doi.org/10.1080/1369801X.2013.798140</w:t>
        </w:r>
      </w:hyperlink>
    </w:p>
    <w:bookmarkEnd w:id="97"/>
    <w:bookmarkStart w:id="98"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98"/>
    <w:bookmarkStart w:id="99"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99"/>
    <w:bookmarkStart w:id="101"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100">
        <w:r>
          <w:rPr>
            <w:rStyle w:val="Hyperlink"/>
          </w:rPr>
          <w:t xml:space="preserve">https://doi.org/10.3384/cu.2000.1525.1790615</w:t>
        </w:r>
      </w:hyperlink>
    </w:p>
    <w:bookmarkEnd w:id="101"/>
    <w:bookmarkStart w:id="103"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102">
        <w:r>
          <w:rPr>
            <w:rStyle w:val="Hyperlink"/>
          </w:rPr>
          <w:t xml:space="preserve">https://doi.org/10.1177/1354066117725157</w:t>
        </w:r>
      </w:hyperlink>
    </w:p>
    <w:bookmarkEnd w:id="103"/>
    <w:bookmarkStart w:id="105" w:name="ref-hulme2008"/>
    <w:p>
      <w:pPr>
        <w:pStyle w:val="Bibliografi"/>
      </w:pPr>
      <w:r>
        <w:t xml:space="preserve">Hulme, M. (2008). The conquering of climate: Discourses of fear and their dissolution.</w:t>
      </w:r>
      <w:r>
        <w:t xml:space="preserve"> </w:t>
      </w:r>
      <w:r>
        <w:rPr>
          <w:i/>
          <w:iCs/>
        </w:rPr>
        <w:t xml:space="preserve">The Geographical Journal</w:t>
      </w:r>
      <w:r>
        <w:t xml:space="preserve">,</w:t>
      </w:r>
      <w:r>
        <w:t xml:space="preserve"> </w:t>
      </w:r>
      <w:r>
        <w:rPr>
          <w:i/>
          <w:iCs/>
        </w:rPr>
        <w:t xml:space="preserve">174</w:t>
      </w:r>
      <w:r>
        <w:t xml:space="preserve">(1), 5–16.</w:t>
      </w:r>
      <w:r>
        <w:t xml:space="preserve"> </w:t>
      </w:r>
      <w:hyperlink r:id="rId104">
        <w:r>
          <w:rPr>
            <w:rStyle w:val="Hyperlink"/>
          </w:rPr>
          <w:t xml:space="preserve">https://doi.org/10.1111/j.1475-4959.2008.00266.x</w:t>
        </w:r>
      </w:hyperlink>
    </w:p>
    <w:bookmarkEnd w:id="105"/>
    <w:bookmarkStart w:id="107"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106">
        <w:r>
          <w:rPr>
            <w:rStyle w:val="Hyperlink"/>
          </w:rPr>
          <w:t xml:space="preserve">https://doi.org/10.1086/661274</w:t>
        </w:r>
      </w:hyperlink>
    </w:p>
    <w:bookmarkEnd w:id="107"/>
    <w:bookmarkStart w:id="108" w:name="ref-hulme2023"/>
    <w:p>
      <w:pPr>
        <w:pStyle w:val="Bibliografi"/>
      </w:pPr>
      <w:r>
        <w:t xml:space="preserve">Hulme, M. (2023).</w:t>
      </w:r>
      <w:r>
        <w:t xml:space="preserve"> </w:t>
      </w:r>
      <w:r>
        <w:rPr>
          <w:i/>
          <w:iCs/>
        </w:rPr>
        <w:t xml:space="preserve">Climate change isn’t everything</w:t>
      </w:r>
      <w:r>
        <w:t xml:space="preserve">. Polity Press.</w:t>
      </w:r>
    </w:p>
    <w:bookmarkEnd w:id="108"/>
    <w:bookmarkStart w:id="109" w:name="ref-illich2009"/>
    <w:p>
      <w:pPr>
        <w:pStyle w:val="Bibliografi"/>
      </w:pPr>
      <w:r>
        <w:t xml:space="preserve">Illich, I. (2009).</w:t>
      </w:r>
      <w:r>
        <w:t xml:space="preserve"> </w:t>
      </w:r>
      <w:r>
        <w:rPr>
          <w:i/>
          <w:iCs/>
        </w:rPr>
        <w:t xml:space="preserve">Tools for conviviality</w:t>
      </w:r>
      <w:r>
        <w:t xml:space="preserve">. Marion Boyars.</w:t>
      </w:r>
    </w:p>
    <w:bookmarkEnd w:id="109"/>
    <w:bookmarkStart w:id="11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110">
        <w:r>
          <w:rPr>
            <w:rStyle w:val="Hyperlink"/>
          </w:rPr>
          <w:t xml:space="preserve">https://doi.org/10.1016/0016-3287(90)90077-U</w:t>
        </w:r>
      </w:hyperlink>
    </w:p>
    <w:bookmarkEnd w:id="111"/>
    <w:bookmarkStart w:id="113"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112">
        <w:r>
          <w:rPr>
            <w:rStyle w:val="Hyperlink"/>
          </w:rPr>
          <w:t xml:space="preserve">https://doi.org/10.3763/cdev.2010.0053</w:t>
        </w:r>
      </w:hyperlink>
    </w:p>
    <w:bookmarkEnd w:id="113"/>
    <w:bookmarkStart w:id="11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114">
        <w:r>
          <w:rPr>
            <w:rStyle w:val="Hyperlink"/>
          </w:rPr>
          <w:t xml:space="preserve">https://doi.org/10.1016/j.geoforum.2013.01.005</w:t>
        </w:r>
      </w:hyperlink>
    </w:p>
    <w:bookmarkEnd w:id="115"/>
    <w:bookmarkStart w:id="11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116">
        <w:r>
          <w:rPr>
            <w:rStyle w:val="Hyperlink"/>
          </w:rPr>
          <w:t xml:space="preserve">https://doi.org/10.1080/14693062.2021.1947177</w:t>
        </w:r>
      </w:hyperlink>
    </w:p>
    <w:bookmarkEnd w:id="117"/>
    <w:bookmarkStart w:id="11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118"/>
    <w:bookmarkStart w:id="120" w:name="ref-li2007"/>
    <w:p>
      <w:pPr>
        <w:pStyle w:val="Bibliografi"/>
      </w:pPr>
      <w:r>
        <w:t xml:space="preserve">Li, T. M. (2007).</w:t>
      </w:r>
      <w:r>
        <w:t xml:space="preserve"> </w:t>
      </w:r>
      <w:r>
        <w:rPr>
          <w:i/>
          <w:iCs/>
        </w:rPr>
        <w:t xml:space="preserve">The will to improve: Governmentality, development, and the practice of politics</w:t>
      </w:r>
      <w:r>
        <w:t xml:space="preserve">. Duke University Press.</w:t>
      </w:r>
      <w:r>
        <w:t xml:space="preserve"> </w:t>
      </w:r>
      <w:hyperlink r:id="rId119">
        <w:r>
          <w:rPr>
            <w:rStyle w:val="Hyperlink"/>
          </w:rPr>
          <w:t xml:space="preserve">https://doi.org/10.2307/j.ctv11smt9s</w:t>
        </w:r>
      </w:hyperlink>
    </w:p>
    <w:bookmarkEnd w:id="120"/>
    <w:bookmarkStart w:id="122"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121">
        <w:r>
          <w:rPr>
            <w:rStyle w:val="Hyperlink"/>
          </w:rPr>
          <w:t xml:space="preserve">https://doi.org/10.1007/s11625-020-00807-9</w:t>
        </w:r>
      </w:hyperlink>
    </w:p>
    <w:bookmarkEnd w:id="122"/>
    <w:bookmarkStart w:id="124" w:name="ref-mignolo2011"/>
    <w:p>
      <w:pPr>
        <w:pStyle w:val="Bibliografi"/>
      </w:pPr>
      <w:r>
        <w:t xml:space="preserve">Mignolo, W. D. (2011).</w:t>
      </w:r>
      <w:r>
        <w:t xml:space="preserve"> </w:t>
      </w:r>
      <w:r>
        <w:rPr>
          <w:i/>
          <w:iCs/>
        </w:rPr>
        <w:t xml:space="preserve">The darker side of western modernity: Global futures, decolonial options</w:t>
      </w:r>
      <w:r>
        <w:t xml:space="preserve">. Duke University Press.</w:t>
      </w:r>
      <w:r>
        <w:t xml:space="preserve"> </w:t>
      </w:r>
      <w:hyperlink r:id="rId123">
        <w:r>
          <w:rPr>
            <w:rStyle w:val="Hyperlink"/>
          </w:rPr>
          <w:t xml:space="preserve">https://doi.org/10.1515/9780822394501</w:t>
        </w:r>
      </w:hyperlink>
    </w:p>
    <w:bookmarkEnd w:id="124"/>
    <w:bookmarkStart w:id="126"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125">
        <w:r>
          <w:rPr>
            <w:rStyle w:val="Hyperlink"/>
          </w:rPr>
          <w:t xml:space="preserve">https://doi.org/10.1080/14693062.2024.2378194</w:t>
        </w:r>
      </w:hyperlink>
    </w:p>
    <w:bookmarkEnd w:id="126"/>
    <w:bookmarkStart w:id="127" w:name="ref-mosse2011"/>
    <w:p>
      <w:pPr>
        <w:pStyle w:val="Bibliografi"/>
      </w:pPr>
      <w:r>
        <w:t xml:space="preserve">Mosse, D. (2011).</w:t>
      </w:r>
      <w:r>
        <w:t xml:space="preserve"> </w:t>
      </w:r>
      <w:r>
        <w:rPr>
          <w:i/>
          <w:iCs/>
        </w:rPr>
        <w:t xml:space="preserve">Adventures in aidland: The anthropology of professionals in international development</w:t>
      </w:r>
      <w:r>
        <w:t xml:space="preserve">. Berghahn Books.</w:t>
      </w:r>
    </w:p>
    <w:bookmarkEnd w:id="127"/>
    <w:bookmarkStart w:id="129"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28">
        <w:r>
          <w:rPr>
            <w:rStyle w:val="Hyperlink"/>
          </w:rPr>
          <w:t xml:space="preserve">https://doi.org/10.1016/j.gloenvcha.2022.102527</w:t>
        </w:r>
      </w:hyperlink>
    </w:p>
    <w:bookmarkEnd w:id="129"/>
    <w:bookmarkStart w:id="131" w:name="ref-nightingale2020"/>
    <w:p>
      <w:pPr>
        <w:pStyle w:val="Bibliografi"/>
      </w:pPr>
      <w:r>
        <w:t xml:space="preserve">Nightingale, A. J., Eriksen, S., Taylor, M., Forsyth, T., Pelling, M., Newsham, A., Boyd, E., Brown, K., Harvey, B., Jones, L., Bezner Kerr, R., Mehta, L., Naess, L. O., Ockwell, D., Scoones, I., Tanner, T., &amp; Whitfield, S. (2020). Beyond technical fixes: Climate solutions and the great derangement.</w:t>
      </w:r>
      <w:r>
        <w:t xml:space="preserve"> </w:t>
      </w:r>
      <w:r>
        <w:rPr>
          <w:i/>
          <w:iCs/>
        </w:rPr>
        <w:t xml:space="preserve">Climate and Development</w:t>
      </w:r>
      <w:r>
        <w:t xml:space="preserve">,</w:t>
      </w:r>
      <w:r>
        <w:t xml:space="preserve"> </w:t>
      </w:r>
      <w:r>
        <w:rPr>
          <w:i/>
          <w:iCs/>
        </w:rPr>
        <w:t xml:space="preserve">12</w:t>
      </w:r>
      <w:r>
        <w:t xml:space="preserve">(4), 343–352.</w:t>
      </w:r>
      <w:r>
        <w:t xml:space="preserve"> </w:t>
      </w:r>
      <w:hyperlink r:id="rId130">
        <w:r>
          <w:rPr>
            <w:rStyle w:val="Hyperlink"/>
          </w:rPr>
          <w:t xml:space="preserve">https://doi.org/10.1080/17565529.2019.1624495</w:t>
        </w:r>
      </w:hyperlink>
    </w:p>
    <w:bookmarkEnd w:id="131"/>
    <w:bookmarkStart w:id="133" w:name="ref-paprocki2019"/>
    <w:p>
      <w:pPr>
        <w:pStyle w:val="Bibliografi"/>
      </w:pPr>
      <w:r>
        <w:t xml:space="preserve">Paprocki, K. (2019). All that is solid melts into the bay: Anticipatory ruination and climate change adaptation.</w:t>
      </w:r>
      <w:r>
        <w:t xml:space="preserve"> </w:t>
      </w:r>
      <w:r>
        <w:rPr>
          <w:i/>
          <w:iCs/>
        </w:rPr>
        <w:t xml:space="preserve">Antipode</w:t>
      </w:r>
      <w:r>
        <w:t xml:space="preserve">,</w:t>
      </w:r>
      <w:r>
        <w:t xml:space="preserve"> </w:t>
      </w:r>
      <w:r>
        <w:rPr>
          <w:i/>
          <w:iCs/>
        </w:rPr>
        <w:t xml:space="preserve">51</w:t>
      </w:r>
      <w:r>
        <w:t xml:space="preserve">(1), 295–315.</w:t>
      </w:r>
      <w:r>
        <w:t xml:space="preserve"> </w:t>
      </w:r>
      <w:hyperlink r:id="rId132">
        <w:r>
          <w:rPr>
            <w:rStyle w:val="Hyperlink"/>
          </w:rPr>
          <w:t xml:space="preserve">https://doi.org/10.1111/anti.12421</w:t>
        </w:r>
      </w:hyperlink>
    </w:p>
    <w:bookmarkEnd w:id="133"/>
    <w:bookmarkStart w:id="135"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34">
        <w:r>
          <w:rPr>
            <w:rStyle w:val="Hyperlink"/>
          </w:rPr>
          <w:t xml:space="preserve">https://doi.org/10.1016/j.envsci.2010.10.004</w:t>
        </w:r>
      </w:hyperlink>
    </w:p>
    <w:bookmarkEnd w:id="135"/>
    <w:bookmarkStart w:id="137" w:name="ref-quijano2000"/>
    <w:p>
      <w:pPr>
        <w:pStyle w:val="Bibliografi"/>
      </w:pPr>
      <w:r>
        <w:t xml:space="preserve">Quijano, A., &amp; Ennis, M. (2000). Coloniality of power, eurocentrism, and latin america.</w:t>
      </w:r>
      <w:r>
        <w:t xml:space="preserve"> </w:t>
      </w:r>
      <w:r>
        <w:rPr>
          <w:i/>
          <w:iCs/>
        </w:rPr>
        <w:t xml:space="preserve">Nepantla: Views from South</w:t>
      </w:r>
      <w:r>
        <w:t xml:space="preserve">,</w:t>
      </w:r>
      <w:r>
        <w:t xml:space="preserve"> </w:t>
      </w:r>
      <w:r>
        <w:rPr>
          <w:i/>
          <w:iCs/>
        </w:rPr>
        <w:t xml:space="preserve">1</w:t>
      </w:r>
      <w:r>
        <w:t xml:space="preserve">(3), 533–580.</w:t>
      </w:r>
      <w:r>
        <w:t xml:space="preserve"> </w:t>
      </w:r>
      <w:hyperlink r:id="rId136">
        <w:r>
          <w:rPr>
            <w:rStyle w:val="Hyperlink"/>
          </w:rPr>
          <w:t xml:space="preserve">https://muse.jhu.edu/pub/4/article/23906</w:t>
        </w:r>
      </w:hyperlink>
    </w:p>
    <w:bookmarkEnd w:id="137"/>
    <w:bookmarkStart w:id="138" w:name="ref-reiter2018"/>
    <w:p>
      <w:pPr>
        <w:pStyle w:val="Bibliografi"/>
      </w:pPr>
      <w:r>
        <w:t xml:space="preserve">Reiter, B. (2018).</w:t>
      </w:r>
      <w:r>
        <w:t xml:space="preserve"> </w:t>
      </w:r>
      <w:r>
        <w:rPr>
          <w:i/>
          <w:iCs/>
        </w:rPr>
        <w:t xml:space="preserve">Constructing the pluriverse: The geopolitics of knowledge</w:t>
      </w:r>
      <w:r>
        <w:t xml:space="preserve">. Duke University Press.</w:t>
      </w:r>
    </w:p>
    <w:bookmarkEnd w:id="138"/>
    <w:bookmarkStart w:id="139"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39"/>
    <w:bookmarkStart w:id="14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40"/>
    <w:bookmarkStart w:id="14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41">
        <w:r>
          <w:rPr>
            <w:rStyle w:val="Hyperlink"/>
          </w:rPr>
          <w:t xml:space="preserve">https://doi.org/10.1080/17565529.2016.1184608</w:t>
        </w:r>
      </w:hyperlink>
    </w:p>
    <w:bookmarkEnd w:id="142"/>
    <w:bookmarkStart w:id="14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43">
        <w:r>
          <w:rPr>
            <w:rStyle w:val="Hyperlink"/>
          </w:rPr>
          <w:t xml:space="preserve">https://doi.org/10.1080/01621459.2016.1141684</w:t>
        </w:r>
      </w:hyperlink>
    </w:p>
    <w:bookmarkEnd w:id="144"/>
    <w:bookmarkStart w:id="146"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45">
        <w:r>
          <w:rPr>
            <w:rStyle w:val="Hyperlink"/>
          </w:rPr>
          <w:t xml:space="preserve">https://doi.org/10.18637/jss.v091.i02</w:t>
        </w:r>
      </w:hyperlink>
    </w:p>
    <w:bookmarkEnd w:id="146"/>
    <w:bookmarkStart w:id="148"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47">
        <w:r>
          <w:rPr>
            <w:rStyle w:val="Hyperlink"/>
          </w:rPr>
          <w:t xml:space="preserve">https://doi.org/10.4324/9781315634876</w:t>
        </w:r>
      </w:hyperlink>
    </w:p>
    <w:bookmarkEnd w:id="148"/>
    <w:bookmarkStart w:id="150"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49">
        <w:r>
          <w:rPr>
            <w:rStyle w:val="Hyperlink"/>
          </w:rPr>
          <w:t xml:space="preserve">https://doi.org/10.1016/j.oneear.2020.09.014</w:t>
        </w:r>
      </w:hyperlink>
    </w:p>
    <w:bookmarkEnd w:id="150"/>
    <w:bookmarkStart w:id="151" w:name="ref-scott1998"/>
    <w:p>
      <w:pPr>
        <w:pStyle w:val="Bibliografi"/>
      </w:pPr>
      <w:r>
        <w:t xml:space="preserve">Scott, J. C. (1998).</w:t>
      </w:r>
      <w:r>
        <w:t xml:space="preserve"> </w:t>
      </w:r>
      <w:r>
        <w:rPr>
          <w:i/>
          <w:iCs/>
        </w:rPr>
        <w:t xml:space="preserve">Seeing like a state: How certain schemes to improve the human condition have failed</w:t>
      </w:r>
      <w:r>
        <w:t xml:space="preserve"> </w:t>
      </w:r>
      <w:r>
        <w:t xml:space="preserve">(Veritas paperback edition). Yale University Press.</w:t>
      </w:r>
    </w:p>
    <w:bookmarkEnd w:id="151"/>
    <w:bookmarkStart w:id="153"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52">
        <w:r>
          <w:rPr>
            <w:rStyle w:val="Hyperlink"/>
          </w:rPr>
          <w:t xml:space="preserve">https://doi.org/10.1016/j.worlddev.2019.104683</w:t>
        </w:r>
      </w:hyperlink>
    </w:p>
    <w:bookmarkEnd w:id="153"/>
    <w:bookmarkStart w:id="154"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54"/>
    <w:bookmarkStart w:id="156"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55">
        <w:r>
          <w:rPr>
            <w:rStyle w:val="Hyperlink"/>
          </w:rPr>
          <w:t xml:space="preserve">https://www.tidytextmining.com/</w:t>
        </w:r>
      </w:hyperlink>
    </w:p>
    <w:bookmarkEnd w:id="156"/>
    <w:bookmarkStart w:id="157" w:name="ref-smith2022"/>
    <w:p>
      <w:pPr>
        <w:pStyle w:val="Bibliografi"/>
      </w:pPr>
      <w:r>
        <w:t xml:space="preserve">Smith, L. T. (2022).</w:t>
      </w:r>
      <w:r>
        <w:t xml:space="preserve"> </w:t>
      </w:r>
      <w:r>
        <w:rPr>
          <w:i/>
          <w:iCs/>
        </w:rPr>
        <w:t xml:space="preserve">Decolonizing methodologies: Research and indigenous peoples</w:t>
      </w:r>
      <w:r>
        <w:t xml:space="preserve"> </w:t>
      </w:r>
      <w:r>
        <w:t xml:space="preserve">(Third edition). Bloomsbury Academic.</w:t>
      </w:r>
    </w:p>
    <w:bookmarkEnd w:id="157"/>
    <w:bookmarkStart w:id="15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58"/>
    <w:bookmarkStart w:id="160" w:name="ref-tornel2024"/>
    <w:p>
      <w:pPr>
        <w:pStyle w:val="Bibliografi"/>
      </w:pPr>
      <w:r>
        <w:t xml:space="preserve">Tornel, C. (2024). Development as terracide: Sacrifice zones and extractivism as state policy in mexico.</w:t>
      </w:r>
      <w:r>
        <w:t xml:space="preserve"> </w:t>
      </w:r>
      <w:r>
        <w:rPr>
          <w:i/>
          <w:iCs/>
        </w:rPr>
        <w:t xml:space="preserve">Globalizations</w:t>
      </w:r>
      <w:r>
        <w:t xml:space="preserve">,</w:t>
      </w:r>
      <w:r>
        <w:t xml:space="preserve"> </w:t>
      </w:r>
      <w:r>
        <w:rPr>
          <w:i/>
          <w:iCs/>
        </w:rPr>
        <w:t xml:space="preserve">0</w:t>
      </w:r>
      <w:r>
        <w:t xml:space="preserve">(0), 1–25.</w:t>
      </w:r>
      <w:r>
        <w:t xml:space="preserve"> </w:t>
      </w:r>
      <w:hyperlink r:id="rId159">
        <w:r>
          <w:rPr>
            <w:rStyle w:val="Hyperlink"/>
          </w:rPr>
          <w:t xml:space="preserve">https://doi.org/10.1080/14747731.2024.2424075</w:t>
        </w:r>
      </w:hyperlink>
    </w:p>
    <w:bookmarkEnd w:id="160"/>
    <w:bookmarkStart w:id="162"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61">
        <w:r>
          <w:rPr>
            <w:rStyle w:val="Hyperlink"/>
          </w:rPr>
          <w:t xml:space="preserve">https://doi.org/10.1111/reel.12335</w:t>
        </w:r>
      </w:hyperlink>
    </w:p>
    <w:bookmarkEnd w:id="162"/>
    <w:bookmarkStart w:id="163" w:name="ref-tuck2012"/>
    <w:p>
      <w:pPr>
        <w:pStyle w:val="Bibliografi"/>
      </w:pPr>
      <w:r>
        <w:t xml:space="preserve">Tuck, E., &amp; Yang, K. W. (2012). Decolonization is not a metaphor.</w:t>
      </w:r>
      <w:r>
        <w:t xml:space="preserve"> </w:t>
      </w:r>
      <w:r>
        <w:rPr>
          <w:i/>
          <w:iCs/>
        </w:rPr>
        <w:t xml:space="preserve">Decolonization: Indigeneity, Education &amp; Society</w:t>
      </w:r>
      <w:r>
        <w:t xml:space="preserve">,</w:t>
      </w:r>
      <w:r>
        <w:t xml:space="preserve"> </w:t>
      </w:r>
      <w:r>
        <w:rPr>
          <w:i/>
          <w:iCs/>
        </w:rPr>
        <w:t xml:space="preserve">1</w:t>
      </w:r>
      <w:r>
        <w:t xml:space="preserve">(1), 40.</w:t>
      </w:r>
    </w:p>
    <w:bookmarkEnd w:id="163"/>
    <w:bookmarkStart w:id="165"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64">
        <w:r>
          <w:rPr>
            <w:rStyle w:val="Hyperlink"/>
          </w:rPr>
          <w:t xml:space="preserve">https://doi.org/10.1162/GLEP_a_00379</w:t>
        </w:r>
      </w:hyperlink>
    </w:p>
    <w:bookmarkEnd w:id="165"/>
    <w:bookmarkStart w:id="167"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66">
        <w:r>
          <w:rPr>
            <w:rStyle w:val="Hyperlink"/>
          </w:rPr>
          <w:t xml:space="preserve">https://doi.org/10.1162/glep_a_00723</w:t>
        </w:r>
      </w:hyperlink>
    </w:p>
    <w:bookmarkEnd w:id="167"/>
    <w:bookmarkStart w:id="169" w:name="ref-whyte2018"/>
    <w:p>
      <w:pPr>
        <w:pStyle w:val="Bibliografi"/>
      </w:pPr>
      <w:r>
        <w:t xml:space="preserve">Whyte, K. (2018). Settler colonialism, ecology, and environmental injustice.</w:t>
      </w:r>
      <w:r>
        <w:t xml:space="preserve"> </w:t>
      </w:r>
      <w:r>
        <w:rPr>
          <w:i/>
          <w:iCs/>
        </w:rPr>
        <w:t xml:space="preserve">Environment and Society</w:t>
      </w:r>
      <w:r>
        <w:t xml:space="preserve">,</w:t>
      </w:r>
      <w:r>
        <w:t xml:space="preserve"> </w:t>
      </w:r>
      <w:r>
        <w:rPr>
          <w:i/>
          <w:iCs/>
        </w:rPr>
        <w:t xml:space="preserve">9</w:t>
      </w:r>
      <w:r>
        <w:t xml:space="preserve">(1), 125–144.</w:t>
      </w:r>
      <w:r>
        <w:t xml:space="preserve"> </w:t>
      </w:r>
      <w:hyperlink r:id="rId168">
        <w:r>
          <w:rPr>
            <w:rStyle w:val="Hyperlink"/>
          </w:rPr>
          <w:t xml:space="preserve">https://doi.org/10.3167/ares.2018.090109</w:t>
        </w:r>
      </w:hyperlink>
    </w:p>
    <w:bookmarkEnd w:id="169"/>
    <w:bookmarkStart w:id="171" w:name="ref-whyte2020"/>
    <w:p>
      <w:pPr>
        <w:pStyle w:val="Bibliografi"/>
      </w:pPr>
      <w:r>
        <w:t xml:space="preserve">Whyte, K. (2020). Too late for indigenous climate justice: Ecological and relational tipping points.</w:t>
      </w:r>
      <w:r>
        <w:t xml:space="preserve"> </w:t>
      </w:r>
      <w:r>
        <w:rPr>
          <w:i/>
          <w:iCs/>
        </w:rPr>
        <w:t xml:space="preserve">WIREs Climate Change</w:t>
      </w:r>
      <w:r>
        <w:t xml:space="preserve">,</w:t>
      </w:r>
      <w:r>
        <w:t xml:space="preserve"> </w:t>
      </w:r>
      <w:r>
        <w:rPr>
          <w:i/>
          <w:iCs/>
        </w:rPr>
        <w:t xml:space="preserve">11</w:t>
      </w:r>
      <w:r>
        <w:t xml:space="preserve">(1).</w:t>
      </w:r>
      <w:r>
        <w:t xml:space="preserve"> </w:t>
      </w:r>
      <w:hyperlink r:id="rId170">
        <w:r>
          <w:rPr>
            <w:rStyle w:val="Hyperlink"/>
          </w:rPr>
          <w:t xml:space="preserve">https://doi.org/10.1002/wcc.603</w:t>
        </w:r>
      </w:hyperlink>
    </w:p>
    <w:bookmarkEnd w:id="171"/>
    <w:bookmarkStart w:id="173"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72">
        <w:r>
          <w:rPr>
            <w:rStyle w:val="Hyperlink"/>
          </w:rPr>
          <w:t xml:space="preserve">https://doi.org/10.1007/s10584-019-02620-5</w:t>
        </w:r>
      </w:hyperlink>
    </w:p>
    <w:bookmarkEnd w:id="173"/>
    <w:bookmarkStart w:id="175"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74">
        <w:r>
          <w:rPr>
            <w:rStyle w:val="Hyperlink"/>
          </w:rPr>
          <w:t xml:space="preserve">https://doi.org/10.1007/s10113-023-02113-3</w:t>
        </w:r>
      </w:hyperlink>
    </w:p>
    <w:bookmarkEnd w:id="175"/>
    <w:bookmarkEnd w:id="176"/>
    <w:bookmarkEnd w:id="177"/>
    <w:bookmarkStart w:id="178" w:name="r-packages"/>
    <w:p>
      <w:pPr>
        <w:pStyle w:val="Overskrift1"/>
      </w:pPr>
      <w:r>
        <w:t xml:space="preserve">R-packages</w:t>
      </w:r>
    </w:p>
    <w:bookmarkEnd w:id="178"/>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hyperlink" Id="rId170" Target="https://doi.org/10.1002/wcc.603" TargetMode="External" /><Relationship Type="http://schemas.openxmlformats.org/officeDocument/2006/relationships/hyperlink" Id="rId74" Target="https://doi.org/10.1007/978-3-031-22566-6_6" TargetMode="External" /><Relationship Type="http://schemas.openxmlformats.org/officeDocument/2006/relationships/hyperlink" Id="rId174" Target="https://doi.org/10.1007/s10113-023-02113-3" TargetMode="External" /><Relationship Type="http://schemas.openxmlformats.org/officeDocument/2006/relationships/hyperlink" Id="rId172" Target="https://doi.org/10.1007/s10584-019-02620-5" TargetMode="External" /><Relationship Type="http://schemas.openxmlformats.org/officeDocument/2006/relationships/hyperlink" Id="rId121" Target="https://doi.org/10.1007/s11625-020-00807-9" TargetMode="External" /><Relationship Type="http://schemas.openxmlformats.org/officeDocument/2006/relationships/hyperlink" Id="rId110" Target="https://doi.org/10.1016/0016-3287(90)90077-U" TargetMode="External" /><Relationship Type="http://schemas.openxmlformats.org/officeDocument/2006/relationships/hyperlink" Id="rId134" Target="https://doi.org/10.1016/j.envsci.2010.10.004" TargetMode="External" /><Relationship Type="http://schemas.openxmlformats.org/officeDocument/2006/relationships/hyperlink" Id="rId114" Target="https://doi.org/10.1016/j.geoforum.2013.01.005" TargetMode="External" /><Relationship Type="http://schemas.openxmlformats.org/officeDocument/2006/relationships/hyperlink" Id="rId128" Target="https://doi.org/10.1016/j.gloenvcha.2022.102527" TargetMode="External" /><Relationship Type="http://schemas.openxmlformats.org/officeDocument/2006/relationships/hyperlink" Id="rId149" Target="https://doi.org/10.1016/j.oneear.2020.09.014" TargetMode="External" /><Relationship Type="http://schemas.openxmlformats.org/officeDocument/2006/relationships/hyperlink" Id="rId152" Target="https://doi.org/10.1016/j.worlddev.2019.104683" TargetMode="External" /><Relationship Type="http://schemas.openxmlformats.org/officeDocument/2006/relationships/hyperlink" Id="rId87" Target="https://doi.org/10.1016/j.worlddev.2020.105383" TargetMode="External" /><Relationship Type="http://schemas.openxmlformats.org/officeDocument/2006/relationships/hyperlink" Id="rId79" Target="https://doi.org/10.1080/00141844.2020.1788109" TargetMode="External" /><Relationship Type="http://schemas.openxmlformats.org/officeDocument/2006/relationships/hyperlink" Id="rId143" Target="https://doi.org/10.1080/01621459.2016.1141684" TargetMode="External" /><Relationship Type="http://schemas.openxmlformats.org/officeDocument/2006/relationships/hyperlink" Id="rId83" Target="https://doi.org/10.1080/03066150.2021.1907355" TargetMode="External" /><Relationship Type="http://schemas.openxmlformats.org/officeDocument/2006/relationships/hyperlink" Id="rId96" Target="https://doi.org/10.1080/1369801X.2013.798140" TargetMode="External" /><Relationship Type="http://schemas.openxmlformats.org/officeDocument/2006/relationships/hyperlink" Id="rId116" Target="https://doi.org/10.1080/14693062.2021.1947177" TargetMode="External" /><Relationship Type="http://schemas.openxmlformats.org/officeDocument/2006/relationships/hyperlink" Id="rId125" Target="https://doi.org/10.1080/14693062.2024.2378194" TargetMode="External" /><Relationship Type="http://schemas.openxmlformats.org/officeDocument/2006/relationships/hyperlink" Id="rId93" Target="https://doi.org/10.1080/14747731.2021.2002673" TargetMode="External" /><Relationship Type="http://schemas.openxmlformats.org/officeDocument/2006/relationships/hyperlink" Id="rId159" Target="https://doi.org/10.1080/14747731.2024.2424075" TargetMode="External" /><Relationship Type="http://schemas.openxmlformats.org/officeDocument/2006/relationships/hyperlink" Id="rId141" Target="https://doi.org/10.1080/17565529.2016.1184608" TargetMode="External" /><Relationship Type="http://schemas.openxmlformats.org/officeDocument/2006/relationships/hyperlink" Id="rId130" Target="https://doi.org/10.1080/17565529.2019.1624495" TargetMode="External" /><Relationship Type="http://schemas.openxmlformats.org/officeDocument/2006/relationships/hyperlink" Id="rId106" Target="https://doi.org/10.1086/661274" TargetMode="External" /><Relationship Type="http://schemas.openxmlformats.org/officeDocument/2006/relationships/hyperlink" Id="rId71" Target="https://doi.org/10.1111/amet.13022" TargetMode="External" /><Relationship Type="http://schemas.openxmlformats.org/officeDocument/2006/relationships/hyperlink" Id="rId132" Target="https://doi.org/10.1111/anti.12421" TargetMode="External" /><Relationship Type="http://schemas.openxmlformats.org/officeDocument/2006/relationships/hyperlink" Id="rId81" Target="https://doi.org/10.1111/apv.12084" TargetMode="External" /><Relationship Type="http://schemas.openxmlformats.org/officeDocument/2006/relationships/hyperlink" Id="rId104" Target="https://doi.org/10.1111/j.1475-4959.2008.00266.x" TargetMode="External" /><Relationship Type="http://schemas.openxmlformats.org/officeDocument/2006/relationships/hyperlink" Id="rId161" Target="https://doi.org/10.1111/reel.12335" TargetMode="External" /><Relationship Type="http://schemas.openxmlformats.org/officeDocument/2006/relationships/hyperlink" Id="rId164" Target="https://doi.org/10.1162/GLEP_a_00379" TargetMode="External" /><Relationship Type="http://schemas.openxmlformats.org/officeDocument/2006/relationships/hyperlink" Id="rId166" Target="https://doi.org/10.1162/glep_a_00723" TargetMode="External" /><Relationship Type="http://schemas.openxmlformats.org/officeDocument/2006/relationships/hyperlink" Id="rId67" Target="https://doi.org/10.1177/03091325251337717" TargetMode="External" /><Relationship Type="http://schemas.openxmlformats.org/officeDocument/2006/relationships/hyperlink" Id="rId102" Target="https://doi.org/10.1177/1354066117725157" TargetMode="External" /><Relationship Type="http://schemas.openxmlformats.org/officeDocument/2006/relationships/hyperlink" Id="rId123" Target="https://doi.org/10.1515/9780822394501" TargetMode="External" /><Relationship Type="http://schemas.openxmlformats.org/officeDocument/2006/relationships/hyperlink" Id="rId69" Target="https://doi.org/10.1515/9781400828654" TargetMode="External" /><Relationship Type="http://schemas.openxmlformats.org/officeDocument/2006/relationships/hyperlink" Id="rId145" Target="https://doi.org/10.18637/jss.v091.i02" TargetMode="External" /><Relationship Type="http://schemas.openxmlformats.org/officeDocument/2006/relationships/hyperlink" Id="rId119" Target="https://doi.org/10.2307/j.ctv11smt9s" TargetMode="External" /><Relationship Type="http://schemas.openxmlformats.org/officeDocument/2006/relationships/hyperlink" Id="rId168" Target="https://doi.org/10.3167/ares.2018.090109" TargetMode="External" /><Relationship Type="http://schemas.openxmlformats.org/officeDocument/2006/relationships/hyperlink" Id="rId85" Target="https://doi.org/10.3362/9781780440415.001" TargetMode="External" /><Relationship Type="http://schemas.openxmlformats.org/officeDocument/2006/relationships/hyperlink" Id="rId100" Target="https://doi.org/10.3384/cu.2000.1525.1790615" TargetMode="External" /><Relationship Type="http://schemas.openxmlformats.org/officeDocument/2006/relationships/hyperlink" Id="rId112" Target="https://doi.org/10.3763/cdev.2010.0053" TargetMode="External" /><Relationship Type="http://schemas.openxmlformats.org/officeDocument/2006/relationships/hyperlink" Id="rId147" Target="https://doi.org/10.4324/9781315634876" TargetMode="External" /><Relationship Type="http://schemas.openxmlformats.org/officeDocument/2006/relationships/hyperlink" Id="rId136" Target="https://muse.jhu.edu/pub/4/article/23906" TargetMode="External" /><Relationship Type="http://schemas.openxmlformats.org/officeDocument/2006/relationships/hyperlink" Id="rId89" Target="https://www.jstor.org/stable/j.ctt7rtgw" TargetMode="External" /><Relationship Type="http://schemas.openxmlformats.org/officeDocument/2006/relationships/hyperlink" Id="rId77" Target="https://www.jstor.org/stable/j.ctv2114fm3" TargetMode="External" /><Relationship Type="http://schemas.openxmlformats.org/officeDocument/2006/relationships/hyperlink" Id="rId155"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70" Target="https://doi.org/10.1002/wcc.603" TargetMode="External" /><Relationship Type="http://schemas.openxmlformats.org/officeDocument/2006/relationships/hyperlink" Id="rId74" Target="https://doi.org/10.1007/978-3-031-22566-6_6" TargetMode="External" /><Relationship Type="http://schemas.openxmlformats.org/officeDocument/2006/relationships/hyperlink" Id="rId174" Target="https://doi.org/10.1007/s10113-023-02113-3" TargetMode="External" /><Relationship Type="http://schemas.openxmlformats.org/officeDocument/2006/relationships/hyperlink" Id="rId172" Target="https://doi.org/10.1007/s10584-019-02620-5" TargetMode="External" /><Relationship Type="http://schemas.openxmlformats.org/officeDocument/2006/relationships/hyperlink" Id="rId121" Target="https://doi.org/10.1007/s11625-020-00807-9" TargetMode="External" /><Relationship Type="http://schemas.openxmlformats.org/officeDocument/2006/relationships/hyperlink" Id="rId110" Target="https://doi.org/10.1016/0016-3287(90)90077-U" TargetMode="External" /><Relationship Type="http://schemas.openxmlformats.org/officeDocument/2006/relationships/hyperlink" Id="rId134" Target="https://doi.org/10.1016/j.envsci.2010.10.004" TargetMode="External" /><Relationship Type="http://schemas.openxmlformats.org/officeDocument/2006/relationships/hyperlink" Id="rId114" Target="https://doi.org/10.1016/j.geoforum.2013.01.005" TargetMode="External" /><Relationship Type="http://schemas.openxmlformats.org/officeDocument/2006/relationships/hyperlink" Id="rId128" Target="https://doi.org/10.1016/j.gloenvcha.2022.102527" TargetMode="External" /><Relationship Type="http://schemas.openxmlformats.org/officeDocument/2006/relationships/hyperlink" Id="rId149" Target="https://doi.org/10.1016/j.oneear.2020.09.014" TargetMode="External" /><Relationship Type="http://schemas.openxmlformats.org/officeDocument/2006/relationships/hyperlink" Id="rId152" Target="https://doi.org/10.1016/j.worlddev.2019.104683" TargetMode="External" /><Relationship Type="http://schemas.openxmlformats.org/officeDocument/2006/relationships/hyperlink" Id="rId87" Target="https://doi.org/10.1016/j.worlddev.2020.105383" TargetMode="External" /><Relationship Type="http://schemas.openxmlformats.org/officeDocument/2006/relationships/hyperlink" Id="rId79" Target="https://doi.org/10.1080/00141844.2020.1788109" TargetMode="External" /><Relationship Type="http://schemas.openxmlformats.org/officeDocument/2006/relationships/hyperlink" Id="rId143" Target="https://doi.org/10.1080/01621459.2016.1141684" TargetMode="External" /><Relationship Type="http://schemas.openxmlformats.org/officeDocument/2006/relationships/hyperlink" Id="rId83" Target="https://doi.org/10.1080/03066150.2021.1907355" TargetMode="External" /><Relationship Type="http://schemas.openxmlformats.org/officeDocument/2006/relationships/hyperlink" Id="rId96" Target="https://doi.org/10.1080/1369801X.2013.798140" TargetMode="External" /><Relationship Type="http://schemas.openxmlformats.org/officeDocument/2006/relationships/hyperlink" Id="rId116" Target="https://doi.org/10.1080/14693062.2021.1947177" TargetMode="External" /><Relationship Type="http://schemas.openxmlformats.org/officeDocument/2006/relationships/hyperlink" Id="rId125" Target="https://doi.org/10.1080/14693062.2024.2378194" TargetMode="External" /><Relationship Type="http://schemas.openxmlformats.org/officeDocument/2006/relationships/hyperlink" Id="rId93" Target="https://doi.org/10.1080/14747731.2021.2002673" TargetMode="External" /><Relationship Type="http://schemas.openxmlformats.org/officeDocument/2006/relationships/hyperlink" Id="rId159" Target="https://doi.org/10.1080/14747731.2024.2424075" TargetMode="External" /><Relationship Type="http://schemas.openxmlformats.org/officeDocument/2006/relationships/hyperlink" Id="rId141" Target="https://doi.org/10.1080/17565529.2016.1184608" TargetMode="External" /><Relationship Type="http://schemas.openxmlformats.org/officeDocument/2006/relationships/hyperlink" Id="rId130" Target="https://doi.org/10.1080/17565529.2019.1624495" TargetMode="External" /><Relationship Type="http://schemas.openxmlformats.org/officeDocument/2006/relationships/hyperlink" Id="rId106" Target="https://doi.org/10.1086/661274" TargetMode="External" /><Relationship Type="http://schemas.openxmlformats.org/officeDocument/2006/relationships/hyperlink" Id="rId71" Target="https://doi.org/10.1111/amet.13022" TargetMode="External" /><Relationship Type="http://schemas.openxmlformats.org/officeDocument/2006/relationships/hyperlink" Id="rId132" Target="https://doi.org/10.1111/anti.12421" TargetMode="External" /><Relationship Type="http://schemas.openxmlformats.org/officeDocument/2006/relationships/hyperlink" Id="rId81" Target="https://doi.org/10.1111/apv.12084" TargetMode="External" /><Relationship Type="http://schemas.openxmlformats.org/officeDocument/2006/relationships/hyperlink" Id="rId104" Target="https://doi.org/10.1111/j.1475-4959.2008.00266.x" TargetMode="External" /><Relationship Type="http://schemas.openxmlformats.org/officeDocument/2006/relationships/hyperlink" Id="rId161" Target="https://doi.org/10.1111/reel.12335" TargetMode="External" /><Relationship Type="http://schemas.openxmlformats.org/officeDocument/2006/relationships/hyperlink" Id="rId164" Target="https://doi.org/10.1162/GLEP_a_00379" TargetMode="External" /><Relationship Type="http://schemas.openxmlformats.org/officeDocument/2006/relationships/hyperlink" Id="rId166" Target="https://doi.org/10.1162/glep_a_00723" TargetMode="External" /><Relationship Type="http://schemas.openxmlformats.org/officeDocument/2006/relationships/hyperlink" Id="rId67" Target="https://doi.org/10.1177/03091325251337717" TargetMode="External" /><Relationship Type="http://schemas.openxmlformats.org/officeDocument/2006/relationships/hyperlink" Id="rId102" Target="https://doi.org/10.1177/1354066117725157" TargetMode="External" /><Relationship Type="http://schemas.openxmlformats.org/officeDocument/2006/relationships/hyperlink" Id="rId123" Target="https://doi.org/10.1515/9780822394501" TargetMode="External" /><Relationship Type="http://schemas.openxmlformats.org/officeDocument/2006/relationships/hyperlink" Id="rId69" Target="https://doi.org/10.1515/9781400828654" TargetMode="External" /><Relationship Type="http://schemas.openxmlformats.org/officeDocument/2006/relationships/hyperlink" Id="rId145" Target="https://doi.org/10.18637/jss.v091.i02" TargetMode="External" /><Relationship Type="http://schemas.openxmlformats.org/officeDocument/2006/relationships/hyperlink" Id="rId119" Target="https://doi.org/10.2307/j.ctv11smt9s" TargetMode="External" /><Relationship Type="http://schemas.openxmlformats.org/officeDocument/2006/relationships/hyperlink" Id="rId168" Target="https://doi.org/10.3167/ares.2018.090109" TargetMode="External" /><Relationship Type="http://schemas.openxmlformats.org/officeDocument/2006/relationships/hyperlink" Id="rId85" Target="https://doi.org/10.3362/9781780440415.001" TargetMode="External" /><Relationship Type="http://schemas.openxmlformats.org/officeDocument/2006/relationships/hyperlink" Id="rId100" Target="https://doi.org/10.3384/cu.2000.1525.1790615" TargetMode="External" /><Relationship Type="http://schemas.openxmlformats.org/officeDocument/2006/relationships/hyperlink" Id="rId112" Target="https://doi.org/10.3763/cdev.2010.0053" TargetMode="External" /><Relationship Type="http://schemas.openxmlformats.org/officeDocument/2006/relationships/hyperlink" Id="rId147" Target="https://doi.org/10.4324/9781315634876" TargetMode="External" /><Relationship Type="http://schemas.openxmlformats.org/officeDocument/2006/relationships/hyperlink" Id="rId136" Target="https://muse.jhu.edu/pub/4/article/23906" TargetMode="External" /><Relationship Type="http://schemas.openxmlformats.org/officeDocument/2006/relationships/hyperlink" Id="rId89" Target="https://www.jstor.org/stable/j.ctt7rtgw" TargetMode="External" /><Relationship Type="http://schemas.openxmlformats.org/officeDocument/2006/relationships/hyperlink" Id="rId77" Target="https://www.jstor.org/stable/j.ctv2114fm3" TargetMode="External" /><Relationship Type="http://schemas.openxmlformats.org/officeDocument/2006/relationships/hyperlink" Id="rId155"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2025-05-27T14:52:40Z</dcterms:created>
  <dcterms:modified xsi:type="dcterms:W3CDTF">2025-05-27T14:52:40Z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2025-05-27</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