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2025-05-13</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w:t>
      </w:r>
      <w:r>
        <w:rPr>
          <w:b/>
          <w:bCs/>
        </w:rPr>
        <w:t xml:space="preserve">santos2016?</w:t>
      </w:r>
      <w:r>
        <w:t xml:space="preserve">)</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r>
        <w:t xml:space="preserve"> </w:t>
      </w:r>
      <w:r>
        <w:t xml:space="preserve">## Climate Adaptation</w:t>
      </w:r>
    </w:p>
    <w:p>
      <w:pPr>
        <w:pStyle w:val="Brdtekst"/>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Start w:id="22" w:name="homogeneity"/>
    <w:p>
      <w:pPr>
        <w:pStyle w:val="Overskrift2"/>
      </w:pPr>
      <w:r>
        <w:t xml:space="preserve">1.1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2"/>
    <w:bookmarkStart w:id="23" w:name="research-questions"/>
    <w:p>
      <w:pPr>
        <w:pStyle w:val="Overskrift2"/>
      </w:pPr>
      <w:r>
        <w:t xml:space="preserve">1.2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3"/>
    <w:bookmarkStart w:id="24" w:name="structure"/>
    <w:p>
      <w:pPr>
        <w:pStyle w:val="Overskrift2"/>
      </w:pPr>
      <w:r>
        <w:t xml:space="preserve">1.3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4"/>
    <w:bookmarkEnd w:id="25"/>
    <w:bookmarkStart w:id="30" w:name="sec-context"/>
    <w:p>
      <w:pPr>
        <w:pStyle w:val="Overskrift1"/>
      </w:pPr>
      <w:r>
        <w:t xml:space="preserve">2. Context: Climate action</w:t>
      </w:r>
    </w:p>
    <w:p>
      <w:pPr>
        <w:pStyle w:val="FirstParagraph"/>
      </w:pPr>
      <w:r>
        <w:t xml:space="preserve">International climate change action is governed by the United Nations Framework Convention on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rdteks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This principle has become a cornerstone of international climate negotiations, though its interpretation has evolved over time, particularly as the economic circumstances of various countries have changed</w:t>
      </w:r>
      <w:r>
        <w:t xml:space="preserve"> </w:t>
      </w:r>
      <w:r>
        <w:t xml:space="preserve">(</w:t>
      </w:r>
      <w:r>
        <w:rPr>
          <w:b/>
          <w:bCs/>
        </w:rPr>
        <w:t xml:space="preserve">rajamani2000?</w:t>
      </w:r>
      <w:r>
        <w:t xml:space="preserve">)</w:t>
      </w:r>
      <w:r>
        <w:t xml:space="preserve">.</w:t>
      </w:r>
    </w:p>
    <w:p>
      <w:pPr>
        <w:pStyle w:val="Brdtekst"/>
      </w:pPr>
      <w:r>
        <w:t xml:space="preserve">Official development assistance, an OECD measurement for foreign aid, was adapted to the Summit, known as the Rio markers, making it possible to code North-South aid as contributing towards the goals established in these conventions [source]. The Rio markers system allows donors to indicate when activities target climate mitigation, climate adaptation, biodiversity, or desertification as either a</w:t>
      </w:r>
      <w:r>
        <w:t xml:space="preserve"> </w:t>
      </w:r>
      <w:r>
        <w:t xml:space="preserve">“principal”</w:t>
      </w:r>
      <w:r>
        <w:t xml:space="preserve"> </w:t>
      </w:r>
      <w:r>
        <w:t xml:space="preserve">or</w:t>
      </w:r>
      <w:r>
        <w:t xml:space="preserve"> </w:t>
      </w:r>
      <w:r>
        <w:t xml:space="preserve">“significant”</w:t>
      </w:r>
      <w:r>
        <w:t xml:space="preserve"> </w:t>
      </w:r>
      <w:r>
        <w:t xml:space="preserve">objective. This tracking system has become increasingly important as climate finance has grown in prominence, though it has been criticized for inconsistent application across donors and for potentially inflating climate finance figures</w:t>
      </w:r>
      <w:r>
        <w:t xml:space="preserve"> </w:t>
      </w:r>
      <w:r>
        <w:t xml:space="preserve">(</w:t>
      </w:r>
      <w:r>
        <w:rPr>
          <w:b/>
          <w:bCs/>
        </w:rPr>
        <w:t xml:space="preserve">weikmans2017?</w:t>
      </w:r>
      <w:r>
        <w:t xml:space="preserve">)</w:t>
      </w:r>
      <w:r>
        <w:t xml:space="preserve">.</w:t>
      </w:r>
    </w:p>
    <w:bookmarkStart w:id="26" w:name="mitigation"/>
    <w:p>
      <w:pPr>
        <w:pStyle w:val="Overskrift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The Kyoto Protocol set legally binding emissions reduction targets for 37 industrialized countries and economies in transition, with an average reduction of 5.2% from 1990 levels to be achieved by 2012</w:t>
      </w:r>
      <w:r>
        <w:t xml:space="preserve"> </w:t>
      </w:r>
      <w:r>
        <w:t xml:space="preserve">(</w:t>
      </w:r>
      <w:r>
        <w:rPr>
          <w:b/>
          <w:bCs/>
        </w:rPr>
        <w:t xml:space="preserve">böhringer2003?</w:t>
      </w:r>
      <w:r>
        <w:t xml:space="preserve">)</w:t>
      </w:r>
      <w:r>
        <w:t xml:space="preserve">.</w:t>
      </w:r>
    </w:p>
    <w:p>
      <w:pPr>
        <w:pStyle w:val="Brdtekst"/>
      </w:pPr>
      <w:r>
        <w:t xml:space="preserve">It also created a market for carbon, called</w:t>
      </w:r>
      <w:r>
        <w:t xml:space="preserve"> </w:t>
      </w:r>
      <w:r>
        <w:t xml:space="preserve">“Flexibility mechanisms”</w:t>
      </w:r>
      <w:r>
        <w:t xml:space="preserve">, where emissions could be traded from developing countries to industrialized countries [source].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r>
        <w:t xml:space="preserve"> </w:t>
      </w:r>
      <w:r>
        <w:t xml:space="preserve">(</w:t>
      </w:r>
      <w:r>
        <w:rPr>
          <w:b/>
          <w:bCs/>
        </w:rPr>
        <w:t xml:space="preserve">michaelowa2007?</w:t>
      </w:r>
      <w:r>
        <w:t xml:space="preserve">)</w:t>
      </w:r>
      <w:r>
        <w:t xml:space="preserve">.</w:t>
      </w:r>
    </w:p>
    <w:p>
      <w:pPr>
        <w:pStyle w:val="Brdtekst"/>
      </w:pPr>
      <w:r>
        <w:t xml:space="preserve">In this way, developing countries that are under no obligation to cut their emissions, could sell carbon credits [source]. This approach was designed to reduce the overall costs of meeting mitigation targets while providing sustainable development benefits to host countries. However, the geographic distribution of CDM projects has been uneven, with the majority concentrated in larger emerging economies like China, India, and Brazil, while least developed countries, particularly in Africa, have hosted relatively few projects</w:t>
      </w:r>
      <w:r>
        <w:t xml:space="preserve"> </w:t>
      </w:r>
      <w:r>
        <w:t xml:space="preserve">(</w:t>
      </w:r>
      <w:r>
        <w:rPr>
          <w:b/>
          <w:bCs/>
        </w:rPr>
        <w:t xml:space="preserve">corbera2009?</w:t>
      </w:r>
      <w:r>
        <w:t xml:space="preserve">)</w:t>
      </w:r>
      <w:r>
        <w:t xml:space="preserve">.</w:t>
      </w:r>
    </w:p>
    <w:p>
      <w:pPr>
        <w:pStyle w:val="Brdtekst"/>
      </w:pPr>
      <w:r>
        <w:t xml:space="preserve">The Paris Agreement, adopted at COP21 in 2015, strengthened the commitment to mitigation, calling for a target to limit climate change to 1,5 degrees [source]. This marked a significant shift from the Kyoto approach, establishing a universal framework where all countries contribute to mitigation efforts according to their capacities and circumstances, through</w:t>
      </w:r>
      <w:r>
        <w:t xml:space="preserve"> </w:t>
      </w:r>
      <w:r>
        <w:t xml:space="preserve">“nationally determined contributions”</w:t>
      </w:r>
      <w:r>
        <w:t xml:space="preserve"> </w:t>
      </w:r>
      <w:r>
        <w:t xml:space="preserve">(NDCs). Unlike Kyoto’s top-down approach with specific targets for developed countries, Paris introduced a hybrid system combining bottom-up national pledges with international oversight</w:t>
      </w:r>
      <w:r>
        <w:t xml:space="preserve"> </w:t>
      </w:r>
      <w:r>
        <w:t xml:space="preserve">(</w:t>
      </w:r>
      <w:r>
        <w:rPr>
          <w:b/>
          <w:bCs/>
        </w:rPr>
        <w:t xml:space="preserve">falkner2016?</w:t>
      </w:r>
      <w:r>
        <w:t xml:space="preserve">)</w:t>
      </w:r>
      <w:r>
        <w:t xml:space="preserve">.</w:t>
      </w:r>
    </w:p>
    <w:p>
      <w:pPr>
        <w:pStyle w:val="Brdtekst"/>
      </w:pPr>
      <w:r>
        <w:t xml:space="preserve">The Paris system attempted to resolve long-standing tensions in the climate regime. By allowing countries to determine their own contributions based on national circumstances, it achieved near-universal participation while maintaining the principle of common but differentiated responsibilities. However, this flexibility came at the cost of ambition, with the first round of NDCs collectively putting the world on track for approximately 3°C of warming rather than the Agreement’s 1.5-2°C goal</w:t>
      </w:r>
      <w:r>
        <w:t xml:space="preserve"> </w:t>
      </w:r>
      <w:r>
        <w:t xml:space="preserve">(</w:t>
      </w:r>
      <w:r>
        <w:rPr>
          <w:b/>
          <w:bCs/>
        </w:rPr>
        <w:t xml:space="preserve">unep2017?</w:t>
      </w:r>
      <w:r>
        <w:t xml:space="preserve">)</w:t>
      </w:r>
      <w:r>
        <w:t xml:space="preserve">.</w:t>
      </w:r>
    </w:p>
    <w:bookmarkEnd w:id="26"/>
    <w:bookmarkStart w:id="27" w:name="adaptation"/>
    <w:p>
      <w:pPr>
        <w:pStyle w:val="Overskrift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This emerged from growing recognition that even with ambitious mitigation efforts, some climate impacts were already occurring and others were inevitable, necessitating organized adaptation efforts</w:t>
      </w:r>
      <w:r>
        <w:t xml:space="preserve"> </w:t>
      </w:r>
      <w:r>
        <w:t xml:space="preserve">(</w:t>
      </w:r>
      <w:r>
        <w:rPr>
          <w:b/>
          <w:bCs/>
        </w:rPr>
        <w:t xml:space="preserve">klein2003?</w:t>
      </w:r>
      <w:r>
        <w:t xml:space="preserve">)</w:t>
      </w:r>
      <w:r>
        <w:t xml:space="preserve">.</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 The 2004 Buenos Aires Programme of Work on Adaptation and Response Measures and the 2006 Nairobi Work Programme on Impacts, Vulnerability, and Adaptation provided frameworks for knowledge sharing and capacity building</w:t>
      </w:r>
      <w:r>
        <w:t xml:space="preserve"> </w:t>
      </w:r>
      <w:r>
        <w:t xml:space="preserve">(</w:t>
      </w:r>
      <w:r>
        <w:rPr>
          <w:b/>
          <w:bCs/>
        </w:rPr>
        <w:t xml:space="preserve">khan2016?</w:t>
      </w:r>
      <w:r>
        <w:t xml:space="preserve">)</w:t>
      </w:r>
      <w:r>
        <w:t xml:space="preserve">.</w:t>
      </w:r>
    </w:p>
    <w:p>
      <w:pPr>
        <w:pStyle w:val="Brdtekst"/>
      </w:pPr>
      <w:r>
        <w:t xml:space="preserve">The Cancun Adaptation Framework established several important mechanisms, including the Adaptation Committee to promote coherent implementation of adaptation actions, the process for formulating and implementing National Adaptation Plans (NAPs), and approaches to address loss and damage. This framework represented a significant step forward in balancing adaptation and mitigation within the climate regime</w:t>
      </w:r>
      <w:r>
        <w:t xml:space="preserve"> </w:t>
      </w:r>
      <w:r>
        <w:t xml:space="preserve">(</w:t>
      </w:r>
      <w:r>
        <w:rPr>
          <w:b/>
          <w:bCs/>
        </w:rPr>
        <w:t xml:space="preserve">roberts2011?</w:t>
      </w:r>
      <w:r>
        <w:t xml:space="preserve">)</w:t>
      </w:r>
      <w:r>
        <w:t xml:space="preserve">.</w:t>
      </w:r>
    </w:p>
    <w:p>
      <w:pPr>
        <w:pStyle w:val="Brdtekst"/>
      </w:pPr>
      <w:r>
        <w:t xml:space="preserve">Climate adaptation are all measures to reduce climate damages. In industrialized countries, adaptation usually means managing surface runoff and in low-lying countries, sea-level level rise and storm surges, with a mix of mechanical- and nature-based interventions. These include infrastructure modifications like sea walls, expanded drainage systems, and elevated buildings, alongside ecosystem-based approaches like wetland restoration, managed retreat from coastlines, and urban greening</w:t>
      </w:r>
      <w:r>
        <w:t xml:space="preserve"> </w:t>
      </w:r>
      <w:r>
        <w:t xml:space="preserve">(</w:t>
      </w:r>
      <w:r>
        <w:rPr>
          <w:b/>
          <w:bCs/>
        </w:rPr>
        <w:t xml:space="preserve">kates2012?</w:t>
      </w:r>
      <w:r>
        <w:t xml:space="preserve">)</w:t>
      </w:r>
      <w:r>
        <w:t xml:space="preserve">.</w:t>
      </w:r>
    </w:p>
    <w:p>
      <w:pPr>
        <w:pStyle w:val="Brdtekst"/>
      </w:pPr>
      <w:r>
        <w:t xml:space="preserve">In developing countries, this process is more complex and something I will explore further below</w:t>
      </w:r>
      <w:r>
        <w:t xml:space="preserve"> </w:t>
      </w:r>
      <w:hyperlink w:anchor="sec-lit">
        <w:r>
          <w:rPr>
            <w:rStyle w:val="Hyperlink"/>
          </w:rPr>
          <w:t xml:space="preserve">Chapter 3</w:t>
        </w:r>
      </w:hyperlink>
      <w:r>
        <w:t xml:space="preserve">. Adaptation in these contexts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w:t>
      </w:r>
      <w:r>
        <w:rPr>
          <w:b/>
          <w:bCs/>
        </w:rPr>
        <w:t xml:space="preserve">ayers2012?</w:t>
      </w:r>
      <w:r>
        <w:t xml:space="preserve">)</w:t>
      </w:r>
      <w:r>
        <w:t xml:space="preserve">.</w:t>
      </w:r>
    </w:p>
    <w:p>
      <w:pPr>
        <w:pStyle w:val="Brdtekst"/>
      </w:pPr>
      <w:r>
        <w:t xml:space="preserve">The adaptation landscape includes diverse financing mechanisms, including the Adaptation Fund (established under the Kyoto Protocol), the Least Developed Countries Fund, the Special Climate Change Fund, and the Green Climate Fund. Despite these multiple channels, adaptation finance has consistently lagged behind mitigation finance, creating tensions in international negotiations</w:t>
      </w:r>
      <w:r>
        <w:t xml:space="preserve"> </w:t>
      </w:r>
      <w:r>
        <w:t xml:space="preserve">(</w:t>
      </w:r>
      <w:r>
        <w:rPr>
          <w:b/>
          <w:bCs/>
        </w:rPr>
        <w:t xml:space="preserve">khan2019?</w:t>
      </w:r>
      <w:r>
        <w:t xml:space="preserve">)</w:t>
      </w:r>
      <w:r>
        <w:t xml:space="preserve">. The Green Climate Fund, established in 2010 and operationalized in 2015, has a mandate to balance its funding between mitigation and adaptation, but has struggled to achieve this balance in practice</w:t>
      </w:r>
      <w:r>
        <w:t xml:space="preserve"> </w:t>
      </w:r>
      <w:r>
        <w:t xml:space="preserve">(</w:t>
      </w:r>
      <w:r>
        <w:rPr>
          <w:b/>
          <w:bCs/>
        </w:rPr>
        <w:t xml:space="preserve">nakhooda2015?</w:t>
      </w:r>
      <w:r>
        <w:t xml:space="preserve">)</w:t>
      </w:r>
      <w:r>
        <w:t xml:space="preserv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w:t>
      </w:r>
      <w:r>
        <w:rPr>
          <w:b/>
          <w:bCs/>
        </w:rPr>
        <w:t xml:space="preserve">barrett2014?</w:t>
      </w:r>
      <w:r>
        <w:t xml:space="preserve">)</w:t>
      </w:r>
      <w:r>
        <w:t xml:space="preserve">. The absence of universally agreed metrics for assessing adaptation effectiveness—unlike mitigation, where greenhouse gas emissions provide a common metric—creates challenges for prioritizing investments and demonstrating results</w:t>
      </w:r>
      <w:r>
        <w:t xml:space="preserve"> </w:t>
      </w:r>
      <w:r>
        <w:t xml:space="preserve">(</w:t>
      </w:r>
      <w:r>
        <w:rPr>
          <w:b/>
          <w:bCs/>
        </w:rPr>
        <w:t xml:space="preserve">bours2014?</w:t>
      </w:r>
      <w:r>
        <w:t xml:space="preserve">)</w:t>
      </w:r>
      <w:r>
        <w:t xml:space="preserve">.</w:t>
      </w:r>
    </w:p>
    <w:p>
      <w:pPr>
        <w:pStyle w:val="Brdtekst"/>
      </w:pPr>
      <w:r>
        <w:t xml:space="preserve">Private sector engagement in adaptation has been more limited than in mitigation, where carbon markets and renewable energy investments have created clearer business opportunities. Adaptation often involves public goods like flood protection or heat warning systems that don’t generate direct financial returns, making private investment more challenging</w:t>
      </w:r>
      <w:r>
        <w:t xml:space="preserve"> </w:t>
      </w:r>
      <w:r>
        <w:t xml:space="preserve">(</w:t>
      </w:r>
      <w:r>
        <w:rPr>
          <w:b/>
          <w:bCs/>
        </w:rPr>
        <w:t xml:space="preserve">surminski2018?</w:t>
      </w:r>
      <w:r>
        <w:t xml:space="preserve">)</w:t>
      </w:r>
      <w:r>
        <w:t xml:space="preserve">. Insurance mechanisms represent one area of private sector engagement, with initiatives like the InsuResilience Global Partnership aiming to expand climate risk insurance coverage in vulnerable countries</w:t>
      </w:r>
      <w:r>
        <w:t xml:space="preserve"> </w:t>
      </w:r>
      <w:r>
        <w:t xml:space="preserve">(</w:t>
      </w:r>
      <w:r>
        <w:rPr>
          <w:b/>
          <w:bCs/>
        </w:rPr>
        <w:t xml:space="preserve">weingärtner2017?</w:t>
      </w:r>
      <w:r>
        <w:t xml:space="preserve">)</w:t>
      </w:r>
      <w:r>
        <w:t xml:space="preserve">.</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w:t>
      </w:r>
      <w:r>
        <w:rPr>
          <w:b/>
          <w:bCs/>
        </w:rPr>
        <w:t xml:space="preserve">adger2005?</w:t>
      </w:r>
      <w:r>
        <w:t xml:space="preserve">)</w:t>
      </w:r>
      <w:r>
        <w:t xml:space="preserve">. This creates challenges for coherence across scales and for ensuring that global policies and financing mechanisms effectively support local adaptation needs.</w:t>
      </w:r>
    </w:p>
    <w:bookmarkEnd w:id="27"/>
    <w:bookmarkStart w:id="28" w:name="loss-and-damage"/>
    <w:p>
      <w:pPr>
        <w:pStyle w:val="Overskrift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The concept emerged from the recognition that there are limits to adaptation—some climate impacts simply cannot be adapted to, particularly for vulnerable nations facing existential threats</w:t>
      </w:r>
      <w:r>
        <w:t xml:space="preserve"> </w:t>
      </w:r>
      <w:r>
        <w:t xml:space="preserve">(</w:t>
      </w:r>
      <w:r>
        <w:rPr>
          <w:b/>
          <w:bCs/>
        </w:rPr>
        <w:t xml:space="preserve">warner2013?</w:t>
      </w:r>
      <w:r>
        <w:t xml:space="preserve">)</w:t>
      </w:r>
      <w:r>
        <w:t xml:space="preserve">.</w:t>
      </w:r>
    </w:p>
    <w:p>
      <w:pPr>
        <w:pStyle w:val="Brdtekst"/>
      </w:pPr>
      <w:r>
        <w:t xml:space="preserve">The Alliance of Small Island States (AOSIS) first proposed an international insurance pool for loss and damage from sea-level rise in 1991, well before the UNFCCC was established.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w:t>
      </w:r>
      <w:r>
        <w:rPr>
          <w:b/>
          <w:bCs/>
        </w:rPr>
        <w:t xml:space="preserve">boyd2017?</w:t>
      </w:r>
      <w:r>
        <w:t xml:space="preserve">)</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w:t>
      </w:r>
      <w:r>
        <w:rPr>
          <w:b/>
          <w:bCs/>
        </w:rPr>
        <w:t xml:space="preserve">calliari2018?</w:t>
      </w:r>
      <w:r>
        <w:t xml:space="preserve">)</w:t>
      </w:r>
      <w:r>
        <w:t xml:space="preserve">.</w:t>
      </w:r>
    </w:p>
    <w:p>
      <w:pPr>
        <w:pStyle w:val="Brdtekst"/>
      </w:pPr>
      <w:r>
        <w:t xml:space="preserve">This led to both a sharpening of the original target from 1997, to a new one to limit global warming to 1,5° C, and the establishment of the loss and damage pillar [source]. The 1.5°C target emerged largely from research showing the dramatically different implications of 1.5°C versus 2°C warming, particularly for vulnerable regions and ecosystems. The IPCC Special Report on Global Warming of 1.5°C, released in 2018, provided comprehensive scientific evidence for these differences, noting substantially reduced risks at 1.5°C compared to 2°C</w:t>
      </w:r>
      <w:r>
        <w:t xml:space="preserve"> </w:t>
      </w:r>
      <w:r>
        <w:t xml:space="preserve">(</w:t>
      </w:r>
      <w:r>
        <w:rPr>
          <w:b/>
          <w:bCs/>
        </w:rPr>
        <w:t xml:space="preserve">ipcc2018?</w:t>
      </w:r>
      <w:r>
        <w:t xml:space="preserve">)</w:t>
      </w:r>
      <w:r>
        <w:t xml:space="preserve">.</w:t>
      </w:r>
    </w:p>
    <w:p>
      <w:pPr>
        <w:pStyle w:val="Brdteks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r>
        <w:t xml:space="preserve"> </w:t>
      </w:r>
      <w:r>
        <w:t xml:space="preserve">(</w:t>
      </w:r>
      <w:r>
        <w:rPr>
          <w:b/>
          <w:bCs/>
        </w:rPr>
        <w:t xml:space="preserve">mayer2017?</w:t>
      </w:r>
      <w:r>
        <w:t xml:space="preserve">)</w:t>
      </w:r>
      <w:r>
        <w:t xml:space="preserve">.</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t>
      </w:r>
      <w:r>
        <w:rPr>
          <w:b/>
          <w:bCs/>
        </w:rPr>
        <w:t xml:space="preserve">otto2017?</w:t>
      </w:r>
      <w:r>
        <w:t xml:space="preserve">)</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Second, as a form of risk management, where risk is reduced through adaptation measures, transferred through insurance schemes and retained through resilience measures [source]. This approach includes both economic and non-economic losses, with the latter encompassing losses of culture, identity, territory, and indigenous knowledge that cannot be readily monetized</w:t>
      </w:r>
      <w:r>
        <w:t xml:space="preserve"> </w:t>
      </w:r>
      <w:r>
        <w:t xml:space="preserve">(</w:t>
      </w:r>
      <w:r>
        <w:rPr>
          <w:b/>
          <w:bCs/>
        </w:rPr>
        <w:t xml:space="preserve">barnett2016?</w:t>
      </w:r>
      <w:r>
        <w:t xml:space="preserve">)</w:t>
      </w:r>
      <w:r>
        <w:t xml:space="preserve">. Insurance-based approaches have gained particular traction, with initiatives like the InsuResilience Global Partnership aiming to provide climate and disaster risk finance and insurance solutions to 500 million vulnerable people</w:t>
      </w:r>
      <w:r>
        <w:t xml:space="preserve"> </w:t>
      </w:r>
      <w:r>
        <w:t xml:space="preserve">(</w:t>
      </w:r>
      <w:r>
        <w:rPr>
          <w:b/>
          <w:bCs/>
        </w:rPr>
        <w:t xml:space="preserve">weingärtner2019?</w:t>
      </w:r>
      <w:r>
        <w:t xml:space="preserve">)</w:t>
      </w:r>
      <w:r>
        <w:t xml:space="preserve">.</w:t>
      </w:r>
    </w:p>
    <w:p>
      <w:pPr>
        <w:pStyle w:val="Brdtekst"/>
      </w:pPr>
      <w:r>
        <w:t xml:space="preserve">A breakthrough came at COP27 in Sharm el-Sheikh with the establishment of funding arrangements for loss and damage, followed by the operationalization of the Loss and Damage Fund at COP28 in Dubai. These developments represent significant progress, though questions remain about the fund’s size, who contributes, who can access it, and under what circumstances</w:t>
      </w:r>
      <w:r>
        <w:t xml:space="preserve"> </w:t>
      </w:r>
      <w:r>
        <w:t xml:space="preserve">(</w:t>
      </w:r>
      <w:r>
        <w:rPr>
          <w:b/>
          <w:bCs/>
        </w:rPr>
        <w:t xml:space="preserve">roberts2023?</w:t>
      </w:r>
      <w:r>
        <w:t xml:space="preserve">)</w:t>
      </w:r>
      <w:r>
        <w:t xml:space="preserve">. Initial pledges totaled approximately $700 million—far below estimates of loss and damage costs, which range from $290-580 billion annually by 2030 for developing countries alone</w:t>
      </w:r>
      <w:r>
        <w:t xml:space="preserve"> </w:t>
      </w:r>
      <w:r>
        <w:t xml:space="preserve">(</w:t>
      </w:r>
      <w:r>
        <w:rPr>
          <w:b/>
          <w:bCs/>
        </w:rPr>
        <w:t xml:space="preserve">markandya2018?</w:t>
      </w:r>
      <w:r>
        <w:t xml:space="preserve">)</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r>
        <w:tc>
          <w:tcPr/>
          <w:p>
            <w:pPr>
              <w:pStyle w:val="Compact"/>
            </w:pPr>
            <w:r>
              <w:t xml:space="preserve">: Timeline of the main climate summits {.striped .hover}</w:t>
            </w:r>
          </w:p>
        </w:tc>
        <w:tc>
          <w:tcPr/>
          <w:p>
            <w:pPr>
              <w:pStyle w:val="Compact"/>
            </w:pPr>
          </w:p>
        </w:tc>
        <w:tc>
          <w:tcPr/>
          <w:p>
            <w:pPr>
              <w:pStyle w:val="Compact"/>
            </w:pPr>
          </w:p>
        </w:tc>
        <w:tc>
          <w:tcPr/>
          <w:p>
            <w:pPr>
              <w:pStyle w:val="Compact"/>
            </w:pPr>
          </w:p>
        </w:tc>
      </w:tr>
    </w:tbl>
    <w:bookmarkEnd w:id="28"/>
    <w:bookmarkStart w:id="29" w:name="unfccc-negotiations"/>
    <w:p>
      <w:pPr>
        <w:pStyle w:val="Overskrift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r>
        <w:t xml:space="preserve"> </w:t>
      </w:r>
      <w:r>
        <w:t xml:space="preserve">(</w:t>
      </w:r>
      <w:r>
        <w:rPr>
          <w:b/>
          <w:bCs/>
        </w:rPr>
        <w:t xml:space="preserve">bodansky2016?</w:t>
      </w:r>
      <w:r>
        <w:t xml:space="preserve">)</w:t>
      </w:r>
      <w:r>
        <w:t xml:space="preserve">.</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w:t>
      </w:r>
      <w:r>
        <w:rPr>
          <w:b/>
          <w:bCs/>
        </w:rPr>
        <w:t xml:space="preserve">betzold2012?</w:t>
      </w:r>
      <w:r>
        <w:t xml:space="preserve">)</w:t>
      </w:r>
      <w:r>
        <w:t xml:space="preserve">. These coalitions provide developing countries with greater negotiating power than they would have individually, though the diverse interests within groups like the G77 can create internal tensions</w:t>
      </w:r>
      <w:r>
        <w:t xml:space="preserve"> </w:t>
      </w:r>
      <w:r>
        <w:t xml:space="preserve">(</w:t>
      </w:r>
      <w:r>
        <w:rPr>
          <w:b/>
          <w:bCs/>
        </w:rPr>
        <w:t xml:space="preserve">ciplet2015?</w:t>
      </w:r>
      <w:r>
        <w:t xml:space="preserve">)</w:t>
      </w:r>
      <w:r>
        <w:t xml:space="preserve">.</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w:t>
      </w:r>
      <w:r>
        <w:rPr>
          <w:b/>
          <w:bCs/>
        </w:rPr>
        <w:t xml:space="preserve">schroeder2010?</w:t>
      </w:r>
      <w:r>
        <w:t xml:space="preserve">)</w:t>
      </w:r>
      <w:r>
        <w:t xml:space="preserve">. Civil society organizations often provide technical support to vulnerable country delegations, while also using various forms of advocacy to influence the negotiation process</w:t>
      </w:r>
      <w:r>
        <w:t xml:space="preserve"> </w:t>
      </w:r>
      <w:r>
        <w:t xml:space="preserve">(</w:t>
      </w:r>
      <w:r>
        <w:rPr>
          <w:b/>
          <w:bCs/>
        </w:rPr>
        <w:t xml:space="preserve">allan2020?</w:t>
      </w:r>
      <w:r>
        <w:t xml:space="preserve">)</w:t>
      </w:r>
      <w:r>
        <w:t xml:space="preserve">. The private sector, particularly fossil fuel industries, also exercises significant influence, both through direct lobbying and by shaping national positions of major economies</w:t>
      </w:r>
      <w:r>
        <w:t xml:space="preserve"> </w:t>
      </w:r>
      <w:r>
        <w:t xml:space="preserve">(</w:t>
      </w:r>
      <w:r>
        <w:rPr>
          <w:b/>
          <w:bCs/>
        </w:rPr>
        <w:t xml:space="preserve">newell2000?</w:t>
      </w:r>
      <w:r>
        <w:t xml:space="preserve">)</w:t>
      </w:r>
      <w:r>
        <w:t xml:space="preserve">.</w:t>
      </w:r>
    </w:p>
    <w:p>
      <w:pPr>
        <w:pStyle w:val="Brdtekst"/>
      </w:pPr>
      <w:r>
        <w:t xml:space="preserve">Many see the relationship between climate action and economic growth as opposites, resisting binding agreements and preferring unsubstatiaded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w:t>
      </w:r>
      <w:r>
        <w:rPr>
          <w:b/>
          <w:bCs/>
        </w:rPr>
        <w:t xml:space="preserve">nordhaus2019?</w:t>
      </w:r>
      <w:r>
        <w:t xml:space="preserve">)</w:t>
      </w:r>
      <w:r>
        <w:t xml:space="preserve">.</w:t>
      </w:r>
    </w:p>
    <w:p>
      <w:pPr>
        <w:pStyle w:val="Brdteks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r>
        <w:t xml:space="preserve"> </w:t>
      </w:r>
      <w:r>
        <w:t xml:space="preserve">(</w:t>
      </w:r>
      <w:r>
        <w:rPr>
          <w:b/>
          <w:bCs/>
        </w:rPr>
        <w:t xml:space="preserve">tol2009?</w:t>
      </w:r>
      <w:r>
        <w:t xml:space="preserve">)</w:t>
      </w:r>
      <w:r>
        <w:t xml:space="preserve">.</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w:t>
      </w:r>
      <w:r>
        <w:rPr>
          <w:b/>
          <w:bCs/>
        </w:rPr>
        <w:t xml:space="preserve">tol2018?</w:t>
      </w:r>
      <w:r>
        <w:t xml:space="preserve">)</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w:t>
      </w:r>
      <w:r>
        <w:t xml:space="preserve"> </w:t>
      </w:r>
      <w:r>
        <w:t xml:space="preserve">(</w:t>
      </w:r>
      <w:r>
        <w:rPr>
          <w:b/>
          <w:bCs/>
        </w:rPr>
        <w:t xml:space="preserve">adger2006?</w:t>
      </w:r>
      <w:r>
        <w:t xml:space="preserve">)</w:t>
      </w:r>
      <w:r>
        <w:t xml:space="preserve">. Second, it struggles to account for non-economic values, including cultural heritage, biodiversity, and human lives, that cannot be readily monetized</w:t>
      </w:r>
      <w:r>
        <w:t xml:space="preserve"> </w:t>
      </w:r>
      <w:r>
        <w:t xml:space="preserve">(</w:t>
      </w:r>
      <w:r>
        <w:rPr>
          <w:b/>
          <w:bCs/>
        </w:rPr>
        <w:t xml:space="preserve">fanning2020?</w:t>
      </w:r>
      <w:r>
        <w:t xml:space="preserve">)</w:t>
      </w:r>
      <w:r>
        <w:t xml:space="preserve">. Third, it typically applies high discount rates that effectively devalue future impacts, raising intergenerational equity concerns</w:t>
      </w:r>
      <w:r>
        <w:t xml:space="preserve"> </w:t>
      </w:r>
      <w:r>
        <w:t xml:space="preserve">(</w:t>
      </w:r>
      <w:r>
        <w:rPr>
          <w:b/>
          <w:bCs/>
        </w:rPr>
        <w:t xml:space="preserve">stern2007?</w:t>
      </w:r>
      <w:r>
        <w:t xml:space="preserve">)</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w:t>
      </w:r>
      <w:r>
        <w:rPr>
          <w:b/>
          <w:bCs/>
        </w:rPr>
        <w:t xml:space="preserve">schlosberg2014?</w:t>
      </w:r>
      <w:r>
        <w:t xml:space="preserve">)</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w:t>
      </w:r>
      <w:r>
        <w:t xml:space="preserve"> </w:t>
      </w:r>
      <w:r>
        <w:t xml:space="preserve">(</w:t>
      </w:r>
      <w:r>
        <w:rPr>
          <w:b/>
          <w:bCs/>
        </w:rPr>
        <w:t xml:space="preserve">whyte2017?</w:t>
      </w:r>
      <w:r>
        <w:t xml:space="preserve">)</w:t>
      </w:r>
      <w:r>
        <w:t xml:space="preserve">. These approaches typically involve more holistic understandings of climate change that situate it within broader patterns of colonialism, extraction, and disruption of Indigenous relationships with lands and waters.</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w:t>
      </w:r>
      <w:r>
        <w:t xml:space="preserve"> </w:t>
      </w:r>
      <w:r>
        <w:t xml:space="preserve">(</w:t>
      </w:r>
      <w:r>
        <w:rPr>
          <w:b/>
          <w:bCs/>
        </w:rPr>
        <w:t xml:space="preserve">hulme2010?</w:t>
      </w:r>
      <w:r>
        <w:t xml:space="preserve">)</w:t>
      </w:r>
      <w:r>
        <w:t xml:space="preserve">.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r>
        <w:t xml:space="preserve"> </w:t>
      </w:r>
      <w:r>
        <w:t xml:space="preserve">(</w:t>
      </w:r>
      <w:r>
        <w:rPr>
          <w:b/>
          <w:bCs/>
        </w:rPr>
        <w:t xml:space="preserve">roberts2021?</w:t>
      </w:r>
      <w:r>
        <w:t xml:space="preserve">)</w:t>
      </w:r>
      <w:r>
        <w:t xml:space="preserve">.</w:t>
      </w:r>
    </w:p>
    <w:p>
      <w:pPr>
        <w:pStyle w:val="Brdtekst"/>
      </w:pPr>
      <w:r>
        <w:t xml:space="preserve">The formal separation of these pillars within the climate regime reflects both organizational convenience and political compromises, but in practice, they are deeply interconnected. The level of mitigation determines the scale of adaptation and loss and damage needed, while effective adaptation reduces but does not eliminate loss and damage. Recognizing these interconnections, some scholars and practitioners advocate for more integrated approaches to climate governance that address all three pillars in coordinated ways</w:t>
      </w:r>
      <w:r>
        <w:t xml:space="preserve"> </w:t>
      </w:r>
      <w:r>
        <w:t xml:space="preserve">(</w:t>
      </w:r>
      <w:r>
        <w:rPr>
          <w:b/>
          <w:bCs/>
        </w:rPr>
        <w:t xml:space="preserve">klein2007?</w:t>
      </w:r>
      <w:r>
        <w:t xml:space="preserve">)</w:t>
      </w:r>
      <w:r>
        <w:t xml:space="preserve">.</w:t>
      </w:r>
    </w:p>
    <w:p>
      <w:pPr>
        <w:pStyle w:val="Brdtekst"/>
      </w:pPr>
      <w:r>
        <w:t xml:space="preserve">These debates about the relationship between mitigation, adaptation, and loss and damage are not merely academic but have profound implications for the direction of climate policy and finance. They shape decisions about resource allocation, institutional arrangements, and priority-setting at international, national, and local levels. As climate impacts intensify and the limitations of conventional approaches become increasingly apparent, these fundamental questions about how to conceptualize and respond to climate change remain at the center of climate politics and governance.</w:t>
      </w:r>
    </w:p>
    <w:bookmarkEnd w:id="29"/>
    <w:bookmarkEnd w:id="30"/>
    <w:bookmarkStart w:id="33" w:name="sec-lit"/>
    <w:p>
      <w:pPr>
        <w:pStyle w:val="Overskrift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the thinking in the field of development studies, where the study of interventions, projects that seek to change societies abroad, has a long theoretical history. These competing paradigms reveal fundamentally different understandings of what adaptation is, how vulnerability is produced, and consequently, what appropriate interventions look like.</w:t>
      </w:r>
    </w:p>
    <w:bookmarkStart w:id="31" w:name="sec-nexus"/>
    <w:p>
      <w:pPr>
        <w:pStyle w:val="Overskrift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r>
        <w:t xml:space="preserve"> </w:t>
      </w:r>
      <w:r>
        <w:t xml:space="preserve">(Desai &amp; Potter, 2006)</w:t>
      </w:r>
      <w:r>
        <w:t xml:space="preserve">. This represented a significant departure from conventional research methodologies that maintained clear boundaries between researcher and subject.</w:t>
      </w:r>
    </w:p>
    <w:p>
      <w:pPr>
        <w:pStyle w:val="Brdtekst"/>
      </w:pPr>
      <w:r>
        <w:t xml:space="preserve">New methods were developed to better map communities and engage them in knowledge production, such as participatory rural appraisal [source]. These methodologies included techniques like transect walks, community mapping, seasonal calendars, and wealth ranking exercises that enabled communities to visualize and analyze their own situations. Unlike conventional survey techniques that often reinforced power differentials, these approaches were designed to be accessible to non-literate participants and to foster collective analysis. The emphasis on visual tools and group discussions helped bypass literacy barriers and created opportunities for more inclusive participation, particularly among marginalized community members</w:t>
      </w:r>
      <w:r>
        <w:t xml:space="preserve"> </w:t>
      </w:r>
      <w:r>
        <w:t xml:space="preserve">(Chambers, 1994)</w:t>
      </w:r>
      <w:r>
        <w:t xml:space="preserve">.</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r>
        <w:t xml:space="preserve"> </w:t>
      </w:r>
      <w:r>
        <w:t xml:space="preserve">(</w:t>
      </w:r>
      <w:r>
        <w:rPr>
          <w:b/>
          <w:bCs/>
        </w:rPr>
        <w:t xml:space="preserve">scoones1998?</w:t>
      </w:r>
      <w:r>
        <w:t xml:space="preserve">)</w:t>
      </w:r>
      <w:r>
        <w:t xml:space="preserve">. This framework provided a more holistic understanding of how people navigate complex environments than previous approaches focused narrowly on income or employment.</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 This approach provided a normative framework for evaluating development interventions based on their contribution to expanding substantive freedoms rather than simply increasing income or consumption.</w:t>
      </w:r>
    </w:p>
    <w:p>
      <w:pPr>
        <w:pStyle w:val="Brdtekst"/>
      </w:pPr>
      <w:r>
        <w:t xml:space="preserve">Jesse Ribot’s theory of access complemented these frameworks by examining the mechanisms through which people gain, control, and maintain access to resources</w:t>
      </w:r>
      <w:r>
        <w:t xml:space="preserve"> </w:t>
      </w:r>
      <w:r>
        <w:t xml:space="preserve">(Ribot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(CBNRM) emerged as one application of these insights, based on the premise that local users with secure rights over resources would manage them more sustainably than distant state authorities</w:t>
      </w:r>
      <w:r>
        <w:t xml:space="preserve"> </w:t>
      </w:r>
      <w:r>
        <w:t xml:space="preserve">(</w:t>
      </w:r>
      <w:r>
        <w:rPr>
          <w:b/>
          <w:bCs/>
        </w:rPr>
        <w:t xml:space="preserve">agrawal2001?</w:t>
      </w:r>
      <w:r>
        <w:t xml:space="preserve">)</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r>
        <w:t xml:space="preserve"> </w:t>
      </w:r>
      <w:r>
        <w:t xml:space="preserve">(</w:t>
      </w:r>
      <w:r>
        <w:rPr>
          <w:b/>
          <w:bCs/>
        </w:rPr>
        <w:t xml:space="preserve">ostrom2009?</w:t>
      </w:r>
      <w:r>
        <w:t xml:space="preserve">)</w:t>
      </w:r>
      <w:r>
        <w:t xml:space="preserve">.</w:t>
      </w:r>
    </w:p>
    <w:p>
      <w:pPr>
        <w:pStyle w:val="Brdtekst"/>
      </w:pPr>
      <w:r>
        <w:t xml:space="preserve">These approaches were not without criticism. Some scholars argued that participatory methods could be co-opted by powerful actors, reinforcing rather than challenging existing power structures</w:t>
      </w:r>
      <w:r>
        <w:t xml:space="preserve"> </w:t>
      </w:r>
      <w:r>
        <w:t xml:space="preserve">(</w:t>
      </w:r>
      <w:r>
        <w:rPr>
          <w:b/>
          <w:bCs/>
        </w:rPr>
        <w:t xml:space="preserve">cooke2001?</w:t>
      </w:r>
      <w:r>
        <w:t xml:space="preserve">)</w:t>
      </w:r>
      <w:r>
        <w:t xml:space="preserve">. Others noted that an uncritical focus on</w:t>
      </w:r>
      <w:r>
        <w:t xml:space="preserve"> </w:t>
      </w:r>
      <w:r>
        <w:t xml:space="preserve">“the local”</w:t>
      </w:r>
      <w:r>
        <w:t xml:space="preserve"> </w:t>
      </w:r>
      <w:r>
        <w:t xml:space="preserve">might romanticize communities and obscure internal divisions along lines of gender, class, caste, or age</w:t>
      </w:r>
      <w:r>
        <w:t xml:space="preserve"> </w:t>
      </w:r>
      <w:r>
        <w:t xml:space="preserve">(</w:t>
      </w:r>
      <w:r>
        <w:rPr>
          <w:b/>
          <w:bCs/>
        </w:rPr>
        <w:t xml:space="preserve">agarwal2001?</w:t>
      </w:r>
      <w:r>
        <w:t xml:space="preserve">)</w:t>
      </w:r>
      <w:r>
        <w:t xml:space="preserv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[source].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w:t>
      </w:r>
      <w:r>
        <w:t xml:space="preserve"> </w:t>
      </w:r>
      <w:r>
        <w:t xml:space="preserve">(</w:t>
      </w:r>
      <w:r>
        <w:rPr>
          <w:b/>
          <w:bCs/>
        </w:rPr>
        <w:t xml:space="preserve">mansuri2013?</w:t>
      </w:r>
      <w:r>
        <w:t xml:space="preserve">)</w:t>
      </w:r>
      <w:r>
        <w:t xml:space="preserve">. Similarly, the United Nations Development Programme incorporated community-based adaptation into its climate programming, emphasizing local knowledge and decision-making while providing technical and financial support.</w:t>
      </w:r>
    </w:p>
    <w:p>
      <w:pPr>
        <w:pStyle w:val="Brdtekst"/>
      </w:pPr>
      <w:r>
        <w:t xml:space="preserve">They see climate adaptation as just one policy area amongst all the others, and is searching for some key sectors and for synergies between them [source].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w:t>
      </w:r>
      <w:r>
        <w:t xml:space="preserve"> </w:t>
      </w:r>
      <w:r>
        <w:t xml:space="preserve">(</w:t>
      </w:r>
      <w:r>
        <w:rPr>
          <w:b/>
          <w:bCs/>
        </w:rPr>
        <w:t xml:space="preserve">huq2004?</w:t>
      </w:r>
      <w:r>
        <w:t xml:space="preserve">)</w:t>
      </w:r>
      <w:r>
        <w:t xml:space="preserve">. Proponents argue that mainstreaming promotes efficiency, sustainability, and coherence across different policy domains. Key sectors typically identified for adaptation mainstreaming include agriculture, water management, health, disaster risk reduction, and infrastructure</w:t>
      </w:r>
      <w:r>
        <w:t xml:space="preserve"> </w:t>
      </w:r>
      <w:r>
        <w:t xml:space="preserve">(</w:t>
      </w:r>
      <w:r>
        <w:rPr>
          <w:b/>
          <w:bCs/>
        </w:rPr>
        <w:t xml:space="preserve">klein2007?</w:t>
      </w:r>
      <w:r>
        <w:t xml:space="preserve">)</w:t>
      </w:r>
      <w:r>
        <w:t xml:space="preserv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r>
        <w:t xml:space="preserve"> </w:t>
      </w:r>
      <w:r>
        <w:t xml:space="preserve">(Almenar et al., 2021)</w:t>
      </w:r>
      <w:r>
        <w:t xml:space="preserve">.</w:t>
      </w:r>
    </w:p>
    <w:p>
      <w:pPr>
        <w:pStyle w:val="Brdtekst"/>
      </w:pPr>
      <w:r>
        <w:t xml:space="preserve">The adaptation nexus approach has gained traction partly because it aligns well with existing institutional arrangements and funding streams. By emphasizing the integration of adaptation into existing development sectors and identifying potential synergies between adaptation and other objectives, this approach minimizes disruption to established organizational structures and processes. This alignment makes the approach attractive to large development institutions and bilateral donors that prefer working through existing channels and frameworks</w:t>
      </w:r>
      <w:r>
        <w:t xml:space="preserve"> </w:t>
      </w:r>
      <w:r>
        <w:t xml:space="preserve">(Schipper, 2020)</w:t>
      </w:r>
      <w:r>
        <w:t xml:space="preserve">.</w:t>
      </w:r>
    </w:p>
    <w:p>
      <w:pPr>
        <w:pStyle w:val="Brdtekst"/>
      </w:pPr>
      <w:r>
        <w:t xml:space="preserve">The nexus approach is also compatible with the rise of resilience thinking in development and adaptation. Resilience frameworks emphasize building the capacity of systems (whether households, communities, or ecosystems) to absorb shocks, self-organize, and adapt or transform in response to change</w:t>
      </w:r>
      <w:r>
        <w:t xml:space="preserve"> </w:t>
      </w:r>
      <w:r>
        <w:t xml:space="preserve">(</w:t>
      </w:r>
      <w:r>
        <w:rPr>
          <w:b/>
          <w:bCs/>
        </w:rPr>
        <w:t xml:space="preserve">folke2006?</w:t>
      </w:r>
      <w:r>
        <w:t xml:space="preserve">)</w:t>
      </w:r>
      <w:r>
        <w:t xml:space="preserve">. This emphasis on building adaptive capacity aligns well with the nexus approach’s focus on enhancing assets, capabilities, and institutional arrangements across multiple sectors.</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 This conceptualization of vulnerability focuses on characteristics of individuals or communities that make them susceptible to harm, such as limited assets, poor infrastructure, or weak institutions</w:t>
      </w:r>
      <w:r>
        <w:t xml:space="preserve"> </w:t>
      </w:r>
      <w:r>
        <w:t xml:space="preserve">(</w:t>
      </w:r>
      <w:r>
        <w:rPr>
          <w:b/>
          <w:bCs/>
        </w:rPr>
        <w:t xml:space="preserve">kelly2000?</w:t>
      </w:r>
      <w:r>
        <w:t xml:space="preserve">)</w:t>
      </w:r>
      <w:r>
        <w:t xml:space="preserve">. It tends to frame vulnerability as a condition rather than a process, emphasizing what people lack rather than examining how and why they came to lack these resources or capabilities.</w:t>
      </w:r>
    </w:p>
    <w:p>
      <w:pPr>
        <w:pStyle w:val="Brdtekst"/>
      </w:pPr>
      <w:r>
        <w:t xml:space="preserve">This framing aligns with asset-based approaches to development that focus on building the capitals that households and communities can draw upon to respond to stresses and shocks. By enhancing these assets and capabilities, the logic goes, individuals and communities will be better able to navigate not only climate challenges but a range of other stresses they might face. This logic underpins many mainstream adaptation interventions, from livelihood diversification programs to improved infrastructure to early warning systems</w:t>
      </w:r>
      <w:r>
        <w:t xml:space="preserve"> </w:t>
      </w:r>
      <w:r>
        <w:t xml:space="preserve">(</w:t>
      </w:r>
      <w:r>
        <w:rPr>
          <w:b/>
          <w:bCs/>
        </w:rPr>
        <w:t xml:space="preserve">lemos2007?</w:t>
      </w:r>
      <w:r>
        <w:t xml:space="preserve">)</w:t>
      </w:r>
      <w:r>
        <w:t xml:space="preserve">.</w:t>
      </w:r>
    </w:p>
    <w:p>
      <w:pPr>
        <w:pStyle w:val="Brdtekst"/>
      </w:pPr>
      <w:r>
        <w:t xml:space="preserve">However, 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w:t>
      </w:r>
      <w:r>
        <w:rPr>
          <w:b/>
          <w:bCs/>
        </w:rPr>
        <w:t xml:space="preserve">taylor2015?</w:t>
      </w:r>
      <w:r>
        <w:t xml:space="preserve">)</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(Eriksen et al., 2021)</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sec-regime"/>
    <w:p>
      <w:pPr>
        <w:pStyle w:val="Overskrift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r>
        <w:t xml:space="preserve"> </w:t>
      </w:r>
      <w:r>
        <w:t xml:space="preserve">(Lewis &amp; Mosse, 2006)</w:t>
      </w:r>
      <w:r>
        <w:t xml:space="preserve">.</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w:t>
      </w:r>
      <w:r>
        <w:t xml:space="preserve"> </w:t>
      </w:r>
      <w:r>
        <w:t xml:space="preserve">(</w:t>
      </w:r>
      <w:r>
        <w:rPr>
          <w:b/>
          <w:bCs/>
        </w:rPr>
        <w:t xml:space="preserve">foucault1980?</w:t>
      </w:r>
      <w:r>
        <w:t xml:space="preserve">)</w:t>
      </w:r>
      <w:r>
        <w:t xml:space="preserve">.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w:t>
      </w:r>
      <w:r>
        <w:rPr>
          <w:b/>
          <w:bCs/>
        </w:rPr>
        <w:t xml:space="preserve">rahnema1997?</w:t>
      </w:r>
      <w:r>
        <w:t xml:space="preserve">)</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w:t>
      </w:r>
      <w:r>
        <w:t xml:space="preserve"> </w:t>
      </w:r>
      <w:r>
        <w:t xml:space="preserve">(Agrawal, 2005)</w:t>
      </w:r>
      <w:r>
        <w:t xml:space="preserve">.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r>
        <w:t xml:space="preserve"> </w:t>
      </w:r>
      <w:r>
        <w:t xml:space="preserve">(Paprocki, 2018)</w:t>
      </w:r>
      <w:r>
        <w:t xml:space="preserve">.</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w:t>
      </w:r>
      <w:r>
        <w:t xml:space="preserve"> </w:t>
      </w:r>
      <w:r>
        <w:t xml:space="preserve">(</w:t>
      </w:r>
      <w:r>
        <w:rPr>
          <w:b/>
          <w:bCs/>
        </w:rPr>
        <w:t xml:space="preserve">taylor2015?</w:t>
      </w:r>
      <w:r>
        <w:t xml:space="preserve">)</w:t>
      </w:r>
      <w:r>
        <w:t xml:space="preserve">. By framing climate impacts as inevitable and beyond human control, the adaptation regime eliminates the space for questioning whether particular interventions are necessary or desirable, or whose interests they 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r>
        <w:t xml:space="preserve"> </w:t>
      </w:r>
      <w:r>
        <w:t xml:space="preserve">(Paprocki, 2018)</w:t>
      </w:r>
      <w:r>
        <w:t xml:space="preserve">.</w:t>
      </w:r>
    </w:p>
    <w:p>
      <w:pPr>
        <w:pStyle w:val="Brdtekst"/>
      </w:pPr>
      <w:r>
        <w:t xml:space="preserve">Similarly, rural-to-urban migration is framed as an adaptive response to climate change rather than a consequence of policies that undermine rural livelihoods. This framing naturalizes displacement as inevitable rather than acknowledging how particular development choices create conditions that make rural livelihoods increasingly precarious. The adaptation regime thus serves to legitimize and accelerate existing processes of agrarian transition and urbanization while obscuring the political choices and power relations that shape these processes</w:t>
      </w:r>
      <w:r>
        <w:t xml:space="preserve"> </w:t>
      </w:r>
      <w:r>
        <w:t xml:space="preserve">(Paprocki, 2018)</w:t>
      </w:r>
      <w:r>
        <w:t xml:space="preserve">.</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w:t>
      </w:r>
      <w:r>
        <w:t xml:space="preserve"> </w:t>
      </w:r>
      <w:r>
        <w:t xml:space="preserve">(</w:t>
      </w:r>
      <w:r>
        <w:rPr>
          <w:b/>
          <w:bCs/>
        </w:rPr>
        <w:t xml:space="preserve">farbotko2010?</w:t>
      </w:r>
      <w:r>
        <w:t xml:space="preserve">)</w:t>
      </w:r>
      <w:r>
        <w:t xml:space="preserv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w:t>
      </w:r>
      <w:r>
        <w:rPr>
          <w:b/>
          <w:bCs/>
        </w:rPr>
        <w:t xml:space="preserve">barnett2016?</w:t>
      </w:r>
      <w:r>
        <w:t xml:space="preserve">)</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w:t>
      </w:r>
      <w:r>
        <w:t xml:space="preserve"> </w:t>
      </w:r>
      <w:r>
        <w:t xml:space="preserve">(</w:t>
      </w:r>
      <w:r>
        <w:rPr>
          <w:b/>
          <w:bCs/>
        </w:rPr>
        <w:t xml:space="preserve">taylor2013?</w:t>
      </w:r>
      <w:r>
        <w:t xml:space="preserve">)</w:t>
      </w:r>
      <w:r>
        <w:t xml:space="preserve">.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w:t>
      </w:r>
      <w:r>
        <w:t xml:space="preserve"> </w:t>
      </w:r>
      <w:r>
        <w:t xml:space="preserve">(</w:t>
      </w:r>
      <w:r>
        <w:rPr>
          <w:b/>
          <w:bCs/>
        </w:rPr>
        <w:t xml:space="preserve">anguelovski2016?</w:t>
      </w:r>
      <w:r>
        <w:t xml:space="preserve">)</w:t>
      </w:r>
      <w:r>
        <w:t xml:space="preserve">.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w:t>
      </w:r>
      <w:r>
        <w:rPr>
          <w:b/>
          <w:bCs/>
        </w:rPr>
        <w:t xml:space="preserve">shi2016?</w:t>
      </w:r>
      <w:r>
        <w:t xml:space="preserve">)</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what Donna Haraway calls</w:t>
      </w:r>
      <w:r>
        <w:t xml:space="preserve"> </w:t>
      </w:r>
      <w:r>
        <w:t xml:space="preserve">“God tricks”</w:t>
      </w:r>
      <w:r>
        <w:t xml:space="preserve">—seemingly objective perspectives that mask their partial and situated nature</w:t>
      </w:r>
      <w:r>
        <w:t xml:space="preserve"> </w:t>
      </w:r>
      <w:r>
        <w:t xml:space="preserve">(</w:t>
      </w:r>
      <w:r>
        <w:rPr>
          <w:b/>
          <w:bCs/>
        </w:rPr>
        <w:t xml:space="preserve">haraway1988?</w:t>
      </w:r>
      <w:r>
        <w:t xml:space="preserve">)</w:t>
      </w:r>
      <w:r>
        <w:t xml:space="preserv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w:t>
      </w:r>
      <w:r>
        <w:rPr>
          <w:b/>
          <w:bCs/>
        </w:rPr>
        <w:t xml:space="preserve">mahony2016?</w:t>
      </w:r>
      <w:r>
        <w:t xml:space="preserve">)</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(Scoville-Simonds et al., 2020)</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w:t>
      </w:r>
      <w:r>
        <w:t xml:space="preserve"> </w:t>
      </w:r>
      <w:r>
        <w:t xml:space="preserve">(</w:t>
      </w:r>
      <w:r>
        <w:rPr>
          <w:b/>
          <w:bCs/>
        </w:rPr>
        <w:t xml:space="preserve">nightingale2015?</w:t>
      </w:r>
      <w:r>
        <w:t xml:space="preserve">)</w:t>
      </w:r>
      <w:r>
        <w:t xml:space="preserve">. These approaches emphasize the political nature of adaptation decisions and seek to democratize adaptation governance in ways that center the agency and knowledge of those most affected by climate impacts.</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(Ireland &amp; McKinnon, 2013)</w:t>
      </w:r>
      <w:r>
        <w:t xml:space="preserve">.</w:t>
      </w:r>
    </w:p>
    <w:bookmarkEnd w:id="32"/>
    <w:bookmarkEnd w:id="33"/>
    <w:bookmarkStart w:id="39" w:name="X3aa6038dbda2514c722229336063d4a09b0322d"/>
    <w:p>
      <w:pPr>
        <w:pStyle w:val="Overskrift1"/>
      </w:pPr>
      <w:r>
        <w:t xml:space="preserve">4. Theory: Development Ontology and Epistemological Diversity</w:t>
      </w:r>
    </w:p>
    <w:p>
      <w:pPr>
        <w:pStyle w:val="FirstParagraph"/>
      </w:pPr>
      <w:r>
        <w:t xml:space="preserve">Climate adaptation discourse operates at the intersection of multiple knowledge systems and worldviews, each with distinct assumptions about what constitutes valid knowledge, how we understand vulnerability, and what futures are possible or desirable. This chapter develops a theoretical framework for analyzing discourse centralization in climate adaptation through the lens of development ontology and epistemological diversity.</w:t>
      </w:r>
    </w:p>
    <w:p>
      <w:pPr>
        <w:pStyle w:val="Brdtekst"/>
      </w:pPr>
      <w:r>
        <w:t xml:space="preserve">The central theoretical tension I explore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w:t>
      </w:r>
      <w:r>
        <w:rPr>
          <w:b/>
          <w:bCs/>
        </w:rPr>
        <w:t xml:space="preserve">schipper2006?</w:t>
      </w:r>
      <w:r>
        <w:t xml:space="preserve">)</w:t>
      </w:r>
      <w:r>
        <w:t xml:space="preserve">.</w:t>
      </w:r>
    </w:p>
    <w:p>
      <w:pPr>
        <w:pStyle w:val="Brdtekst"/>
      </w:pPr>
      <w:r>
        <w:t xml:space="preserve">This theoretical framework is informed by several interdisciplinary fields, including development studies, future studies, science and technology studies, and political ecology. By bringing these perspectives together, I aim to develop an analytical lens that can help us understand the power dynamics at play in how adaptation is conceptualized and implemented across different contexts. This framework will guide my empirical analysis of discourse centralization in National Adaptation Plans, providing theoretical grounding for interpreting patterns of homogeneity or diversity in adaptation discourse.</w:t>
      </w:r>
    </w:p>
    <w:p>
      <w:pPr>
        <w:pStyle w:val="Brdtekst"/>
      </w:pPr>
      <w:r>
        <w:t xml:space="preserve">The chapter proceeds as follows: First, I discuss the concept of epistemological diversity through the lens of Epistemologies of the South, exploring how Northern knowledge systems have often marginalized alternative ways of knowing that might offer valuable insights for adaptation. Second, I examine different ontological perspectives that shape adaptation approaches, particularly focusing on tensions between technocratic and relational ontologies. Third, I analyze how</w:t>
      </w:r>
      <w:r>
        <w:t xml:space="preserve"> </w:t>
      </w:r>
      <w:r>
        <w:t xml:space="preserve">“the local”</w:t>
      </w:r>
      <w:r>
        <w:t xml:space="preserve"> </w:t>
      </w:r>
      <w:r>
        <w:t xml:space="preserve">and</w:t>
      </w:r>
      <w:r>
        <w:t xml:space="preserve"> </w:t>
      </w:r>
      <w:r>
        <w:t xml:space="preserve">“the global”</w:t>
      </w:r>
      <w:r>
        <w:t xml:space="preserve"> </w:t>
      </w:r>
      <w:r>
        <w:t xml:space="preserve">are constructed and related in adaptation discourse, with particular attention to how scale operates as a political technology. Fourth, I explore how adaptation discourse shapes future possibilities through processes of both future-making and defuturing. Finally, I develop the concept of discourse centralization as a theoretical framework for my empirical analysis.</w:t>
      </w:r>
    </w:p>
    <w:bookmarkStart w:id="34" w:name="epistemologies-of-the-south"/>
    <w:p>
      <w:pPr>
        <w:pStyle w:val="Overskrift2"/>
      </w:pPr>
      <w:r>
        <w:t xml:space="preserve">4.1 Epistemologies of the South</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w:t>
      </w:r>
      <w:r>
        <w:t xml:space="preserve"> </w:t>
      </w:r>
      <w:r>
        <w:t xml:space="preserve">(</w:t>
      </w:r>
      <w:r>
        <w:rPr>
          <w:b/>
          <w:bCs/>
        </w:rPr>
        <w:t xml:space="preserve">santos2014?</w:t>
      </w:r>
      <w:r>
        <w:t xml:space="preserve">)</w:t>
      </w:r>
      <w:r>
        <w:t xml:space="preserve">.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central to Santos’ framework, suggests that there can be no social justice without recognizing the validity and value of diverse ways of knowing</w:t>
      </w:r>
      <w:r>
        <w:t xml:space="preserve"> </w:t>
      </w:r>
      <w:r>
        <w:t xml:space="preserve">(</w:t>
      </w:r>
      <w:r>
        <w:rPr>
          <w:b/>
          <w:bCs/>
        </w:rPr>
        <w:t xml:space="preserve">santos2014?</w:t>
      </w:r>
      <w:r>
        <w:t xml:space="preserve">)</w:t>
      </w:r>
      <w:r>
        <w:t xml:space="preserve">.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w:t>
      </w:r>
      <w:r>
        <w:t xml:space="preserve"> </w:t>
      </w:r>
      <w:r>
        <w:t xml:space="preserve">(</w:t>
      </w:r>
      <w:r>
        <w:rPr>
          <w:b/>
          <w:bCs/>
        </w:rPr>
        <w:t xml:space="preserve">santos2014?</w:t>
      </w:r>
      <w:r>
        <w:t xml:space="preserve">)</w:t>
      </w:r>
      <w:r>
        <w:t xml:space="preserve">.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In practice, creating an ecology of knowledges in climate adaptation faces significant challenges. Institutional structures, funding mechanisms, and professional incentives often reinforce the dominance of particular knowledge systems and marginalize others</w:t>
      </w:r>
      <w:r>
        <w:t xml:space="preserve"> </w:t>
      </w:r>
      <w:r>
        <w:t xml:space="preserve">(Escobar, 2020)</w:t>
      </w:r>
      <w:r>
        <w:t xml:space="preserve">. Language barriers, power differentials, and different ontological assumptions can make meaningful dialogue across knowledge systems difficult. Moreover, the urgency of climate impacts can be used to justify bypassing deliberative processes in favor of rapid expert-driven interventions</w:t>
      </w:r>
      <w:r>
        <w:t xml:space="preserve"> </w:t>
      </w:r>
      <w:r>
        <w:t xml:space="preserve">(</w:t>
      </w:r>
      <w:r>
        <w:rPr>
          <w:b/>
          <w:bCs/>
        </w:rPr>
        <w:t xml:space="preserve">eriksen2015?</w:t>
      </w:r>
      <w:r>
        <w:t xml:space="preserve">)</w:t>
      </w:r>
      <w:r>
        <w:t xml:space="preserve">.</w:t>
      </w:r>
    </w:p>
    <w:p>
      <w:pPr>
        <w:pStyle w:val="Brdtekst"/>
      </w:pPr>
      <w:r>
        <w:t xml:space="preserve">Despite these challenges, there are growing examples of efforts to create more epistemologically diverse approaches to adaptation. These include community-based adaptation initiatives that center local knowledge and priorities, indigenous-led adaptation planning that draws on traditional ecological knowledge, and transdisciplinary research approaches that bring together diverse forms of expertise</w:t>
      </w:r>
      <w:r>
        <w:t xml:space="preserve"> </w:t>
      </w:r>
      <w:r>
        <w:t xml:space="preserve">(Ireland &amp; McKinnon, 2013)</w:t>
      </w:r>
      <w:r>
        <w:t xml:space="preserve">. These examples suggest alternatives to the dominant adaptation paradigm that might better address the complex challenges posed by climate change.</w:t>
      </w:r>
    </w:p>
    <w:bookmarkEnd w:id="34"/>
    <w:bookmarkStart w:id="35" w:name="development-ontologies"/>
    <w:p>
      <w:pPr>
        <w:pStyle w:val="Overskrift2"/>
      </w:pPr>
      <w:r>
        <w:t xml:space="preserve">4.2 Development Ontologies</w:t>
      </w:r>
    </w:p>
    <w:p>
      <w:pPr>
        <w:pStyle w:val="FirstParagraph"/>
      </w:pPr>
      <w:r>
        <w:t xml:space="preserve">Ontological assumptions—fundamental beliefs about the nature of reality, causality, and change—shape how vulnerability and adaptation are conceptualized and addressed. Different development ontologies produce radically different understandings of what adaptation is and how it should be pursued. These ontological differences often remain implicit in adaptation discourse but significantly influence which approaches are considered legitimate or feasible</w:t>
      </w:r>
      <w:r>
        <w:t xml:space="preserve"> </w:t>
      </w:r>
      <w:r>
        <w:t xml:space="preserve">(Goode &amp; Godhe, 2017)</w:t>
      </w:r>
      <w:r>
        <w:t xml:space="preserve">.</w:t>
      </w:r>
    </w:p>
    <w:p>
      <w:pPr>
        <w:pStyle w:val="Brdtekst"/>
      </w:pPr>
      <w:r>
        <w:t xml:space="preserve">A technocratic ontology frames vulnerability as primarily a technical problem requiring expert solutions. This perspective emphasizes quantification, prediction, and control, viewing adaptation as a process of adjusting systems to accommodate projected climate impacts. Technologies and management techniques are positioned as primary solutions, with effectiveness measured through standardized indicators and metrics</w:t>
      </w:r>
      <w:r>
        <w:t xml:space="preserve"> </w:t>
      </w:r>
      <w:r>
        <w:t xml:space="preserve">(</w:t>
      </w:r>
      <w:r>
        <w:rPr>
          <w:b/>
          <w:bCs/>
        </w:rPr>
        <w:t xml:space="preserve">nightingale2016?</w:t>
      </w:r>
      <w:r>
        <w:t xml:space="preserve">)</w:t>
      </w:r>
      <w:r>
        <w:t xml:space="preserve">. This ontological perspective aligns with what Inayatullah terms the</w:t>
      </w:r>
      <w:r>
        <w:t xml:space="preserve"> </w:t>
      </w:r>
      <w:r>
        <w:t xml:space="preserve">“predictive-empirical”</w:t>
      </w:r>
      <w:r>
        <w:t xml:space="preserve"> </w:t>
      </w:r>
      <w:r>
        <w:t xml:space="preserve">approach to futures, which focuses on forecasting trends and designing responses based on these predictions</w:t>
      </w:r>
      <w:r>
        <w:t xml:space="preserve"> </w:t>
      </w:r>
      <w:r>
        <w:t xml:space="preserve">(Inayatullah, 1998)</w:t>
      </w:r>
      <w:r>
        <w:t xml:space="preserve">.</w:t>
      </w:r>
    </w:p>
    <w:p>
      <w:pPr>
        <w:pStyle w:val="Brdtekst"/>
      </w:pPr>
      <w:r>
        <w:t xml:space="preserve">The technocratic ontology is evident in many mainstream adaptation approaches, from climate-resilient infrastructure projects to early warning systems to precision agriculture. While these approaches can deliver important benefits, they may also reinforce existing power structures by positioning adaptation as requiring specialized expertise that is primarily available from Northern institutions and experts</w:t>
      </w:r>
      <w:r>
        <w:t xml:space="preserve"> </w:t>
      </w:r>
      <w:r>
        <w:t xml:space="preserve">(Eriksen et al., 2021)</w:t>
      </w:r>
      <w:r>
        <w:t xml:space="preserve">. This ontological perspective often treats biophysical climate impacts as primary while treating social, political, and economic factors as secondary context, despite evidence that these factors fundamentally shape vulnerability and adaptive capacity</w:t>
      </w:r>
      <w:r>
        <w:t xml:space="preserve"> </w:t>
      </w:r>
      <w:r>
        <w:t xml:space="preserve">(</w:t>
      </w:r>
      <w:r>
        <w:rPr>
          <w:b/>
          <w:bCs/>
        </w:rPr>
        <w:t xml:space="preserve">o?</w:t>
      </w:r>
      <w:r>
        <w:t xml:space="preserve">’brien2007)</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 Rather than seeing systems as collections of discrete entities that can be independently manipulated, a relational ontology sees them as constituted through ongoing relationships that cannot be reduced to their component parts</w:t>
      </w:r>
      <w:r>
        <w:t xml:space="preserve"> </w:t>
      </w:r>
      <w:r>
        <w:t xml:space="preserve">(</w:t>
      </w:r>
      <w:r>
        <w:rPr>
          <w:b/>
          <w:bCs/>
        </w:rPr>
        <w:t xml:space="preserve">ingold2011?</w:t>
      </w:r>
      <w:r>
        <w:t xml:space="preserve">)</w:t>
      </w:r>
      <w:r>
        <w:t xml:space="preserve">.</w:t>
      </w:r>
    </w:p>
    <w:p>
      <w:pPr>
        <w:pStyle w:val="Brdtekst"/>
      </w:pPr>
      <w:r>
        <w:t xml:space="preserve">The relational ontology is evident in approaches to adaptation that emphasize social learning, ecosystem-based adaptation, and community-led transformations. These approaches tend to be more process-oriented than outcome-oriented, focusing on building capacity for ongoing adaptation rather than implementing fixed solutions</w:t>
      </w:r>
      <w:r>
        <w:t xml:space="preserve"> </w:t>
      </w:r>
      <w:r>
        <w:t xml:space="preserve">(</w:t>
      </w:r>
      <w:r>
        <w:rPr>
          <w:b/>
          <w:bCs/>
        </w:rPr>
        <w:t xml:space="preserve">pelling2011?</w:t>
      </w:r>
      <w:r>
        <w:t xml:space="preserve">)</w:t>
      </w:r>
      <w:r>
        <w:t xml:space="preserve">. They may draw on indigenous and traditional knowledge systems that often embody relational understandings of human-environment interactions</w:t>
      </w:r>
      <w:r>
        <w:t xml:space="preserve"> </w:t>
      </w:r>
      <w:r>
        <w:t xml:space="preserve">(</w:t>
      </w:r>
      <w:r>
        <w:rPr>
          <w:b/>
          <w:bCs/>
        </w:rPr>
        <w:t xml:space="preserve">whyte2017?</w:t>
      </w:r>
      <w:r>
        <w:t xml:space="preserve">)</w:t>
      </w:r>
      <w:r>
        <w:t xml:space="preserve">.</w:t>
      </w:r>
    </w:p>
    <w:p>
      <w:pPr>
        <w:pStyle w:val="Brdtekst"/>
      </w:pPr>
      <w:r>
        <w:t xml:space="preserve">Another significant ontological distinction is between market-based and commons-based approaches to adaptation. A market-based ontology prioritizes economic efficiency and private sector solutions, viewing adaptation primarily through the lens of managing climate risks to investments and assets. This perspective often emphasizes property rights, insurance mechanisms, and market incentives as key tools for adaptation</w:t>
      </w:r>
      <w:r>
        <w:t xml:space="preserve"> </w:t>
      </w:r>
      <w:r>
        <w:t xml:space="preserve">(</w:t>
      </w:r>
      <w:r>
        <w:rPr>
          <w:b/>
          <w:bCs/>
        </w:rPr>
        <w:t xml:space="preserve">surminski2018?</w:t>
      </w:r>
      <w:r>
        <w:t xml:space="preserve">)</w:t>
      </w:r>
      <w:r>
        <w:t xml:space="preserve">. It aligns with neoliberal approaches to development that favor market-based solutions to social and environmental challenges.</w:t>
      </w:r>
    </w:p>
    <w:p>
      <w:pPr>
        <w:pStyle w:val="Brdtekst"/>
      </w:pPr>
      <w:r>
        <w:t xml:space="preserve">In contrast, a commons-based ontology centers collective governance and shared resources, viewing adaptation as a process of sustaining and enhancing commons that support community resilience</w:t>
      </w:r>
      <w:r>
        <w:t xml:space="preserve"> </w:t>
      </w:r>
      <w:r>
        <w:t xml:space="preserve">(</w:t>
      </w:r>
      <w:r>
        <w:rPr>
          <w:b/>
          <w:bCs/>
        </w:rPr>
        <w:t xml:space="preserve">bollier2014?</w:t>
      </w:r>
      <w:r>
        <w:t xml:space="preserve">)</w:t>
      </w:r>
      <w:r>
        <w:t xml:space="preserve">. This perspective emphasizes cooperative institutions, collective action, and non-market forms of value. It aligns with alternative development approaches that recognize the limits of market mechanisms for addressing public goods and intergenerational justice</w:t>
      </w:r>
      <w:r>
        <w:t xml:space="preserve"> </w:t>
      </w:r>
      <w:r>
        <w:t xml:space="preserve">(</w:t>
      </w:r>
      <w:r>
        <w:rPr>
          <w:b/>
          <w:bCs/>
        </w:rPr>
        <w:t xml:space="preserve">ostrom2009?</w:t>
      </w:r>
      <w:r>
        <w:t xml:space="preserve">)</w:t>
      </w:r>
      <w:r>
        <w:t xml:space="preserve">.</w:t>
      </w:r>
    </w:p>
    <w:p>
      <w:pPr>
        <w:pStyle w:val="Brdtekst"/>
      </w:pPr>
      <w:r>
        <w:t xml:space="preserve">These ontological differences are not merely abstract philosophical disagreements but shape concrete adaptation practices and outcomes. They influence which adaptation approaches receive funding and institutional support, whose expertise is valued in designing interventions, what success looks like, and who benefits or loses from particular interventions. As Escobar argues, ontological differences are inherently political, involving struggles over</w:t>
      </w:r>
      <w:r>
        <w:t xml:space="preserve"> </w:t>
      </w:r>
      <w:r>
        <w:t xml:space="preserve">“the kinds of worlds that will be created and the kinds of worlds that will be destroyed”</w:t>
      </w:r>
      <w:r>
        <w:t xml:space="preserve"> </w:t>
      </w:r>
      <w:r>
        <w:t xml:space="preserve">(Escobar, 2018)</w:t>
      </w:r>
      <w:r>
        <w:t xml:space="preserve">.</w:t>
      </w:r>
    </w:p>
    <w:bookmarkEnd w:id="35"/>
    <w:bookmarkStart w:id="36" w:name="local-vs.-global"/>
    <w:p>
      <w:pPr>
        <w:pStyle w:val="Overskrift2"/>
      </w:pPr>
      <w:r>
        <w:t xml:space="preserve">4.3 Local vs. Global</w:t>
      </w:r>
    </w:p>
    <w:p>
      <w:pPr>
        <w:pStyle w:val="FirstParagraph"/>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w:t>
      </w:r>
      <w:r>
        <w:t xml:space="preserve"> </w:t>
      </w:r>
      <w:r>
        <w:t xml:space="preserve">(</w:t>
      </w:r>
      <w:r>
        <w:rPr>
          <w:b/>
          <w:bCs/>
        </w:rPr>
        <w:t xml:space="preserve">mahony2015?</w:t>
      </w:r>
      <w:r>
        <w:t xml:space="preserve">)</w:t>
      </w:r>
      <w:r>
        <w:t xml:space="preserve">.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r>
        <w:t xml:space="preserve"> </w:t>
      </w:r>
      <w:r>
        <w:t xml:space="preserve">(</w:t>
      </w:r>
      <w:r>
        <w:rPr>
          <w:b/>
          <w:bCs/>
        </w:rPr>
        <w:t xml:space="preserve">beck2014?</w:t>
      </w:r>
      <w:r>
        <w:t xml:space="preserve">)</w:t>
      </w:r>
      <w:r>
        <w:t xml:space="preserve">.</w:t>
      </w:r>
    </w:p>
    <w:p>
      <w:pPr>
        <w:pStyle w:val="Brdtekst"/>
      </w:pPr>
      <w:r>
        <w:t xml:space="preserve">The local scale, in contrast, is constructed as the site of concrete impacts and interventions. Local knowledge, institutions, and practices are increasingly recognized as essential for effective adaptation, leading to the rise of approaches like community-based adaptation</w:t>
      </w:r>
      <w:r>
        <w:t xml:space="preserve"> </w:t>
      </w:r>
      <w:r>
        <w:t xml:space="preserve">(</w:t>
      </w:r>
      <w:r>
        <w:rPr>
          <w:b/>
          <w:bCs/>
        </w:rPr>
        <w:t xml:space="preserve">huq2018?</w:t>
      </w:r>
      <w:r>
        <w:t xml:space="preserve">)</w:t>
      </w:r>
      <w:r>
        <w:t xml:space="preserve">.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National governments play a crucial role in adaptation governance, mediating between international frameworks and local implementation through policies, institutions, and resource allocation</w:t>
      </w:r>
      <w:r>
        <w:t xml:space="preserve"> </w:t>
      </w:r>
      <w:r>
        <w:t xml:space="preserve">(</w:t>
      </w:r>
      <w:r>
        <w:rPr>
          <w:b/>
          <w:bCs/>
        </w:rPr>
        <w:t xml:space="preserve">biesbroek2018?</w:t>
      </w:r>
      <w:r>
        <w:t xml:space="preserve">)</w:t>
      </w:r>
      <w:r>
        <w:t xml:space="preserve">. Regional bodies can facilitate knowledge sharing and cooperation across countries facing similar adaptation challenges. Sectoral approaches focus on particular domains like agriculture, water, or health, often crossing jurisdictional boundaries while maintaining distinct communities of practice</w:t>
      </w:r>
      <w:r>
        <w:t xml:space="preserve"> </w:t>
      </w:r>
      <w:r>
        <w:t xml:space="preserve">(</w:t>
      </w:r>
      <w:r>
        <w:rPr>
          <w:b/>
          <w:bCs/>
        </w:rPr>
        <w:t xml:space="preserve">klein2007?</w:t>
      </w:r>
      <w:r>
        <w:t xml:space="preserve">)</w:t>
      </w:r>
      <w:r>
        <w:t xml:space="preserve">.</w:t>
      </w:r>
    </w:p>
    <w:p>
      <w:pPr>
        <w:pStyle w:val="Brdtekst"/>
      </w:pPr>
      <w:r>
        <w:t xml:space="preserve">My analysis focuses particularly on the regional scale as a potential mediating force between global frameworks and local realities.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r>
        <w:t xml:space="preserve"> </w:t>
      </w:r>
      <w:r>
        <w:t xml:space="preserve">(</w:t>
      </w:r>
      <w:r>
        <w:rPr>
          <w:b/>
          <w:bCs/>
        </w:rPr>
        <w:t xml:space="preserve">murtinho2016?</w:t>
      </w:r>
      <w:r>
        <w:t xml:space="preserve">)</w:t>
      </w:r>
      <w:r>
        <w:t xml:space="preserv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w:t>
      </w:r>
      <w:r>
        <w:t xml:space="preserve"> </w:t>
      </w:r>
      <w:r>
        <w:t xml:space="preserve">(</w:t>
      </w:r>
      <w:r>
        <w:rPr>
          <w:b/>
          <w:bCs/>
        </w:rPr>
        <w:t xml:space="preserve">swyngedouw2004?</w:t>
      </w:r>
      <w:r>
        <w:t xml:space="preserve">)</w:t>
      </w:r>
      <w:r>
        <w:t xml:space="preserve">.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concept of</w:t>
      </w:r>
      <w:r>
        <w:t xml:space="preserve"> </w:t>
      </w:r>
      <w:r>
        <w:t xml:space="preserve">“glocalization”</w:t>
      </w:r>
      <w:r>
        <w:t xml:space="preserve"> </w:t>
      </w:r>
      <w:r>
        <w:t xml:space="preserve">helps us understand how global and local processes interact in adaptation governance. Rather than seeing the global and local as separate domains, glocalization highlights how they mutually constitute each other through complex interactions</w:t>
      </w:r>
      <w:r>
        <w:t xml:space="preserve"> </w:t>
      </w:r>
      <w:r>
        <w:t xml:space="preserve">(</w:t>
      </w:r>
      <w:r>
        <w:rPr>
          <w:b/>
          <w:bCs/>
        </w:rPr>
        <w:t xml:space="preserve">robertson1995?</w:t>
      </w:r>
      <w:r>
        <w:t xml:space="preserve">)</w:t>
      </w:r>
      <w:r>
        <w:t xml:space="preserve">. Global frameworks like the Paris Agreement influence local adaptation practices, while local innovations and experiences shape the evolution of global frameworks. These interactions are not politically neutral but reflect and reproduce power differentials between actors operating at different scales</w:t>
      </w:r>
      <w:r>
        <w:t xml:space="preserve"> </w:t>
      </w:r>
      <w:r>
        <w:t xml:space="preserve">(</w:t>
      </w:r>
      <w:r>
        <w:rPr>
          <w:b/>
          <w:bCs/>
        </w:rPr>
        <w:t xml:space="preserve">peck2002?</w:t>
      </w:r>
      <w:r>
        <w:t xml:space="preserve">)</w:t>
      </w:r>
      <w:r>
        <w:t xml:space="preserve">.</w:t>
      </w:r>
    </w:p>
    <w:bookmarkEnd w:id="36"/>
    <w:bookmarkStart w:id="37" w:name="future-making"/>
    <w:p>
      <w:pPr>
        <w:pStyle w:val="Overskrift2"/>
      </w:pPr>
      <w:r>
        <w:t xml:space="preserve">4.4 Future-making</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r>
        <w:t xml:space="preserve"> </w:t>
      </w:r>
      <w:r>
        <w:t xml:space="preserve">(</w:t>
      </w:r>
      <w:r>
        <w:rPr>
          <w:b/>
          <w:bCs/>
        </w:rPr>
        <w:t xml:space="preserve">o?</w:t>
      </w:r>
      <w:r>
        <w:t xml:space="preserve">’brien2011)</w:t>
      </w:r>
      <w:r>
        <w:t xml:space="preserve">.</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r>
        <w:t xml:space="preserve"> </w:t>
      </w:r>
      <w:r>
        <w:t xml:space="preserve">(</w:t>
      </w:r>
      <w:r>
        <w:rPr>
          <w:b/>
          <w:bCs/>
        </w:rPr>
        <w:t xml:space="preserve">adger2013?</w:t>
      </w:r>
      <w:r>
        <w:t xml:space="preserve">)</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r>
        <w:t xml:space="preserve"> </w:t>
      </w:r>
      <w:r>
        <w:t xml:space="preserve">(</w:t>
      </w:r>
      <w:r>
        <w:rPr>
          <w:b/>
          <w:bCs/>
        </w:rPr>
        <w:t xml:space="preserve">swyngedouw2010?</w:t>
      </w:r>
      <w:r>
        <w:t xml:space="preserve">)</w:t>
      </w:r>
      <w:r>
        <w:t xml:space="preserve">.</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 Tony Fry helps us understand how dominant adaptation discourses can actively reduce rather than expand future possibilities</w:t>
      </w:r>
      <w:r>
        <w:t xml:space="preserve"> </w:t>
      </w:r>
      <w:r>
        <w:t xml:space="preserve">(Fry, 2019)</w:t>
      </w:r>
      <w:r>
        <w:t xml:space="preserve">.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r>
        <w:t xml:space="preserve"> </w:t>
      </w:r>
      <w:r>
        <w:t xml:space="preserve">(Eriksen et al., 2021)</w:t>
      </w:r>
      <w:r>
        <w:t xml:space="preserve">.</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w:t>
      </w:r>
      <w:r>
        <w:t xml:space="preserve"> </w:t>
      </w:r>
      <w:r>
        <w:t xml:space="preserve">(</w:t>
      </w:r>
      <w:r>
        <w:rPr>
          <w:b/>
          <w:bCs/>
        </w:rPr>
        <w:t xml:space="preserve">koslov2016?</w:t>
      </w:r>
      <w:r>
        <w:t xml:space="preserve">)</w:t>
      </w:r>
      <w:r>
        <w:t xml:space="preserve">.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 Goode and Godhe term</w:t>
      </w:r>
      <w:r>
        <w:t xml:space="preserve"> </w:t>
      </w:r>
      <w:r>
        <w:t xml:space="preserve">“anticipatory regime formation”</w:t>
      </w:r>
      <w:r>
        <w:t xml:space="preserve">—the processes through which particular ways of knowing and governing the future become institutionalized</w:t>
      </w:r>
      <w:r>
        <w:t xml:space="preserve"> </w:t>
      </w:r>
      <w:r>
        <w:t xml:space="preserve">(Goode &amp; Godhe, 2017)</w:t>
      </w:r>
      <w:r>
        <w:t xml:space="preserve">.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r>
        <w:t xml:space="preserve"> </w:t>
      </w:r>
      <w:r>
        <w:t xml:space="preserve">(</w:t>
      </w:r>
      <w:r>
        <w:rPr>
          <w:b/>
          <w:bCs/>
        </w:rPr>
        <w:t xml:space="preserve">anderson2010?</w:t>
      </w:r>
      <w:r>
        <w:t xml:space="preserve">)</w:t>
      </w:r>
      <w:r>
        <w:t xml:space="preserve">.</w:t>
      </w:r>
    </w:p>
    <w:bookmarkEnd w:id="37"/>
    <w:bookmarkStart w:id="38" w:name="discourse-centralization"/>
    <w:p>
      <w:pPr>
        <w:pStyle w:val="Overskrift2"/>
      </w:pPr>
      <w:r>
        <w:t xml:space="preserve">4.5 Discourse Centralization</w:t>
      </w:r>
    </w:p>
    <w:p>
      <w:pPr>
        <w:pStyle w:val="FirstParagraph"/>
      </w:pPr>
      <w:r>
        <w:t xml:space="preserve">Drawing on the theoretical perspectives discussed above, I develop the concept of discourse centralization as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w:t>
      </w:r>
      <w:r>
        <w:t xml:space="preserve"> </w:t>
      </w:r>
      <w:r>
        <w:t xml:space="preserve">(</w:t>
      </w:r>
      <w:r>
        <w:rPr>
          <w:b/>
          <w:bCs/>
        </w:rPr>
        <w:t xml:space="preserve">foucault1980?</w:t>
      </w:r>
      <w:r>
        <w:t xml:space="preserve">)</w:t>
      </w:r>
      <w:r>
        <w:t xml:space="preserve">.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w:t>
      </w:r>
      <w:r>
        <w:t xml:space="preserve"> </w:t>
      </w:r>
      <w:r>
        <w:t xml:space="preserve">(</w:t>
      </w:r>
      <w:r>
        <w:rPr>
          <w:b/>
          <w:bCs/>
        </w:rPr>
        <w:t xml:space="preserve">bacchi2009?</w:t>
      </w:r>
      <w:r>
        <w:t xml:space="preserve">)</w:t>
      </w:r>
      <w:r>
        <w:t xml:space="preserv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w:t>
      </w:r>
      <w:r>
        <w:t xml:space="preserve"> </w:t>
      </w:r>
      <w:r>
        <w:t xml:space="preserve">(</w:t>
      </w:r>
      <w:r>
        <w:rPr>
          <w:b/>
          <w:bCs/>
        </w:rPr>
        <w:t xml:space="preserve">fairclough2013?</w:t>
      </w:r>
      <w:r>
        <w:t xml:space="preserve">)</w:t>
      </w:r>
      <w:r>
        <w:t xml:space="preserve">.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r>
        <w:t xml:space="preserve"> </w:t>
      </w:r>
      <w:r>
        <w:t xml:space="preserve">(</w:t>
      </w:r>
      <w:r>
        <w:rPr>
          <w:b/>
          <w:bCs/>
        </w:rPr>
        <w:t xml:space="preserve">santos2014?</w:t>
      </w:r>
      <w:r>
        <w:t xml:space="preserve">)</w:t>
      </w:r>
      <w:r>
        <w:t xml:space="preserve">.</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(Petersen et al., 2015)</w:t>
      </w:r>
      <w:r>
        <w:t xml:space="preserve">. It also helps us identify factors that may promote or inhibit epistemological diversity in adaptation governance, such as institutional structures, power relations, and historical legacies.</w:t>
      </w:r>
    </w:p>
    <w:bookmarkEnd w:id="38"/>
    <w:bookmarkEnd w:id="39"/>
    <w:bookmarkStart w:id="44"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40"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40"/>
    <w:bookmarkStart w:id="41"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1"/>
    <w:bookmarkStart w:id="42"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2"/>
    <w:bookmarkStart w:id="43"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3"/>
    <w:bookmarkEnd w:id="44"/>
    <w:bookmarkStart w:id="45" w:name="sec-findings"/>
    <w:p>
      <w:pPr>
        <w:pStyle w:val="Overskrift1"/>
      </w:pPr>
      <w:r>
        <w:t xml:space="preserve">6. Findings</w:t>
      </w:r>
    </w:p>
    <w:bookmarkEnd w:id="45"/>
    <w:bookmarkStart w:id="46" w:name="sec-discussion"/>
    <w:p>
      <w:pPr>
        <w:pStyle w:val="Overskrift1"/>
      </w:pPr>
      <w:r>
        <w:t xml:space="preserve">7. Discussion</w:t>
      </w:r>
    </w:p>
    <w:bookmarkEnd w:id="46"/>
    <w:bookmarkStart w:id="47" w:name="sec-conclusion"/>
    <w:p>
      <w:pPr>
        <w:pStyle w:val="Overskrift1"/>
      </w:pPr>
      <w:r>
        <w:t xml:space="preserve">8. Conclusion</w:t>
      </w:r>
    </w:p>
    <w:bookmarkEnd w:id="47"/>
    <w:bookmarkStart w:id="97" w:name="references"/>
    <w:p>
      <w:pPr>
        <w:pStyle w:val="Overskrift1"/>
      </w:pPr>
      <w:r>
        <w:t xml:space="preserve">References</w:t>
      </w:r>
    </w:p>
    <w:bookmarkStart w:id="96" w:name="refs"/>
    <w:bookmarkStart w:id="48"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48"/>
    <w:bookmarkStart w:id="50"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49">
        <w:r>
          <w:rPr>
            <w:rStyle w:val="Hyperlink"/>
          </w:rPr>
          <w:t xml:space="preserve">https://doi.org/10.1016/j.landusepol.2020.104898</w:t>
        </w:r>
      </w:hyperlink>
    </w:p>
    <w:bookmarkEnd w:id="50"/>
    <w:bookmarkStart w:id="51"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1"/>
    <w:bookmarkStart w:id="53"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2">
        <w:r>
          <w:rPr>
            <w:rStyle w:val="Hyperlink"/>
          </w:rPr>
          <w:t xml:space="preserve">https://doi.org/10.1016/0305-750X(94)90030-2</w:t>
        </w:r>
      </w:hyperlink>
    </w:p>
    <w:bookmarkEnd w:id="53"/>
    <w:bookmarkStart w:id="54"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54"/>
    <w:bookmarkStart w:id="56"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55">
        <w:r>
          <w:rPr>
            <w:rStyle w:val="Hyperlink"/>
          </w:rPr>
          <w:t xml:space="preserve">https://doi.org/10.1080/00141844.2020.1788109</w:t>
        </w:r>
      </w:hyperlink>
    </w:p>
    <w:bookmarkEnd w:id="56"/>
    <w:bookmarkStart w:id="58"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57">
        <w:r>
          <w:rPr>
            <w:rStyle w:val="Hyperlink"/>
          </w:rPr>
          <w:t xml:space="preserve">https://doi.org/10.1016/j.worlddev.2020.105383</w:t>
        </w:r>
      </w:hyperlink>
    </w:p>
    <w:bookmarkEnd w:id="58"/>
    <w:bookmarkStart w:id="60"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59">
        <w:r>
          <w:rPr>
            <w:rStyle w:val="Hyperlink"/>
          </w:rPr>
          <w:t xml:space="preserve">https://www.jstor.org/stable/j.ctt7rtgw</w:t>
        </w:r>
      </w:hyperlink>
    </w:p>
    <w:bookmarkEnd w:id="60"/>
    <w:bookmarkStart w:id="61"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61"/>
    <w:bookmarkStart w:id="62"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62"/>
    <w:bookmarkStart w:id="63"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3"/>
    <w:bookmarkStart w:id="64"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64"/>
    <w:bookmarkStart w:id="65"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65"/>
    <w:bookmarkStart w:id="67"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66">
        <w:r>
          <w:rPr>
            <w:rStyle w:val="Hyperlink"/>
          </w:rPr>
          <w:t xml:space="preserve">https://doi.org/10.3384/cu.2000.1525.1790615</w:t>
        </w:r>
      </w:hyperlink>
    </w:p>
    <w:bookmarkEnd w:id="67"/>
    <w:bookmarkStart w:id="69"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68">
        <w:r>
          <w:rPr>
            <w:rStyle w:val="Hyperlink"/>
          </w:rPr>
          <w:t xml:space="preserve">https://doi.org/10.1177/1354066117725157</w:t>
        </w:r>
      </w:hyperlink>
    </w:p>
    <w:bookmarkEnd w:id="69"/>
    <w:bookmarkStart w:id="71"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70">
        <w:r>
          <w:rPr>
            <w:rStyle w:val="Hyperlink"/>
          </w:rPr>
          <w:t xml:space="preserve">https://doi.org/10.1016/0016-3287(90)90077-U</w:t>
        </w:r>
      </w:hyperlink>
    </w:p>
    <w:bookmarkEnd w:id="71"/>
    <w:bookmarkStart w:id="73" w:name="ref-inayatullah1998"/>
    <w:p>
      <w:pPr>
        <w:pStyle w:val="Bibliografi"/>
      </w:pPr>
      <w:r>
        <w:t xml:space="preserve">Inayatullah, S. (1998). Causal layered analysis: Poststructuralism as method.</w:t>
      </w:r>
      <w:r>
        <w:t xml:space="preserve"> </w:t>
      </w:r>
      <w:r>
        <w:rPr>
          <w:i/>
          <w:iCs/>
        </w:rPr>
        <w:t xml:space="preserve">Futures</w:t>
      </w:r>
      <w:r>
        <w:t xml:space="preserve">,</w:t>
      </w:r>
      <w:r>
        <w:t xml:space="preserve"> </w:t>
      </w:r>
      <w:r>
        <w:rPr>
          <w:i/>
          <w:iCs/>
        </w:rPr>
        <w:t xml:space="preserve">30</w:t>
      </w:r>
      <w:r>
        <w:t xml:space="preserve">(8), 815–829.</w:t>
      </w:r>
      <w:r>
        <w:t xml:space="preserve"> </w:t>
      </w:r>
      <w:hyperlink r:id="rId72">
        <w:r>
          <w:rPr>
            <w:rStyle w:val="Hyperlink"/>
          </w:rPr>
          <w:t xml:space="preserve">https://doi.org/10.1016/S0016-3287(98)00086-X</w:t>
        </w:r>
      </w:hyperlink>
    </w:p>
    <w:bookmarkEnd w:id="73"/>
    <w:bookmarkStart w:id="75"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74">
        <w:r>
          <w:rPr>
            <w:rStyle w:val="Hyperlink"/>
          </w:rPr>
          <w:t xml:space="preserve">https://doi.org/10.1016/j.geoforum.2013.01.005</w:t>
        </w:r>
      </w:hyperlink>
    </w:p>
    <w:bookmarkEnd w:id="75"/>
    <w:bookmarkStart w:id="77"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6">
        <w:r>
          <w:rPr>
            <w:rStyle w:val="Hyperlink"/>
          </w:rPr>
          <w:t xml:space="preserve">https://doi.org/10.1080/14693062.2021.1947177</w:t>
        </w:r>
      </w:hyperlink>
    </w:p>
    <w:bookmarkEnd w:id="77"/>
    <w:bookmarkStart w:id="78"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78"/>
    <w:bookmarkStart w:id="80"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79">
        <w:r>
          <w:rPr>
            <w:rStyle w:val="Hyperlink"/>
          </w:rPr>
          <w:t xml:space="preserve">https://doi.org/10.1080/01436597.2015.1045482</w:t>
        </w:r>
      </w:hyperlink>
    </w:p>
    <w:bookmarkEnd w:id="80"/>
    <w:bookmarkStart w:id="82"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81">
        <w:r>
          <w:rPr>
            <w:rStyle w:val="Hyperlink"/>
          </w:rPr>
          <w:t xml:space="preserve">https://doi.org/10.1016/j.gloenvcha.2022.102527</w:t>
        </w:r>
      </w:hyperlink>
    </w:p>
    <w:bookmarkEnd w:id="82"/>
    <w:bookmarkStart w:id="84"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3">
        <w:r>
          <w:rPr>
            <w:rStyle w:val="Hyperlink"/>
          </w:rPr>
          <w:t xml:space="preserve">https://doi.org/10.1080/24694452.2017.1406330</w:t>
        </w:r>
      </w:hyperlink>
    </w:p>
    <w:bookmarkEnd w:id="84"/>
    <w:bookmarkStart w:id="86" w:name="ref-petersen2015"/>
    <w:p>
      <w:pPr>
        <w:pStyle w:val="Bibliografi"/>
      </w:pPr>
      <w:r>
        <w:t xml:space="preserve">Petersen, C., Lioma, C., Simonsen, J. G., &amp; Larsen, B. (2015). Entropy and graph based modelling of document coherence using discourse entities: An application to IR.</w:t>
      </w:r>
      <w:r>
        <w:t xml:space="preserve"> </w:t>
      </w:r>
      <w:r>
        <w:rPr>
          <w:i/>
          <w:iCs/>
        </w:rPr>
        <w:t xml:space="preserve">Proceedings of the 2015 International Conference on the Theory of Information Retrieval</w:t>
      </w:r>
      <w:r>
        <w:t xml:space="preserve">, 191–200.</w:t>
      </w:r>
      <w:r>
        <w:t xml:space="preserve"> </w:t>
      </w:r>
      <w:hyperlink r:id="rId85">
        <w:r>
          <w:rPr>
            <w:rStyle w:val="Hyperlink"/>
          </w:rPr>
          <w:t xml:space="preserve">https://doi.org/10.1145/2808194.2809458</w:t>
        </w:r>
      </w:hyperlink>
    </w:p>
    <w:bookmarkEnd w:id="86"/>
    <w:bookmarkStart w:id="88"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7">
        <w:r>
          <w:rPr>
            <w:rStyle w:val="Hyperlink"/>
          </w:rPr>
          <w:t xml:space="preserve">https://doi.org/10.1111/j.1549-0831.2003.tb00133.x</w:t>
        </w:r>
      </w:hyperlink>
    </w:p>
    <w:bookmarkEnd w:id="88"/>
    <w:bookmarkStart w:id="90"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89">
        <w:r>
          <w:rPr>
            <w:rStyle w:val="Hyperlink"/>
          </w:rPr>
          <w:t xml:space="preserve">https://doi.org/10.18637/jss.v091.i02</w:t>
        </w:r>
      </w:hyperlink>
    </w:p>
    <w:bookmarkEnd w:id="90"/>
    <w:bookmarkStart w:id="9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91">
        <w:r>
          <w:rPr>
            <w:rStyle w:val="Hyperlink"/>
          </w:rPr>
          <w:t xml:space="preserve">https://doi.org/10.1016/j.oneear.2020.09.014</w:t>
        </w:r>
      </w:hyperlink>
    </w:p>
    <w:bookmarkEnd w:id="92"/>
    <w:bookmarkStart w:id="9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93">
        <w:r>
          <w:rPr>
            <w:rStyle w:val="Hyperlink"/>
          </w:rPr>
          <w:t xml:space="preserve">https://doi.org/10.1016/j.worlddev.2019.104683</w:t>
        </w:r>
      </w:hyperlink>
    </w:p>
    <w:bookmarkEnd w:id="94"/>
    <w:bookmarkStart w:id="9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95"/>
    <w:bookmarkEnd w:id="96"/>
    <w:bookmarkEnd w:id="97"/>
    <w:bookmarkStart w:id="98" w:name="r-packages"/>
    <w:p>
      <w:pPr>
        <w:pStyle w:val="Overskrift1"/>
      </w:pPr>
      <w:r>
        <w:t xml:space="preserve">R-packages</w:t>
      </w:r>
    </w:p>
    <w:p>
      <w:pPr>
        <w:pStyle w:val="FirstParagraph"/>
      </w:pPr>
      <w:r>
        <w:t xml:space="preserve">grateful::cite_packages(</w:t>
      </w:r>
      <w:r>
        <w:t xml:space="preserve"> </w:t>
      </w:r>
      <w:r>
        <w:t xml:space="preserve">pkgs = pkgs,</w:t>
      </w:r>
      <w:r>
        <w:t xml:space="preserve"> </w:t>
      </w:r>
      <w:r>
        <w:t xml:space="preserve">cite.tidyverse = TRUE,</w:t>
      </w:r>
      <w:r>
        <w:t xml:space="preserve"> </w:t>
      </w:r>
      <w:r>
        <w:t xml:space="preserve">output =</w:t>
      </w:r>
      <w:r>
        <w:t xml:space="preserve"> </w:t>
      </w:r>
      <w:r>
        <w:t xml:space="preserve">“paragraph”</w:t>
      </w:r>
      <w:r>
        <w:t xml:space="preserve"> </w:t>
      </w:r>
      <w:r>
        <w:t xml:space="preserve">)</w:t>
      </w:r>
    </w:p>
    <w:bookmarkEnd w:id="98"/>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2025-05-13T09:51:23Z</dcterms:created>
  <dcterms:modified xsi:type="dcterms:W3CDTF">2025-05-13T09:51:23Z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2025-05-13</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