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2025-05-13</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6"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(Santos, 2016)</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p>
    <w:bookmarkStart w:id="22" w:name="climate-adaptation"/>
    <w:p>
      <w:pPr>
        <w:pStyle w:val="Overskrift2"/>
      </w:pPr>
      <w:r>
        <w:t xml:space="preserve">1.1 Climate Adaptation</w:t>
      </w:r>
    </w:p>
    <w:p>
      <w:pPr>
        <w:pStyle w:val="FirstParagraph"/>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End w:id="22"/>
    <w:bookmarkStart w:id="23" w:name="homogeneity"/>
    <w:p>
      <w:pPr>
        <w:pStyle w:val="Overskrift2"/>
      </w:pPr>
      <w:r>
        <w:t xml:space="preserve">1.2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3"/>
    <w:bookmarkStart w:id="24" w:name="research-questions"/>
    <w:p>
      <w:pPr>
        <w:pStyle w:val="Overskrift2"/>
      </w:pPr>
      <w:r>
        <w:t xml:space="preserve">1.3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4"/>
    <w:bookmarkStart w:id="25" w:name="structure"/>
    <w:p>
      <w:pPr>
        <w:pStyle w:val="Overskrift2"/>
      </w:pPr>
      <w:r>
        <w:t xml:space="preserve">1.4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5"/>
    <w:bookmarkEnd w:id="26"/>
    <w:bookmarkStart w:id="30" w:name="sec-context"/>
    <w:p>
      <w:pPr>
        <w:pStyle w:val="Overskrift1"/>
      </w:pPr>
      <w:r>
        <w:t xml:space="preserve">2. Context: Climate action</w:t>
      </w:r>
    </w:p>
    <w:p>
      <w:pPr>
        <w:pStyle w:val="Bloktekst"/>
      </w:pPr>
      <w:r>
        <w:t xml:space="preserve">Climate adaptation has evolved from a secondary concern to a central pillar of climate governance, creating a distinctive site where North-South power dynamics become visible through the allocation of funding, institutional arrangements, and conceptual frameworks.</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7"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7"/>
    <w:bookmarkStart w:id="28"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8"/>
    <w:bookmarkStart w:id="29"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9"/>
    <w:bookmarkEnd w:id="30"/>
    <w:bookmarkStart w:id="34"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p>
      <w:pPr>
        <w:pStyle w:val="Brdtekst"/>
      </w:pPr>
      <w:r>
        <w:t xml:space="preserve">These competing approaches to adaptation reflect deeper epistemological and ontological differences in how vulnerability is understood and addressed. Before exploring these approaches in detail, we first examine how they manifest in UNFCCC negotiations, where adaptation governance is formalized and institutionalized.</w:t>
      </w:r>
    </w:p>
    <w:bookmarkStart w:id="31" w:name="unfccc-negotiations"/>
    <w:p>
      <w:pPr>
        <w:pStyle w:val="Overskrift2"/>
      </w:pPr>
      <w:r>
        <w:t xml:space="preserve">3.1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31"/>
    <w:bookmarkStart w:id="32" w:name="adaptation-nexus"/>
    <w:p>
      <w:pPr>
        <w:pStyle w:val="Overskrift2"/>
      </w:pPr>
      <w:r>
        <w:t xml:space="preserve">3.2 Adaptation Nexus</w:t>
      </w:r>
    </w:p>
    <w:p>
      <w:pPr>
        <w:pStyle w:val="Bloktekst"/>
      </w:pPr>
      <w:r>
        <w:t xml:space="preserve">The adaptation nexus approach builds on participatory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2"/>
    <w:bookmarkStart w:id="33" w:name="adaptation-regime"/>
    <w:p>
      <w:pPr>
        <w:pStyle w:val="Overskrift2"/>
      </w:pPr>
      <w:r>
        <w:t xml:space="preserve">3.3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Michel Foucault,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The seminal pieces here are Escobar’s</w:t>
      </w:r>
      <w:r>
        <w:t xml:space="preserve"> </w:t>
      </w:r>
      <w:r>
        <w:t xml:space="preserve">(Escobar, 1995)</w:t>
      </w:r>
      <w:r>
        <w:t xml:space="preserve"> </w:t>
      </w:r>
      <w:r>
        <w:t xml:space="preserve">deconstruction of the development discourse in Latin America and the start of a post-development field of study and Ferguson’s</w:t>
      </w:r>
      <w:r>
        <w:t xml:space="preserve"> </w:t>
      </w:r>
      <w:r>
        <w:t xml:space="preserve">(Ferguson, 1994)</w:t>
      </w:r>
      <w:r>
        <w:t xml:space="preserve"> </w:t>
      </w:r>
      <w:r>
        <w:t xml:space="preserve">deconstruction of development projects,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 Agrawal</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w:t>
      </w:r>
      <w:r>
        <w:t xml:space="preserve"> </w:t>
      </w: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(Scoville-Simonds et al., 2020)</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3"/>
    <w:bookmarkEnd w:id="34"/>
    <w:bookmarkStart w:id="38" w:name="sec-theory"/>
    <w:p>
      <w:pPr>
        <w:pStyle w:val="Overskrift1"/>
      </w:pPr>
      <w:r>
        <w:t xml:space="preserve">4. Theory: Development Ontology and Epistemological Diversity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5"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The adaptation regime critique articulated by scholars like</w:t>
      </w:r>
      <w:r>
        <w:t xml:space="preserve"> </w:t>
      </w:r>
      <w:r>
        <w:t xml:space="preserve">(Paprocki, 2018)</w:t>
      </w:r>
      <w:r>
        <w:t xml:space="preserve"> </w:t>
      </w:r>
      <w:r>
        <w:t xml:space="preserve">and</w:t>
      </w:r>
      <w:r>
        <w:t xml:space="preserve"> </w:t>
      </w:r>
      <w:r>
        <w:t xml:space="preserve">(Dewan, 2022)</w:t>
      </w:r>
      <w:r>
        <w:t xml:space="preserve"> </w:t>
      </w:r>
      <w:r>
        <w:t xml:space="preserve">demonstrates how Northern epistemologies dominate adaptation discourse and practice. Paprocki’s research in Bangladesh shows how adaptation discourse constructs certain places as climate vulnerable and therefore in need of external intervention, often justifying projects that benefit elites while displacing or dispossessing the most vulnerable. Dewan similarly reveals how climate adaptation serves as</w:t>
      </w:r>
      <w:r>
        <w:t xml:space="preserve"> </w:t>
      </w:r>
      <w:r>
        <w:t xml:space="preserve">“spice”</w:t>
      </w:r>
      <w:r>
        <w:t xml:space="preserve"> </w:t>
      </w:r>
      <w:r>
        <w:t xml:space="preserve">to legitimize interventions that perpetuate rather than transform existing power relations.</w:t>
      </w:r>
    </w:p>
    <w:p>
      <w:pPr>
        <w:pStyle w:val="Brdtekst"/>
      </w:pPr>
      <w:r>
        <w:t xml:space="preserve">These critiques suggest that the dominance of particular epistemological frameworks in adaptation discourse is not merely a theoretical concern but has material consequences for how adaptation resources are distributed and whose interests are served. When adaptation is framed through Northern epistemologies that prioritize technical solutions and market mechanisms, it may reinforce rather than address the underlying causes of vulnerability</w:t>
      </w:r>
      <w:r>
        <w:t xml:space="preserve"> </w:t>
      </w:r>
      <w:r>
        <w:t xml:space="preserve">(Eriksen et al., 2021)</w:t>
      </w:r>
      <w:r>
        <w:t xml:space="preserve">.</w:t>
      </w:r>
    </w:p>
    <w:p>
      <w:pPr>
        <w:pStyle w:val="Brdtekst"/>
      </w:pPr>
      <w:r>
        <w:t xml:space="preserve">Different ontological perspectives further shape how adaptation is conceptualized and implemented. 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r>
        <w:t xml:space="preserve"> </w:t>
      </w:r>
      <w:r>
        <w:t xml:space="preserve">(</w:t>
      </w:r>
      <w:r>
        <w:rPr>
          <w:b/>
          <w:bCs/>
        </w:rPr>
        <w:t xml:space="preserve">nightingale2016?</w:t>
      </w:r>
      <w:r>
        <w:t xml:space="preserve">)</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5"/>
    <w:bookmarkStart w:id="36"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6"/>
    <w:bookmarkStart w:id="37"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7"/>
    <w:bookmarkEnd w:id="38"/>
    <w:bookmarkStart w:id="43"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(M. E. 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39"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39"/>
    <w:bookmarkStart w:id="40"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(M. E. 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(M. E. 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0"/>
    <w:bookmarkStart w:id="41"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1"/>
    <w:bookmarkStart w:id="42"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2"/>
    <w:bookmarkEnd w:id="43"/>
    <w:bookmarkStart w:id="47" w:name="sec-findings"/>
    <w:p>
      <w:pPr>
        <w:pStyle w:val="Overskrift1"/>
      </w:pPr>
      <w:r>
        <w:t xml:space="preserve">6. Findings</w:t>
      </w:r>
    </w:p>
    <w:p>
      <w:pPr>
        <w:pStyle w:val="Bloktekst"/>
      </w:pPr>
      <w:r>
        <w:t xml:space="preserve">Adaptation discourse in National Adaptation Plans shows remarkably high centralization (Dominance Index 0.949),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Brdtekst"/>
      </w:pPr>
      <w:r>
        <w:t xml:space="preserve">The following sections examine each dimension in detail, analyzing specific patterns within income groups, regions, and geographical categories.</w:t>
      </w:r>
    </w:p>
    <w:bookmarkStart w:id="44"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The most prevalent topics in low-income country NAPs focus overwhelmingly on vulnerability assessment, institutional capacity building, and project implementation frameworks. These topics align closely with the requirements and priorities of international funding mechanisms like the Green Climate Fund and the Least Developed Countries Fund, suggesting that the discourse may be shaped by funding criteria rather than contextually specific adaptation needs.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p>
      <w:pPr>
        <w:pStyle w:val="Brdtekst"/>
      </w:pPr>
      <w:r>
        <w:t xml:space="preserve">Upper-middle and high-income countries show a different pattern, with high centralization but focused on different topics than low-income countries. Their discourse emphasizes risk assessment methodologies, economic analysis of adaptation options, and technical infrastructure solutions. This suggests that while discourse remains centralized, the content of that centralized discourse varies by income level.</w:t>
      </w:r>
    </w:p>
    <w:p>
      <w:pPr>
        <w:pStyle w:val="Brdtekst"/>
      </w:pPr>
      <w:r>
        <w:t xml:space="preserve">The finding that income level serves as the primary explanatory factor for discourse centralization patterns aligns with broader critiques of adaptation governance as reproducing existing development categories and power relations. It suggests that the economic positioning of countries within the global system shapes adaptation discourse more strongly than their specific climate vulnerabilities or geographical characteristics.</w:t>
      </w:r>
    </w:p>
    <w:bookmarkEnd w:id="44"/>
    <w:bookmarkStart w:id="45"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 Documents from this region emphasize community-based adaptation, agriculture and food security, and water resource management. The consistency across countries may reflect the influence of regional bodies like the African Union and regional development banks that have developed adaptation frameworks specific to African contexts.</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 NAPs from this region show greater emphasis on urban adaptation, coastal management, and disaster risk reduction, reflecting the specific vulnerabilities of many countries in the region to sea-level rise and extreme weather events.</w:t>
      </w:r>
    </w:p>
    <w:p>
      <w:pPr>
        <w:pStyle w:val="Brdtekst"/>
      </w:pPr>
      <w:r>
        <w:t xml:space="preserve">South Asia demonstrates high centralization (0.959) with moderate internal variation (0.042). Documents from this region emphasize transboundary water management, resilient agriculture, and disaster preparedness—themes that reflect shared regional vulnerabilities while also aligning with international adaptation discourse.</w:t>
      </w:r>
    </w:p>
    <w:p>
      <w:pPr>
        <w:pStyle w:val="Brdtekst"/>
      </w:pPr>
      <w:r>
        <w:t xml:space="preserve">Latin America and the Caribbean shows moderate centralization (0.941) with significant internal variation (0.071), suggesting diversity within a broadly similar regional approach. Ecosystem-based adaptation and integration of indigenous knowledge feature more prominently in NAPs from this region than others, potentially reflecting regional priorities and knowledge traditions.</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 NAPs from this region emphasize infrastructure modernization, energy efficiency, and integration with existing environmental policies—reflecting their generally higher income levels and institutional capacities.</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5"/>
    <w:bookmarkStart w:id="46"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Brdtekst"/>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Content analysis reveals that SIDS NAPs do emphasize certain distinctive topics more prominently, including coastal zone management, tourism adaptation, and marine ecosystem protection. However, these distinctive emphases occur within a discourse that remains broadly similar to the global pattern in its fundamental conceptual frameworks and approaches to adaptation. Similarly, while LLDC NAPs place greater emphasis on transboundary water management and agricultural resilience, they largely conform to the global centralized pattern in their overall conceptualization of adaptation.</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 This aligns with critiques from the adaptation regime literature, which argues that adaptation discourse often reflects and reproduces existing power relations rather than responding primarily to context-specific vulnerabilities</w:t>
      </w:r>
      <w:r>
        <w:t xml:space="preserve"> </w:t>
      </w:r>
      <w:r>
        <w:t xml:space="preserve">(Dewan, 2022; Paprocki, 2018)</w:t>
      </w:r>
      <w:r>
        <w:t xml:space="preserve">.</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6"/>
    <w:bookmarkEnd w:id="47"/>
    <w:bookmarkStart w:id="51" w:name="sec-discussion"/>
    <w:p>
      <w:pPr>
        <w:pStyle w:val="Overskrift1"/>
      </w:pPr>
      <w:r>
        <w:t xml:space="preserve">7. Discussion</w:t>
      </w:r>
    </w:p>
    <w:p>
      <w:pPr>
        <w:pStyle w:val="Bloktekst"/>
      </w:pPr>
      <w:r>
        <w:t xml:space="preserve">The high centralization of adaptation discourse around income-based patterns provides empirical evidence for the adaptation regime critique, showing how adaptation constructs vulnerability in ways that mirror development’s construction of underdevelopment and functions as an anti-politics machine.</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chapter discusses the theoretical implications of these findings, particularly how they relate to critical perspectives on adaptation governance. I argue that the empirical evidence of high discourse centralization along income lines provides substantive support for the adaptation regime critique, demonstrating how adaptation discourse functions in ways that parallel broader critiques of development discourse.</w:t>
      </w:r>
    </w:p>
    <w:p>
      <w:pPr>
        <w:pStyle w:val="Brdtekst"/>
      </w:pPr>
      <w:r>
        <w:t xml:space="preserve">The remarkably high Dominance Index (0.949) indicates that despite the diverse geographical, cultural, and socioeconomic contexts in which climate adaptation occurs, official adaptation discourse as expressed in NAPs remains highly homogeneous. This homogeneity suggests not simply coincidental similarity but active processes of discourse centralization operating through institutional arrangements, knowledge production, and power relations in climate governance. The finding that income level explains more variance than either region or geography further suggests that adaptation discourse is structured primarily along existing development categories rather than in response to specific climate vulnerabilities.</w:t>
      </w:r>
    </w:p>
    <w:p>
      <w:pPr>
        <w:pStyle w:val="Brdtekst"/>
      </w:pPr>
      <w:r>
        <w:t xml:space="preserve">These patterns provide empirical evidence for theoretical arguments advanced by scholars like Paprocki</w:t>
      </w:r>
      <w:r>
        <w:t xml:space="preserve"> </w:t>
      </w:r>
      <w:r>
        <w:t xml:space="preserve">(Paprocki, 2018)</w:t>
      </w:r>
      <w:r>
        <w:t xml:space="preserve"> </w:t>
      </w:r>
      <w:r>
        <w:t xml:space="preserve">and Dewan</w:t>
      </w:r>
      <w:r>
        <w:t xml:space="preserve"> </w:t>
      </w:r>
      <w:r>
        <w:t xml:space="preserve">(Dewan, 2022)</w:t>
      </w:r>
      <w:r>
        <w:t xml:space="preserve">, who have argued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adaptation governance functions as an anti-politics machine, and possibilities for more epistemologically diverse approaches to adaptation.</w:t>
      </w:r>
    </w:p>
    <w:bookmarkStart w:id="48" w:name="X9455f33066a8e6addd9b2503ea025525d295bc6"/>
    <w:p>
      <w:pPr>
        <w:pStyle w:val="Overskrift2"/>
      </w:pPr>
      <w:r>
        <w:t xml:space="preserve">7.1 The Construction of Climate Vulnerability</w:t>
      </w:r>
    </w:p>
    <w:p>
      <w:pPr>
        <w:pStyle w:val="Bloktekst"/>
      </w:pPr>
      <w:r>
        <w:t xml:space="preserve">Adaptation discourse actively constructs rather than merely responds to climate vulnerability, paralleling how development discourse produced underdevelopment as its necessary counterpart as evidenced by discourse centralization patterns along income lines.</w:t>
      </w:r>
    </w:p>
    <w:p>
      <w:pPr>
        <w:pStyle w:val="FirstParagraph"/>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 Escobar’s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 Paprocki</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Content analysis of the dominant topics in NAPs across income groups reveals how different aspects of vulnerability are emphasized or marginalized depending on economic positioning. Low-income country NAPs emphasize vulnerability as lack of capacity, resources, and institutions—aligning with traditional development narratives that position underdevelopment as absence or lack rather than as actively produced condition. Higher-income country NAPs emphasize vulnerability as technical challenge requiring scientific expertise and technological solutions, positioning these countries as sources of knowledge and innovation rather than sites of fundamental vulnerability.</w:t>
      </w:r>
    </w:p>
    <w:p>
      <w:pPr>
        <w:pStyle w:val="Brdtekst"/>
      </w:pPr>
      <w:r>
        <w:t xml:space="preserve">These patterns of differential vulnerability construction reflect what Santos</w:t>
      </w:r>
      <w:r>
        <w:t xml:space="preserve"> </w:t>
      </w:r>
      <w:r>
        <w:t xml:space="preserve">(</w:t>
      </w:r>
      <w:r>
        <w:rPr>
          <w:b/>
          <w:bCs/>
        </w:rPr>
        <w:t xml:space="preserve">santos2014?</w:t>
      </w:r>
      <w:r>
        <w:t xml:space="preserve">)</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 Even when local knowledge is referenced in NAPs, it is typically framed as data to be incorporated into expert-driven frameworks rather than as alternative epistemological systems that might fundamentally challenge dominant approaches.</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appropriate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bookmarkEnd w:id="48"/>
    <w:bookmarkStart w:id="49"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provides empirical evidence for what Ferguson</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finding that NAPs across diverse contexts employ remarkably similar framing, methodology, and proposed solutions suggests a standardized technical approach to adaptation that obscures its inherently political nature. Content analysis reveals that governance, institutional arrangements, and technical capacity building feature prominently across the corpus, while structural causes of vulnerability related to global political economy, colonialism, or power relations are largely absent or marginalized. This technical framing effectively depoliticizes adaptation, positioning it as a matter of proper planning and implementation rather than transforming the systems that produce vulnerability in the first place.</w:t>
      </w:r>
    </w:p>
    <w:p>
      <w:pPr>
        <w:pStyle w:val="Brdtekst"/>
      </w:pPr>
      <w:r>
        <w:t xml:space="preserve">The dominance of particular topics across NAPs—vulnerability assessment, climate modeling, project management frameworks, monitoring and evaluation systems—reflects what Li</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Our finding that income level explains more variance than geographical factors directly supports Ferguson’s argument that development interventions (including adaptation) often have less to do with their stated objectives than with expanding bureaucratic state power. The similarity of discourse across countries with different climate vulnerabilities but similar income levels suggests that adaptation planning may be shaped more by institutional imperatives and funding requirements than by context-specific needs. This aligns with critical analyses of adaptation as primarily serving bureaucratic rather than vulnerability reduction objectives</w:t>
      </w:r>
      <w:r>
        <w:t xml:space="preserve"> </w:t>
      </w:r>
      <w:r>
        <w:t xml:space="preserve">(Dewan, 2022)</w:t>
      </w:r>
      <w:r>
        <w:t xml:space="preserve">.</w:t>
      </w:r>
    </w:p>
    <w:p>
      <w:pPr>
        <w:pStyle w:val="Brdtekst"/>
      </w:pPr>
      <w:r>
        <w:t xml:space="preserve">The anti-politics of adaptation operates differently across income groups, reflecting distinct forms of depoliticization. In low-income contexts, adaptation discourse emphasizes capacity building and institutional strengthening, positioning vulnerability primarily as a governance gap rather than a consequence of global political-economic relations. In middle-income contexts, adaptation is framed as an opportunity for sustainable development and economic transformation, obscuring questions about who benefits from such transformation. In high-income contexts, adaptation becomes primarily a technical challenge of infrastructure adjustment and risk management, removing questions of historical responsibility and climate justice from consideration.</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9"/>
    <w:bookmarkStart w:id="50"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 Escobar</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 Santos’</w:t>
      </w:r>
      <w:r>
        <w:t xml:space="preserve"> </w:t>
      </w:r>
      <w:r>
        <w:t xml:space="preserve">(</w:t>
      </w:r>
      <w:r>
        <w:rPr>
          <w:b/>
          <w:bCs/>
        </w:rPr>
        <w:t xml:space="preserve">santos2014?</w:t>
      </w:r>
      <w:r>
        <w:t xml:space="preserve">)</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indigenous, local, and experiential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w:t>
      </w:r>
    </w:p>
    <w:p>
      <w:pPr>
        <w:pStyle w:val="Brdtekst"/>
      </w:pPr>
      <w:r>
        <w:t xml:space="preserve">Regional variations in discourse centralization provide potential starting points for developing more pluriversal approaches. 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 Ireland and McKinnon</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bookmarkEnd w:id="50"/>
    <w:bookmarkEnd w:id="51"/>
    <w:bookmarkStart w:id="52" w:name="sec-conclusion"/>
    <w:p>
      <w:pPr>
        <w:pStyle w:val="Overskrift1"/>
      </w:pPr>
      <w:r>
        <w:t xml:space="preserve">8. Conclusion</w:t>
      </w:r>
    </w:p>
    <w:bookmarkEnd w:id="52"/>
    <w:bookmarkStart w:id="131" w:name="references"/>
    <w:p>
      <w:pPr>
        <w:pStyle w:val="Overskrift1"/>
      </w:pPr>
      <w:r>
        <w:t xml:space="preserve">References</w:t>
      </w:r>
    </w:p>
    <w:bookmarkStart w:id="130" w:name="refs"/>
    <w:bookmarkStart w:id="53"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3"/>
    <w:bookmarkStart w:id="55"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4">
        <w:r>
          <w:rPr>
            <w:rStyle w:val="Hyperlink"/>
          </w:rPr>
          <w:t xml:space="preserve">https://doi.org/10.1016/j.landusepol.2020.104898</w:t>
        </w:r>
      </w:hyperlink>
    </w:p>
    <w:bookmarkEnd w:id="55"/>
    <w:bookmarkStart w:id="56"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6"/>
    <w:bookmarkStart w:id="58"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7">
        <w:r>
          <w:rPr>
            <w:rStyle w:val="Hyperlink"/>
          </w:rPr>
          <w:t xml:space="preserve">https://doi.org/10.1016/0305-750X(94)90030-2</w:t>
        </w:r>
      </w:hyperlink>
    </w:p>
    <w:bookmarkEnd w:id="58"/>
    <w:bookmarkStart w:id="60"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9">
        <w:r>
          <w:rPr>
            <w:rStyle w:val="Hyperlink"/>
          </w:rPr>
          <w:t xml:space="preserve">https://www.climatepolicyinitiative.org/wp-content/uploads/2023/11/GLCF-2023-Methodology.pdf</w:t>
        </w:r>
      </w:hyperlink>
    </w:p>
    <w:bookmarkEnd w:id="60"/>
    <w:bookmarkStart w:id="62"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61">
        <w:r>
          <w:rPr>
            <w:rStyle w:val="Hyperlink"/>
          </w:rPr>
          <w:t xml:space="preserve">https://doi.org/10.1080/1177083X.2024.2344497</w:t>
        </w:r>
      </w:hyperlink>
    </w:p>
    <w:bookmarkEnd w:id="62"/>
    <w:bookmarkStart w:id="63"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3"/>
    <w:bookmarkStart w:id="65"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4">
        <w:r>
          <w:rPr>
            <w:rStyle w:val="Hyperlink"/>
          </w:rPr>
          <w:t xml:space="preserve">https://doi.org/10.1080/00141844.2020.1788109</w:t>
        </w:r>
      </w:hyperlink>
    </w:p>
    <w:bookmarkEnd w:id="65"/>
    <w:bookmarkStart w:id="67"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6">
        <w:r>
          <w:rPr>
            <w:rStyle w:val="Hyperlink"/>
          </w:rPr>
          <w:t xml:space="preserve">https://doi.org/10.1080/13642987.2017.1397633</w:t>
        </w:r>
      </w:hyperlink>
    </w:p>
    <w:bookmarkEnd w:id="67"/>
    <w:bookmarkStart w:id="69"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8">
        <w:r>
          <w:rPr>
            <w:rStyle w:val="Hyperlink"/>
          </w:rPr>
          <w:t xml:space="preserve">https://doi.org/10.3362/9781780440415.001</w:t>
        </w:r>
      </w:hyperlink>
    </w:p>
    <w:bookmarkEnd w:id="69"/>
    <w:bookmarkStart w:id="71"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0">
        <w:r>
          <w:rPr>
            <w:rStyle w:val="Hyperlink"/>
          </w:rPr>
          <w:t xml:space="preserve">https://doi.org/10.1016/j.worlddev.2020.105383</w:t>
        </w:r>
      </w:hyperlink>
    </w:p>
    <w:bookmarkEnd w:id="71"/>
    <w:bookmarkStart w:id="73"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2">
        <w:r>
          <w:rPr>
            <w:rStyle w:val="Hyperlink"/>
          </w:rPr>
          <w:t xml:space="preserve">https://www.jstor.org/stable/j.ctt7rtgw</w:t>
        </w:r>
      </w:hyperlink>
    </w:p>
    <w:bookmarkEnd w:id="73"/>
    <w:bookmarkStart w:id="74"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4"/>
    <w:bookmarkStart w:id="75"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5"/>
    <w:bookmarkStart w:id="76"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6"/>
    <w:bookmarkStart w:id="77"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7"/>
    <w:bookmarkStart w:id="78"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8"/>
    <w:bookmarkStart w:id="80"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9">
        <w:r>
          <w:rPr>
            <w:rStyle w:val="Hyperlink"/>
          </w:rPr>
          <w:t xml:space="preserve">https://doi.org/10.3384/cu.2000.1525.1790615</w:t>
        </w:r>
      </w:hyperlink>
    </w:p>
    <w:bookmarkEnd w:id="80"/>
    <w:bookmarkStart w:id="82"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1">
        <w:r>
          <w:rPr>
            <w:rStyle w:val="Hyperlink"/>
          </w:rPr>
          <w:t xml:space="preserve">https://doi.org/10.1177/1354066117725157</w:t>
        </w:r>
      </w:hyperlink>
    </w:p>
    <w:bookmarkEnd w:id="82"/>
    <w:bookmarkStart w:id="84"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3">
        <w:r>
          <w:rPr>
            <w:rStyle w:val="Hyperlink"/>
          </w:rPr>
          <w:t xml:space="preserve">https://doi.org/10.1016/0016-3287(90)90077-U</w:t>
        </w:r>
      </w:hyperlink>
    </w:p>
    <w:bookmarkEnd w:id="84"/>
    <w:bookmarkStart w:id="86"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5">
        <w:r>
          <w:rPr>
            <w:rStyle w:val="Hyperlink"/>
          </w:rPr>
          <w:t xml:space="preserve">https://doi.org/10.3763/cdev.2010.0053</w:t>
        </w:r>
      </w:hyperlink>
    </w:p>
    <w:bookmarkEnd w:id="86"/>
    <w:bookmarkStart w:id="88"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7">
        <w:r>
          <w:rPr>
            <w:rStyle w:val="Hyperlink"/>
          </w:rPr>
          <w:t xml:space="preserve">https://doi.org/10.1016/j.geoforum.2013.01.005</w:t>
        </w:r>
      </w:hyperlink>
    </w:p>
    <w:bookmarkEnd w:id="88"/>
    <w:bookmarkStart w:id="90"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89">
        <w:r>
          <w:rPr>
            <w:rStyle w:val="Hyperlink"/>
          </w:rPr>
          <w:t xml:space="preserve">https://doi.org/10.1080/14693062.2021.1947177</w:t>
        </w:r>
      </w:hyperlink>
    </w:p>
    <w:bookmarkEnd w:id="90"/>
    <w:bookmarkStart w:id="91"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1"/>
    <w:bookmarkStart w:id="93"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2">
        <w:r>
          <w:rPr>
            <w:rStyle w:val="Hyperlink"/>
          </w:rPr>
          <w:t xml:space="preserve">https://doi.org/10.1080/01436597.2015.1045482</w:t>
        </w:r>
      </w:hyperlink>
    </w:p>
    <w:bookmarkEnd w:id="93"/>
    <w:bookmarkStart w:id="95"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4">
        <w:r>
          <w:rPr>
            <w:rStyle w:val="Hyperlink"/>
          </w:rPr>
          <w:t xml:space="preserve">https://doi.org/10.1007/s11625-020-00807-9</w:t>
        </w:r>
      </w:hyperlink>
    </w:p>
    <w:bookmarkEnd w:id="95"/>
    <w:bookmarkStart w:id="97"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6">
        <w:r>
          <w:rPr>
            <w:rStyle w:val="Hyperlink"/>
          </w:rPr>
          <w:t xml:space="preserve">https://doi.org/10.1080/14693062.2024.2378194</w:t>
        </w:r>
      </w:hyperlink>
    </w:p>
    <w:bookmarkEnd w:id="97"/>
    <w:bookmarkStart w:id="99"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8">
        <w:r>
          <w:rPr>
            <w:rStyle w:val="Hyperlink"/>
          </w:rPr>
          <w:t xml:space="preserve">https://doi.org/10.1016/j.gloenvcha.2022.102527</w:t>
        </w:r>
      </w:hyperlink>
    </w:p>
    <w:bookmarkEnd w:id="99"/>
    <w:bookmarkStart w:id="101"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0">
        <w:r>
          <w:rPr>
            <w:rStyle w:val="Hyperlink"/>
          </w:rPr>
          <w:t xml:space="preserve">https://doi.org/10.1080/24694452.2017.1406330</w:t>
        </w:r>
      </w:hyperlink>
    </w:p>
    <w:bookmarkEnd w:id="101"/>
    <w:bookmarkStart w:id="103"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2">
        <w:r>
          <w:rPr>
            <w:rStyle w:val="Hyperlink"/>
          </w:rPr>
          <w:t xml:space="preserve">https://doi.org/10.1080/14693062.2013.879514</w:t>
        </w:r>
      </w:hyperlink>
    </w:p>
    <w:bookmarkEnd w:id="103"/>
    <w:bookmarkStart w:id="105"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4">
        <w:r>
          <w:rPr>
            <w:rStyle w:val="Hyperlink"/>
          </w:rPr>
          <w:t xml:space="preserve">https://doi.org/10.1016/j.envsci.2010.10.004</w:t>
        </w:r>
      </w:hyperlink>
    </w:p>
    <w:bookmarkEnd w:id="105"/>
    <w:bookmarkStart w:id="106"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6"/>
    <w:bookmarkStart w:id="10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7">
        <w:r>
          <w:rPr>
            <w:rStyle w:val="Hyperlink"/>
          </w:rPr>
          <w:t xml:space="preserve">https://doi.org/10.1111/j.1549-0831.2003.tb00133.x</w:t>
        </w:r>
      </w:hyperlink>
    </w:p>
    <w:bookmarkEnd w:id="108"/>
    <w:bookmarkStart w:id="109"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09"/>
    <w:bookmarkStart w:id="111"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0">
        <w:r>
          <w:rPr>
            <w:rStyle w:val="Hyperlink"/>
          </w:rPr>
          <w:t xml:space="preserve">https://doi.org/10.1080/17565529.2016.1184608</w:t>
        </w:r>
      </w:hyperlink>
    </w:p>
    <w:bookmarkEnd w:id="111"/>
    <w:bookmarkStart w:id="113"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2">
        <w:r>
          <w:rPr>
            <w:rStyle w:val="Hyperlink"/>
          </w:rPr>
          <w:t xml:space="preserve">https://doi.org/10.18637/jss.v091.i02</w:t>
        </w:r>
      </w:hyperlink>
    </w:p>
    <w:bookmarkEnd w:id="113"/>
    <w:bookmarkStart w:id="115"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4">
        <w:r>
          <w:rPr>
            <w:rStyle w:val="Hyperlink"/>
          </w:rPr>
          <w:t xml:space="preserve">https://doi.org/10.4324/9781315634876</w:t>
        </w:r>
      </w:hyperlink>
    </w:p>
    <w:bookmarkEnd w:id="115"/>
    <w:bookmarkStart w:id="117"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16">
        <w:r>
          <w:rPr>
            <w:rStyle w:val="Hyperlink"/>
          </w:rPr>
          <w:t xml:space="preserve">https://doi.org/10.1016/j.oneear.2020.09.014</w:t>
        </w:r>
      </w:hyperlink>
    </w:p>
    <w:bookmarkEnd w:id="117"/>
    <w:bookmarkStart w:id="119"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18">
        <w:r>
          <w:rPr>
            <w:rStyle w:val="Hyperlink"/>
          </w:rPr>
          <w:t xml:space="preserve">https://doi.org/10.1016/j.worlddev.2019.104683</w:t>
        </w:r>
      </w:hyperlink>
    </w:p>
    <w:bookmarkEnd w:id="119"/>
    <w:bookmarkStart w:id="120"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0"/>
    <w:bookmarkStart w:id="121"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1"/>
    <w:bookmarkStart w:id="123"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2">
        <w:r>
          <w:rPr>
            <w:rStyle w:val="Hyperlink"/>
          </w:rPr>
          <w:t xml:space="preserve">https://doi.org/10.1111/reel.12335</w:t>
        </w:r>
      </w:hyperlink>
    </w:p>
    <w:bookmarkEnd w:id="123"/>
    <w:bookmarkStart w:id="125"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24">
        <w:r>
          <w:rPr>
            <w:rStyle w:val="Hyperlink"/>
          </w:rPr>
          <w:t xml:space="preserve">https://doi.org/10.1162/GLEP_a_00379</w:t>
        </w:r>
      </w:hyperlink>
    </w:p>
    <w:bookmarkEnd w:id="125"/>
    <w:bookmarkStart w:id="127"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26">
        <w:r>
          <w:rPr>
            <w:rStyle w:val="Hyperlink"/>
          </w:rPr>
          <w:t xml:space="preserve">https://doi.org/10.1162/glep_a_00723</w:t>
        </w:r>
      </w:hyperlink>
    </w:p>
    <w:bookmarkEnd w:id="127"/>
    <w:bookmarkStart w:id="129"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28">
        <w:r>
          <w:rPr>
            <w:rStyle w:val="Hyperlink"/>
          </w:rPr>
          <w:t xml:space="preserve">https://doi.org/10.1007/s10584-019-02620-5</w:t>
        </w:r>
      </w:hyperlink>
    </w:p>
    <w:bookmarkEnd w:id="129"/>
    <w:bookmarkEnd w:id="130"/>
    <w:bookmarkEnd w:id="131"/>
    <w:bookmarkStart w:id="132"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32"/>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https://doi.org/10.1007/s10584-019-02620-5" TargetMode="External" /><Relationship Type="http://schemas.openxmlformats.org/officeDocument/2006/relationships/hyperlink" Id="rId94" Target="https://doi.org/10.1007/s11625-020-00807-9" TargetMode="External" /><Relationship Type="http://schemas.openxmlformats.org/officeDocument/2006/relationships/hyperlink" Id="rId83" Target="https://doi.org/10.1016/0016-3287(90)90077-U" TargetMode="External" /><Relationship Type="http://schemas.openxmlformats.org/officeDocument/2006/relationships/hyperlink" Id="rId57" Target="https://doi.org/10.1016/0305-750X(94)90030-2" TargetMode="External" /><Relationship Type="http://schemas.openxmlformats.org/officeDocument/2006/relationships/hyperlink" Id="rId104" Target="https://doi.org/10.1016/j.envsci.2010.10.004" TargetMode="External" /><Relationship Type="http://schemas.openxmlformats.org/officeDocument/2006/relationships/hyperlink" Id="rId87" Target="https://doi.org/10.1016/j.geoforum.2013.01.005" TargetMode="External" /><Relationship Type="http://schemas.openxmlformats.org/officeDocument/2006/relationships/hyperlink" Id="rId98" Target="https://doi.org/10.1016/j.gloenvcha.2022.102527" TargetMode="External" /><Relationship Type="http://schemas.openxmlformats.org/officeDocument/2006/relationships/hyperlink" Id="rId54" Target="https://doi.org/10.1016/j.landusepol.2020.104898" TargetMode="External" /><Relationship Type="http://schemas.openxmlformats.org/officeDocument/2006/relationships/hyperlink" Id="rId116" Target="https://doi.org/10.1016/j.oneear.2020.09.014" TargetMode="External" /><Relationship Type="http://schemas.openxmlformats.org/officeDocument/2006/relationships/hyperlink" Id="rId118"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4" Target="https://doi.org/10.1080/00141844.2020.1788109" TargetMode="External" /><Relationship Type="http://schemas.openxmlformats.org/officeDocument/2006/relationships/hyperlink" Id="rId92" Target="https://doi.org/10.1080/01436597.2015.1045482" TargetMode="External" /><Relationship Type="http://schemas.openxmlformats.org/officeDocument/2006/relationships/hyperlink" Id="rId61" Target="https://doi.org/10.1080/1177083X.2024.2344497" TargetMode="External" /><Relationship Type="http://schemas.openxmlformats.org/officeDocument/2006/relationships/hyperlink" Id="rId66" Target="https://doi.org/10.1080/13642987.2017.1397633" TargetMode="External" /><Relationship Type="http://schemas.openxmlformats.org/officeDocument/2006/relationships/hyperlink" Id="rId102" Target="https://doi.org/10.1080/14693062.2013.879514" TargetMode="External" /><Relationship Type="http://schemas.openxmlformats.org/officeDocument/2006/relationships/hyperlink" Id="rId89" Target="https://doi.org/10.1080/14693062.2021.1947177" TargetMode="External" /><Relationship Type="http://schemas.openxmlformats.org/officeDocument/2006/relationships/hyperlink" Id="rId96" Target="https://doi.org/10.1080/14693062.2024.2378194" TargetMode="External" /><Relationship Type="http://schemas.openxmlformats.org/officeDocument/2006/relationships/hyperlink" Id="rId110" Target="https://doi.org/10.1080/17565529.2016.1184608" TargetMode="External" /><Relationship Type="http://schemas.openxmlformats.org/officeDocument/2006/relationships/hyperlink" Id="rId100" Target="https://doi.org/10.1080/24694452.2017.1406330" TargetMode="External" /><Relationship Type="http://schemas.openxmlformats.org/officeDocument/2006/relationships/hyperlink" Id="rId107" Target="https://doi.org/10.1111/j.1549-0831.2003.tb00133.x" TargetMode="External" /><Relationship Type="http://schemas.openxmlformats.org/officeDocument/2006/relationships/hyperlink" Id="rId122" Target="https://doi.org/10.1111/reel.12335" TargetMode="External" /><Relationship Type="http://schemas.openxmlformats.org/officeDocument/2006/relationships/hyperlink" Id="rId124" Target="https://doi.org/10.1162/GLEP_a_00379" TargetMode="External" /><Relationship Type="http://schemas.openxmlformats.org/officeDocument/2006/relationships/hyperlink" Id="rId126"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2"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5" Target="https://doi.org/10.3763/cdev.2010.0053" TargetMode="External" /><Relationship Type="http://schemas.openxmlformats.org/officeDocument/2006/relationships/hyperlink" Id="rId114" Target="https://doi.org/10.4324/9781315634876" TargetMode="External" /><Relationship Type="http://schemas.openxmlformats.org/officeDocument/2006/relationships/hyperlink" Id="rId59" Target="https://www.climatepolicyinitiative.org/wp-content/uploads/2023/11/GLCF-2023-Methodology.pdf" TargetMode="External" /><Relationship Type="http://schemas.openxmlformats.org/officeDocument/2006/relationships/hyperlink" Id="rId72"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128" Target="https://doi.org/10.1007/s10584-019-02620-5" TargetMode="External" /><Relationship Type="http://schemas.openxmlformats.org/officeDocument/2006/relationships/hyperlink" Id="rId94" Target="https://doi.org/10.1007/s11625-020-00807-9" TargetMode="External" /><Relationship Type="http://schemas.openxmlformats.org/officeDocument/2006/relationships/hyperlink" Id="rId83" Target="https://doi.org/10.1016/0016-3287(90)90077-U" TargetMode="External" /><Relationship Type="http://schemas.openxmlformats.org/officeDocument/2006/relationships/hyperlink" Id="rId57" Target="https://doi.org/10.1016/0305-750X(94)90030-2" TargetMode="External" /><Relationship Type="http://schemas.openxmlformats.org/officeDocument/2006/relationships/hyperlink" Id="rId104" Target="https://doi.org/10.1016/j.envsci.2010.10.004" TargetMode="External" /><Relationship Type="http://schemas.openxmlformats.org/officeDocument/2006/relationships/hyperlink" Id="rId87" Target="https://doi.org/10.1016/j.geoforum.2013.01.005" TargetMode="External" /><Relationship Type="http://schemas.openxmlformats.org/officeDocument/2006/relationships/hyperlink" Id="rId98" Target="https://doi.org/10.1016/j.gloenvcha.2022.102527" TargetMode="External" /><Relationship Type="http://schemas.openxmlformats.org/officeDocument/2006/relationships/hyperlink" Id="rId54" Target="https://doi.org/10.1016/j.landusepol.2020.104898" TargetMode="External" /><Relationship Type="http://schemas.openxmlformats.org/officeDocument/2006/relationships/hyperlink" Id="rId116" Target="https://doi.org/10.1016/j.oneear.2020.09.014" TargetMode="External" /><Relationship Type="http://schemas.openxmlformats.org/officeDocument/2006/relationships/hyperlink" Id="rId118"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4" Target="https://doi.org/10.1080/00141844.2020.1788109" TargetMode="External" /><Relationship Type="http://schemas.openxmlformats.org/officeDocument/2006/relationships/hyperlink" Id="rId92" Target="https://doi.org/10.1080/01436597.2015.1045482" TargetMode="External" /><Relationship Type="http://schemas.openxmlformats.org/officeDocument/2006/relationships/hyperlink" Id="rId61" Target="https://doi.org/10.1080/1177083X.2024.2344497" TargetMode="External" /><Relationship Type="http://schemas.openxmlformats.org/officeDocument/2006/relationships/hyperlink" Id="rId66" Target="https://doi.org/10.1080/13642987.2017.1397633" TargetMode="External" /><Relationship Type="http://schemas.openxmlformats.org/officeDocument/2006/relationships/hyperlink" Id="rId102" Target="https://doi.org/10.1080/14693062.2013.879514" TargetMode="External" /><Relationship Type="http://schemas.openxmlformats.org/officeDocument/2006/relationships/hyperlink" Id="rId89" Target="https://doi.org/10.1080/14693062.2021.1947177" TargetMode="External" /><Relationship Type="http://schemas.openxmlformats.org/officeDocument/2006/relationships/hyperlink" Id="rId96" Target="https://doi.org/10.1080/14693062.2024.2378194" TargetMode="External" /><Relationship Type="http://schemas.openxmlformats.org/officeDocument/2006/relationships/hyperlink" Id="rId110" Target="https://doi.org/10.1080/17565529.2016.1184608" TargetMode="External" /><Relationship Type="http://schemas.openxmlformats.org/officeDocument/2006/relationships/hyperlink" Id="rId100" Target="https://doi.org/10.1080/24694452.2017.1406330" TargetMode="External" /><Relationship Type="http://schemas.openxmlformats.org/officeDocument/2006/relationships/hyperlink" Id="rId107" Target="https://doi.org/10.1111/j.1549-0831.2003.tb00133.x" TargetMode="External" /><Relationship Type="http://schemas.openxmlformats.org/officeDocument/2006/relationships/hyperlink" Id="rId122" Target="https://doi.org/10.1111/reel.12335" TargetMode="External" /><Relationship Type="http://schemas.openxmlformats.org/officeDocument/2006/relationships/hyperlink" Id="rId124" Target="https://doi.org/10.1162/GLEP_a_00379" TargetMode="External" /><Relationship Type="http://schemas.openxmlformats.org/officeDocument/2006/relationships/hyperlink" Id="rId126"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2"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5" Target="https://doi.org/10.3763/cdev.2010.0053" TargetMode="External" /><Relationship Type="http://schemas.openxmlformats.org/officeDocument/2006/relationships/hyperlink" Id="rId114" Target="https://doi.org/10.4324/9781315634876" TargetMode="External" /><Relationship Type="http://schemas.openxmlformats.org/officeDocument/2006/relationships/hyperlink" Id="rId59" Target="https://www.climatepolicyinitiative.org/wp-content/uploads/2023/11/GLCF-2023-Methodology.pdf" TargetMode="External" /><Relationship Type="http://schemas.openxmlformats.org/officeDocument/2006/relationships/hyperlink" Id="rId72"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2025-05-13T14:12:02Z</dcterms:created>
  <dcterms:modified xsi:type="dcterms:W3CDTF">2025-05-13T14:12:02Z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2025-05-13</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