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2025-05-20</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4" w:name="sec-intro"/>
    <w:p>
      <w:pPr>
        <w:pStyle w:val="Overskrift1"/>
      </w:pPr>
      <w:r>
        <w:t xml:space="preserve">1. Introduction</w:t>
      </w:r>
    </w:p>
    <w:p>
      <w:pPr>
        <w:pStyle w:val="Bloktekst"/>
      </w:pPr>
      <w:r>
        <w:t xml:space="preserve">Climate change is dangerous, unfair and already here.</w:t>
      </w:r>
    </w:p>
    <w:p>
      <w:pPr>
        <w:pStyle w:val="FirstParagraph"/>
      </w:pPr>
      <w:r>
        <w:t xml:space="preserve">Climate action has become a global phenomenon, a common story and goal, to different peoples in wildly different contexts. The action is motivated by urgency and agency, moralism and utility. Everyone wants to achieve climate justice, but how, and for whom?</w:t>
      </w:r>
    </w:p>
    <w:p>
      <w:pPr>
        <w:pStyle w:val="Brdtekst"/>
      </w:pPr>
      <w:r>
        <w:t xml:space="preserve">The stories I have been exposed to span,</w:t>
      </w:r>
      <w:r>
        <w:t xml:space="preserve"> </w:t>
      </w:r>
      <w:r>
        <w:t xml:space="preserve">“We need climate action to stay competitive in the world markets”</w:t>
      </w:r>
      <w:r>
        <w:t xml:space="preserve">,</w:t>
      </w:r>
      <w:r>
        <w:t xml:space="preserve"> </w:t>
      </w:r>
      <w:r>
        <w:t xml:space="preserve">“We need climate action to save biodiversity”</w:t>
      </w:r>
      <w:r>
        <w:t xml:space="preserve">,</w:t>
      </w:r>
      <w:r>
        <w:t xml:space="preserve"> </w:t>
      </w:r>
      <w:r>
        <w:t xml:space="preserve">“I need people to buy carbon credits so I can put food on the table”</w:t>
      </w:r>
      <w:r>
        <w:t xml:space="preserve">. Needless to say, this list could be much longer. The many actors and overlapping stories make this field hard to capture and describe. The main goal of this thesis is to highlight the ways the stories collide.</w:t>
      </w:r>
    </w:p>
    <w:p>
      <w:pPr>
        <w:pStyle w:val="Brdtekst"/>
      </w:pPr>
      <w:r>
        <w:t xml:space="preserve">Climate justice could be imagined as a spillover effect. Greenhouse gas emissions lead to changes in ecosystems, ecosystem change could lead to damages. If these damages fall exclusivlt (or disproportionally) on other than those responsible for the emissions, this in climate injustice. Climate mitigation are actions taken to avoid the emissions in the first place, also often referred to as a green transition. Climate adaptation are actions taken to avoid damages from ecosystem change, this is often also called climate security. Loss and damage is compansation for damages incurred. The negotiations at the United Nations Framework Convention for Climate Change (UNFCCC) often tries to find an optimal outcome, poltical economy wise.</w:t>
      </w:r>
    </w:p>
    <w:p>
      <w:pPr>
        <w:pStyle w:val="Brdtekst"/>
      </w:pPr>
      <w:r>
        <w:t xml:space="preserve">Climate adaptation is a form of anticipatory governance, where the future is predicted and imagined, and measures are taken to reduce risk. There is a large degree of uncertainty, both in the actual events (hurricanes, cyclones, droughts and floods) and their impacts. The quantification of this risk is also uncertain, as value is understood differently between contexts, and might change over time. In other words, how one views climate adaptation is based on a tapestry of assumtions of the world.</w:t>
      </w:r>
    </w:p>
    <w:p>
      <w:pPr>
        <w:pStyle w:val="Brdtekst"/>
      </w:pPr>
      <w:r>
        <w:t xml:space="preserve">Our worldviews are made up by the stories we share. They structure our world, assign our roles and tells us who to listen to. They shape what we deem reasonable, acceptable and preferable. They justify our actions, and tells us who belongs and should be excluded. In the global North, we assume this story to be universal, a claim that decolonal schoars challenge. Rather, they argue that the stories we tell, the knowledge systems we surround ourself with, are a cite of power struggle, where the dominant systems systematically eliminate the others. This thesis engages with this claim empirically.</w:t>
      </w:r>
    </w:p>
    <w:p>
      <w:pPr>
        <w:pStyle w:val="Brdtekst"/>
      </w:pPr>
      <w:r>
        <w:t xml:space="preserve">[Societies change when our worldviews are challenged. Major changes, such as the suffragettes, the civil rights movement etc.etc. were struggles about</w:t>
      </w:r>
      <w:r>
        <w:t xml:space="preserve"> </w:t>
      </w:r>
      <w:r>
        <w:rPr>
          <w:i/>
          <w:iCs/>
        </w:rPr>
        <w:t xml:space="preserve">who counts</w:t>
      </w:r>
      <w:r>
        <w:t xml:space="preserve">. Former colonies were granted their freedom because they were now seen as nations in their own right. By engaging with the stories that justified the oppressions of women and minorities, the natural conclusion became that everyone are</w:t>
      </w:r>
      <w:r>
        <w:t xml:space="preserve"> </w:t>
      </w:r>
      <w:r>
        <w:rPr>
          <w:i/>
          <w:iCs/>
        </w:rPr>
        <w:t xml:space="preserve">people</w:t>
      </w:r>
      <w:r>
        <w:t xml:space="preserve">. This is despite the law saying otherwise.]</w:t>
      </w:r>
    </w:p>
    <w:p>
      <w:pPr>
        <w:pStyle w:val="Brdtekst"/>
      </w:pPr>
      <w:r>
        <w:t xml:space="preserve">[As I am writing this thesis, the world is experiencing the opposite development. The Putin regime claims Ukrainians do not exist, the Trump regime claims transgender peoples do not exsist. ]</w:t>
      </w:r>
    </w:p>
    <w:p>
      <w:pPr>
        <w:pStyle w:val="Brdtekst"/>
      </w:pPr>
      <w:r>
        <w:t xml:space="preserve">This thesis argues that the current climate regime re-tells the story of underdevelopment.</w:t>
      </w:r>
    </w:p>
    <w:bookmarkStart w:id="22" w:name="scope"/>
    <w:p>
      <w:pPr>
        <w:pStyle w:val="Overskrift2"/>
      </w:pPr>
      <w:r>
        <w:t xml:space="preserve">1.1 Scope</w:t>
      </w:r>
    </w:p>
    <w:p>
      <w:pPr>
        <w:pStyle w:val="FirstParagraph"/>
      </w:pPr>
      <w:r>
        <w:t xml:space="preserve">This thesis is based on text-mining and topic modeling all National Adaptation Plans (NAPs) subitted to the UNFCCC. This analysis squarly targets the official policy documents submitted to the UNFCCC. It recongnizes, and highlights, that these countries rarely are perfect representatives of their citizens. I use this</w:t>
      </w:r>
    </w:p>
    <w:p>
      <w:pPr>
        <w:pStyle w:val="Brdtekst"/>
      </w:pPr>
      <w:r>
        <w:t xml:space="preserve">This thesis addresses three central research questions:</w:t>
      </w:r>
    </w:p>
    <w:p>
      <w:pPr>
        <w:pStyle w:val="Compact"/>
        <w:numPr>
          <w:ilvl w:val="0"/>
          <w:numId w:val="1001"/>
        </w:numPr>
      </w:pPr>
      <w:r>
        <w:t xml:space="preserve">What view of climate justice does adaptation have? What are their implications?</w:t>
      </w:r>
    </w:p>
    <w:p>
      <w:pPr>
        <w:pStyle w:val="Compact"/>
        <w:numPr>
          <w:ilvl w:val="0"/>
          <w:numId w:val="1001"/>
        </w:numPr>
      </w:pPr>
      <w:r>
        <w:t xml:space="preserve">How are climate adaptation interventions justified? Who decides?</w:t>
      </w:r>
    </w:p>
    <w:p>
      <w:pPr>
        <w:pStyle w:val="Compact"/>
        <w:numPr>
          <w:ilvl w:val="0"/>
          <w:numId w:val="1001"/>
        </w:numPr>
      </w:pPr>
      <w:r>
        <w:t xml:space="preserve">Is climate adaptation an effective way of delivering climate justice?</w:t>
      </w:r>
    </w:p>
    <w:bookmarkEnd w:id="22"/>
    <w:bookmarkStart w:id="23" w:name="disposition"/>
    <w:p>
      <w:pPr>
        <w:pStyle w:val="Overskrift2"/>
      </w:pPr>
      <w:r>
        <w:t xml:space="preserve">1.2 Disposition</w:t>
      </w:r>
    </w:p>
    <w:p>
      <w:pPr>
        <w:pStyle w:val="FirstParagraph"/>
      </w:pPr>
      <w:r>
        <w:t xml:space="preserve">After this introduction-section, the thesis continues. It is structured in three main parts. This is to cleanly separate the case I present from the research design I develop, and the analysis I do when I combine them.</w:t>
      </w:r>
    </w:p>
    <w:p>
      <w:pPr>
        <w:pStyle w:val="Brdtekst"/>
      </w:pPr>
      <w:r>
        <w:t xml:space="preserve">Part 1 argues that climate adaptation is the most future oriented of the pillars of the UNFCCC, and</w:t>
      </w:r>
      <w:r>
        <w:t xml:space="preserve"> </w:t>
      </w:r>
      <w:hyperlink w:anchor="sec-context">
        <w:r>
          <w:rPr>
            <w:rStyle w:val="Hyperlink"/>
          </w:rPr>
          <w:t xml:space="preserve">Chapter 2</w:t>
        </w:r>
      </w:hyperlink>
      <w:r>
        <w:t xml:space="preserve"> </w:t>
      </w:r>
      <w:r>
        <w:t xml:space="preserve">argues that climate adaptation is becoming a central part of development governance, where the goal is to finesse the three pillars to get the optimal political economy outcome, while</w:t>
      </w:r>
      <w:r>
        <w:t xml:space="preserve"> </w:t>
      </w:r>
      <w:hyperlink w:anchor="sec-lit">
        <w:r>
          <w:rPr>
            <w:rStyle w:val="Hyperlink"/>
          </w:rPr>
          <w:t xml:space="preserve">Chapter 3</w:t>
        </w:r>
      </w:hyperlink>
      <w:r>
        <w:t xml:space="preserve"> </w:t>
      </w:r>
      <w:r>
        <w:t xml:space="preserve">argues that the two main strands of research in climate adaptation mirror their roots in development and decolonial studies.</w:t>
      </w:r>
    </w:p>
    <w:p>
      <w:pPr>
        <w:pStyle w:val="Brdtekst"/>
      </w:pPr>
      <w:r>
        <w:t xml:space="preserve">Part 2 argues that discourse centralization is a key metric to understand the different worldviews and their dominance in the discourse.</w:t>
      </w:r>
      <w:r>
        <w:t xml:space="preserve"> </w:t>
      </w:r>
      <w:hyperlink w:anchor="sec-theory">
        <w:r>
          <w:rPr>
            <w:rStyle w:val="Hyperlink"/>
          </w:rPr>
          <w:t xml:space="preserve">Chapter 4</w:t>
        </w:r>
      </w:hyperlink>
      <w:r>
        <w:t xml:space="preserve"> </w:t>
      </w:r>
      <w:r>
        <w:t xml:space="preserve">argues that the future is not a given destiny, but shaped by the decitions made and the worldview (and past-/future-view) that shapes them and</w:t>
      </w:r>
      <w:r>
        <w:t xml:space="preserve"> </w:t>
      </w:r>
      <w:hyperlink w:anchor="sec-methods">
        <w:r>
          <w:rPr>
            <w:rStyle w:val="Hyperlink"/>
          </w:rPr>
          <w:t xml:space="preserve">Chapter 5</w:t>
        </w:r>
      </w:hyperlink>
      <w:r>
        <w:t xml:space="preserve"> </w:t>
      </w:r>
      <w:r>
        <w:t xml:space="preserve">introduced the dominance index as a measure of the discourse centralization.</w:t>
      </w:r>
    </w:p>
    <w:p>
      <w:pPr>
        <w:pStyle w:val="Brdtekst"/>
      </w:pPr>
      <w:r>
        <w:t xml:space="preserve">Part 3 argues that climate adaptation is a difficult, violent and ineffective way to deliver climate justice.</w:t>
      </w:r>
      <w:r>
        <w:t xml:space="preserve"> </w:t>
      </w:r>
      <w:hyperlink w:anchor="sec-findings">
        <w:r>
          <w:rPr>
            <w:rStyle w:val="Hyperlink"/>
          </w:rPr>
          <w:t xml:space="preserve">Chapter 6</w:t>
        </w:r>
      </w:hyperlink>
      <w:r>
        <w:t xml:space="preserve"> </w:t>
      </w:r>
      <w:r>
        <w:t xml:space="preserve">argues adaptation discourse shows remarkably high centralization, with income level explaining more variance than geography and region and</w:t>
      </w:r>
      <w:r>
        <w:t xml:space="preserve"> </w:t>
      </w:r>
      <w:hyperlink w:anchor="sec-discussion">
        <w:r>
          <w:rPr>
            <w:rStyle w:val="Hyperlink"/>
          </w:rPr>
          <w:t xml:space="preserve">Chapter 7</w:t>
        </w:r>
      </w:hyperlink>
      <w:r>
        <w:t xml:space="preserve"> </w:t>
      </w:r>
      <w:r>
        <w:t xml:space="preserve">argues the high concentration should be understood as a possible epistemicide.</w:t>
      </w:r>
    </w:p>
    <w:p>
      <w:pPr>
        <w:pStyle w:val="Brdtekst"/>
      </w:pPr>
      <w:r>
        <w:t xml:space="preserve">Lastly, I conclude that the finessing of the UNFCCC works as a COP-out for countries in the global north to avoid cutting emmissions. Serious climate mitigation seems like a much preferable alternative that avoids foreclosing any futures in teh global south.</w:t>
      </w:r>
    </w:p>
    <w:bookmarkEnd w:id="23"/>
    <w:bookmarkEnd w:id="24"/>
    <w:bookmarkStart w:id="29" w:name="sec-context"/>
    <w:p>
      <w:pPr>
        <w:pStyle w:val="Overskrift1"/>
      </w:pPr>
      <w:r>
        <w:t xml:space="preserve">2. Context</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5"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5"/>
    <w:bookmarkStart w:id="26"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6"/>
    <w:bookmarkStart w:id="27"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7"/>
    <w:bookmarkStart w:id="28" w:name="unfccc-negotiations"/>
    <w:p>
      <w:pPr>
        <w:pStyle w:val="Overskrift2"/>
      </w:pPr>
      <w:r>
        <w:t xml:space="preserve">2.4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28"/>
    <w:bookmarkEnd w:id="29"/>
    <w:bookmarkStart w:id="32"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bookmarkStart w:id="30" w:name="adaptation-nexus"/>
    <w:p>
      <w:pPr>
        <w:pStyle w:val="Overskrift2"/>
      </w:pPr>
      <w:r>
        <w:t xml:space="preserve">3.1 Adaptation Nexus</w:t>
      </w:r>
    </w:p>
    <w:p>
      <w:pPr>
        <w:pStyle w:val="Bloktekst"/>
      </w:pPr>
      <w:r>
        <w:t xml:space="preserve">The adaptation nexus approach builds on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2"/>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2"/>
        </w:numPr>
      </w:pPr>
      <w:r>
        <w:t xml:space="preserve">Food security through production of fruit</w:t>
      </w:r>
    </w:p>
    <w:p>
      <w:pPr>
        <w:pStyle w:val="Compact"/>
        <w:numPr>
          <w:ilvl w:val="0"/>
          <w:numId w:val="1002"/>
        </w:numPr>
      </w:pPr>
      <w:r>
        <w:t xml:space="preserve">Gender equality by giving the responsibility for managing the trees to women</w:t>
      </w:r>
    </w:p>
    <w:p>
      <w:pPr>
        <w:pStyle w:val="Compact"/>
        <w:numPr>
          <w:ilvl w:val="0"/>
          <w:numId w:val="1002"/>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0"/>
    <w:bookmarkStart w:id="31"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post-structuralism,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w:t>
      </w:r>
    </w:p>
    <w:p>
      <w:pPr>
        <w:pStyle w:val="Brdtekst"/>
      </w:pPr>
      <w:r>
        <w:t xml:space="preserve">Escobar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w:t>
      </w:r>
      <w:r>
        <w:t xml:space="preserve">(Hulme, 2011)</w:t>
      </w:r>
      <w:r>
        <w:t xml:space="preserv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Across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1"/>
    <w:bookmarkEnd w:id="32"/>
    <w:bookmarkStart w:id="36" w:name="sec-theory"/>
    <w:p>
      <w:pPr>
        <w:pStyle w:val="Overskrift1"/>
      </w:pPr>
      <w:r>
        <w:t xml:space="preserve">4. Theory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 These knowledge networks and the domination is not necesarily visable.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Start w:id="33"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p>
    <w:p>
      <w:pPr>
        <w:pStyle w:val="Brdtekst"/>
      </w:pPr>
      <w:r>
        <w:t xml:space="preserve">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3"/>
    <w:bookmarkStart w:id="34"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4"/>
    <w:bookmarkStart w:id="35"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5"/>
    <w:bookmarkEnd w:id="36"/>
    <w:bookmarkStart w:id="40" w:name="sec-methods"/>
    <w:p>
      <w:pPr>
        <w:pStyle w:val="Overskrift1"/>
      </w:pPr>
      <w:r>
        <w:t xml:space="preserve">5. Methods</w:t>
      </w:r>
    </w:p>
    <w:p>
      <w:pPr>
        <w:pStyle w:val="Bloktekst"/>
      </w:pPr>
      <w:r>
        <w:t xml:space="preserve">Climate adaptation discourse serves as a site of contested futures where epistemological and ontological assumptions shape which adaptation pathways are considered possible, legitimate, or desirable. To empirically examine this discourse,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This methodology bridges critical theoretical perspectives with quantitative text analysis, creating an interdisciplinary approach that can systematically analyze discourse patterns across a substantial corpus of documents. The approach moves beyond assumptions of either complete homogeneity or radical diversity in adaptation discourse, enabling empirical assessment of how discourse reflects epistemological plurality or monoculture across different contexts.</w:t>
      </w:r>
    </w:p>
    <w:p>
      <w:pPr>
        <w:pStyle w:val="Brdtekst"/>
      </w:pPr>
      <w:r>
        <w:t xml:space="preserve">The Dominance Index measures the distribution of topics across documents and document groups, identifying patterns of concentration or dispersion. Topic distribution serves as a proxy for epistemological diversity, though this requires careful interpretation. Rather than assuming either complete uniformity or radical diversity, this approach enables empirical assessment of the degree to which discourse reflects epistemological plurality or monoculture across different contexts. It provides a quantitative foundation for examining whether adaptation discourse is characterized by a rich diversity of perspectives or dominated by particular ways of knowing and conceptualizing climate challenges.</w:t>
      </w:r>
    </w:p>
    <w:bookmarkStart w:id="37" w:name="corpus-collection-and-preparation"/>
    <w:p>
      <w:pPr>
        <w:pStyle w:val="Overskrift2"/>
      </w:pPr>
      <w:r>
        <w:t xml:space="preserve">5.1 Corpus Collection and Preparation</w:t>
      </w:r>
    </w:p>
    <w:p>
      <w:pPr>
        <w:pStyle w:val="Bloktekst"/>
      </w:pPr>
      <w:r>
        <w:t xml:space="preserve">National Adaptation Plans provide a revealing window into how countries frame their policies. To make the texts comparable, they have to be processed.</w:t>
      </w:r>
    </w:p>
    <w:p>
      <w:pPr>
        <w:pStyle w:val="FirstParagraph"/>
      </w:pPr>
      <w:r>
        <w:t xml:space="preserve">The corpus consists of 44 English-language National Adaptation Plans (NAPs) submitted to the UNFCCC. These documents represent a diverse range of countries across different regions, income levels, and vulnerability profiles. Geographic distribution spans Africa, Asia-Pacific, Latin America and Caribbean, and Europe, with additional categories including Small Island Developing States (SIDS) and Landlocked Developing Countries (LLDCs).</w:t>
      </w:r>
    </w:p>
    <w:p>
      <w:pPr>
        <w:pStyle w:val="Brdtekst"/>
      </w:pPr>
      <w:r>
        <w:t xml:space="preserve">The focus on English-language documents introduces a methodological constraint, potentially skewing analysis toward Anglophone countries or those with stronger ties to international institutions. This limitation means the analysis cannot claim to represent the full global landscape of adaptation discourse, but rather offers insights into patterns within the English-language subset of NAPs</w:t>
      </w:r>
      <w:r>
        <w:t xml:space="preserve"> </w:t>
      </w:r>
      <w:r>
        <w:t xml:space="preserve">(Wright et al., 2023)</w:t>
      </w:r>
      <w:r>
        <w:t xml:space="preserve">. Wright and colleagues (2023) used a similar approach in their analysis of how countries frame climate change in UNFCCC documentation, noting the limitations but also the valuable insights that can be gained from systematic analysis of official climate policy documents.</w:t>
      </w:r>
    </w:p>
    <w:p>
      <w:pPr>
        <w:pStyle w:val="Brdtekst"/>
      </w:pPr>
      <w:r>
        <w:t xml:space="preserve">Document preparation involves multiple stages of processing to convert raw PDF documents into a format suitable for computational analysis. The process begins with text extraction from PDF documents, which presents technical challenges including handling complex formatting, tables, figures, and inconsistent document structures. Once extracted, the text undergoes a systematic preprocessing pipeline to prepare it for analysis.</w:t>
      </w:r>
    </w:p>
    <w:p>
      <w:pPr>
        <w:pStyle w:val="Brdtekst"/>
      </w:pPr>
      <w:r>
        <w:t xml:space="preserve">First, the text is tokenized—broken into individual words or tokens, which serve as the basic units of analysis. This process includes removing punctuation, standardizing capitalization, and handling hyphenation. Next, lemmatization reduces words to their base or dictionary form, treating variations of the same word as a single unit.</w:t>
      </w:r>
    </w:p>
    <w:p>
      <w:pPr>
        <w:pStyle w:val="Brdtekst"/>
      </w:pPr>
      <w:r>
        <w:t xml:space="preserve">The tokens then undergo validation against a comprehensive dictionary of 120,644 English words. This step is crucial for removing formatting artifacts, names, and non-English text that might have been introduced during PDF extraction. The whitelist approach during token validation is particularly important for handling the challenges of working with a PDF corpus, enabling meaningful comparison across documents by removing national acronyms, names, and formatting issues.</w:t>
      </w:r>
    </w:p>
    <w:p>
      <w:pPr>
        <w:pStyle w:val="Brdtekst"/>
      </w:pPr>
      <w:r>
        <w:t xml:space="preserve">Following token validation, the process removes geographic stopwords—country and city names that could skew the analysis by overemphasizing geographic references. Standard stopword removal then filters common words with little semantic value, such as</w:t>
      </w:r>
      <w:r>
        <w:t xml:space="preserve"> </w:t>
      </w:r>
      <w:r>
        <w:t xml:space="preserve">“the,”</w:t>
      </w:r>
      <w:r>
        <w:t xml:space="preserve"> </w:t>
      </w:r>
      <w:r>
        <w:t xml:space="preserve">“is,”</w:t>
      </w:r>
      <w:r>
        <w:t xml:space="preserve"> </w:t>
      </w:r>
      <w:r>
        <w:t xml:space="preserve">and</w:t>
      </w:r>
      <w:r>
        <w:t xml:space="preserve"> </w:t>
      </w:r>
      <w:r>
        <w:t xml:space="preserve">“and.”</w:t>
      </w:r>
      <w:r>
        <w:t xml:space="preserve"> </w:t>
      </w:r>
      <w:r>
        <w:t xml:space="preserve">Finally, frequency filtering removes words appearing in fewer than 2% or more than 70% of documents, focusing the analysis on terms that are neither so rare as to be idiosyncratic nor so common as to be uninformative. This approach to frequency filtering follows established practice in computational text analysis</w:t>
      </w:r>
      <w:r>
        <w:t xml:space="preserve"> </w:t>
      </w:r>
      <w:r>
        <w:t xml:space="preserve">(Silge &amp; Robinson, 2017)</w:t>
      </w:r>
      <w:r>
        <w:t xml:space="preserve">.</w:t>
      </w:r>
    </w:p>
    <w:p>
      <w:pPr>
        <w:pStyle w:val="Brdtekst"/>
      </w:pPr>
      <w:r>
        <w:t xml:space="preserve">Documents must contain at least 50 tokens after preprocessing to be included in the analysis. This threshold ensures that each document contains sufficient text for meaningful topic modeling, while avoiding the risk that very short documents might distort the analysis. One document became too short during processing and was removed from the corpus, resulting in the final count of 44 documents.</w:t>
      </w:r>
    </w:p>
    <w:p>
      <w:pPr>
        <w:pStyle w:val="Brdtekst"/>
      </w:pPr>
      <w:r>
        <w:t xml:space="preserve">The preprocessing reduces the original corpus to approximately 1,131,307 tokens representing about 25,317 unique terms. These processed tokens form the basis for the subsequent topic modeling. While preprocessing involves certain trade-offs—tokenization loses information about phrases, lemmatization may obscure subtle distinctions in word usage—these steps are necessary to enable computational analysis of discourse patterns across a substantial corpus of policy documents.</w:t>
      </w:r>
    </w:p>
    <w:bookmarkEnd w:id="37"/>
    <w:bookmarkStart w:id="38" w:name="structural-topic-modeling"/>
    <w:p>
      <w:pPr>
        <w:pStyle w:val="Overskrift2"/>
      </w:pPr>
      <w:r>
        <w:t xml:space="preserve">5.2 Structural Topic Modeling</w:t>
      </w:r>
    </w:p>
    <w:p>
      <w:pPr>
        <w:pStyle w:val="Bloktekst"/>
      </w:pPr>
      <w:r>
        <w:t xml:space="preserve">Structural topic modeling finds latent topics and measures how they are distributed across the corpus.</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 Unlike simpler forms of topic modeling, STM enables examination of how topic prevalence varies with document characteristics like region or income level, making it particularly suitable for comparative analysis of adaptation discourse</w:t>
      </w:r>
      <w:r>
        <w:t xml:space="preserve"> </w:t>
      </w:r>
      <w:r>
        <w:t xml:space="preserve">(M. E. Roberts et al., 2019)</w:t>
      </w:r>
      <w:r>
        <w:t xml:space="preserve">.</w:t>
      </w:r>
    </w:p>
    <w:p>
      <w:pPr>
        <w:pStyle w:val="Brdtekst"/>
      </w:pPr>
      <w:r>
        <w:t xml:space="preserve">Topic models emerged as computational methods to discover underlying patterns in text data without requiring supervision or labeled examples. Unlike modern AI language models that focus on predicting or generating text, topic modeling aims to uncover the hidden thematic structure of documents. The Structural Topic Model (STM) employed in this analysis treats documents as</w:t>
      </w:r>
      <w:r>
        <w:t xml:space="preserve"> </w:t>
      </w:r>
      <w:r>
        <w:t xml:space="preserve">“bags of words”</w:t>
      </w:r>
      <w:r>
        <w:t xml:space="preserve"> </w:t>
      </w:r>
      <w:r>
        <w:t xml:space="preserve">where word order is disregarded but co-occurrence patterns reveal meaningful latent topics.</w:t>
      </w:r>
    </w:p>
    <w:p>
      <w:pPr>
        <w:pStyle w:val="Brdtekst"/>
      </w:pPr>
      <w:r>
        <w:t xml:space="preserve">The fundamental assumption in topic modeling is that documents are mixtures of topics, and topics are probability distributions over words. Each document can be described as a mixture of topics, with certain topics more prevalent than others in each document. These latent topics aren’t explicitly stated in the text but emerge from statistical patterns of word co-occurrence. What distinguishes STM from other topic modeling approaches is its ability to incorporate document metadata as covariates that can affect topic prevalence, allowing examination of how topics vary with document characteristics like region or income level</w:t>
      </w:r>
      <w:r>
        <w:t xml:space="preserve"> </w:t>
      </w:r>
      <w:r>
        <w:t xml:space="preserve">(M. E. Roberts et al., 2016)</w:t>
      </w:r>
      <w:r>
        <w:t xml:space="preserve">.</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 semantic coherence (measuring how frequently high-probability words for a topic co-occur), exclusivity (measuring how distinctive topics are from one another), and held-out likelihood (measuring the model’s ability to predict text not used in training). This optimization process identifies 15 as the optimal number of topics, providing sufficient granularity to capture meaningful variation while avoiding overly specific or redundant topics</w:t>
      </w:r>
      <w:r>
        <w:t xml:space="preserve"> </w:t>
      </w:r>
      <w:r>
        <w:t xml:space="preserve">(Egami et al., 2022)</w:t>
      </w:r>
      <w:r>
        <w:t xml:space="preserve">.</w:t>
      </w:r>
    </w:p>
    <w:p>
      <w:pPr>
        <w:pStyle w:val="Brdtekst"/>
      </w:pPr>
      <w:r>
        <w:t xml:space="preserve">The final model is trained using the spectral initialization method, which provides more consistent results than random initialization, and with an appropriate number of iterations of the variational expectation-maximization algorithm to ensure convergence. This approach follows best practices in topic modeling as outlined by</w:t>
      </w:r>
      <w:r>
        <w:t xml:space="preserve"> </w:t>
      </w:r>
      <w:r>
        <w:t xml:space="preserve">M. E. Roberts et al. (2019)</w:t>
      </w:r>
      <w:r>
        <w:t xml:space="preserve">, who emphasize the importance of model selection and validation in ensuring that identified topics are both coherent and useful for substantive interpretation.</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w:t>
      </w:r>
    </w:p>
    <w:bookmarkEnd w:id="38"/>
    <w:bookmarkStart w:id="39" w:name="dominance"/>
    <w:p>
      <w:pPr>
        <w:pStyle w:val="Overskrift2"/>
      </w:pPr>
      <w:r>
        <w:t xml:space="preserve">5.3 Dominance</w:t>
      </w:r>
    </w:p>
    <w:p>
      <w:pPr>
        <w:pStyle w:val="Bloktekst"/>
      </w:pPr>
      <w:r>
        <w:t xml:space="preserve">The index quantifies discourse centralization by measuring how much of the discourse is dominated by the top topics, and how much of the variance that can be explained.</w:t>
      </w:r>
    </w:p>
    <w:p>
      <w:pPr>
        <w:pStyle w:val="FirstParagraph"/>
      </w:pPr>
      <w:r>
        <w:t xml:space="preserve">To quantify the degree of discourse centralization, I develop a Dominance Index that measures how concentrated or dispersed topic distributions are across different groups of documents. A high Dominance Index indicates that a few topics dominate the discourse, suggesting a more homogeneous conceptualization of adaptation, while a low Dominance Index indicates a more even distribution of topics, suggesting greater diversity in conceptualization.</w:t>
      </w:r>
    </w:p>
    <w:p>
      <w:pPr>
        <w:pStyle w:val="Brdtekst"/>
      </w:pPr>
      <w:r>
        <w:t xml:space="preserve">The Dominance Index focuses specifically on the concentration of the top 3 topics in a given group of documents. This approach directly addresses the core question of whether adaptation discourse is dominated by a small number of topics or distributed across many different topics. The calculation process involves several systematic steps.</w:t>
      </w:r>
    </w:p>
    <w:p>
      <w:pPr>
        <w:pStyle w:val="Brdtekst"/>
      </w:pPr>
      <w:r>
        <w:t xml:space="preserve">First, documents are grouped according to relevant characteristics, such as all documents from a particular region or income level. For each topic, the average proportion across all documents in the group is calculated, providing the average prevalence of each topic within that group. Topics are then ranked by their average proportion in descending order to identify the most prevalent topics in the group. The proportions of the top three topics are summed to determine what fraction of the discourse they represent collectively. Finally, this sum is normalized to a 0-1 range, where 0 represents a perfectly even distribution across all topics and 1 represents complete concentration in a single topic.</w:t>
      </w:r>
    </w:p>
    <w:p>
      <w:pPr>
        <w:pStyle w:val="Brdtekst"/>
      </w:pPr>
      <w:r>
        <w:t xml:space="preserve">The Dominance Index is conceptually similar to concentration measures used in ecology and economics, focusing on the degree to which a distribution is dominated by its most prevalent elements. This approach differs from entropy-based measures that capture overall evenness by specifically emphasizing the concentration of dominant topics, which more directly addresses questions of discourse centralization and power dynamics in knowledge production</w:t>
      </w:r>
      <w:r>
        <w:t xml:space="preserve"> </w:t>
      </w:r>
      <w:r>
        <w:t xml:space="preserve">(M. E. Roberts et al., 2020)</w:t>
      </w:r>
      <w:r>
        <w:t xml:space="preserve">.</w:t>
      </w:r>
      <w:r>
        <w:t xml:space="preserve"> </w:t>
      </w:r>
      <w:r>
        <w:t xml:space="preserve">M. E. Roberts et al. (2020)</w:t>
      </w:r>
      <w:r>
        <w:t xml:space="preserve"> </w:t>
      </w:r>
      <w:r>
        <w:t xml:space="preserve">employ a similar approach in their analysis of text-based causal inference, demonstrating the utility of focused metrics that capture specific aspects of textual distributions.</w:t>
      </w:r>
    </w:p>
    <w:p>
      <w:pPr>
        <w:pStyle w:val="Brdtekst"/>
      </w:pPr>
      <w:r>
        <w:t xml:space="preserve">The Dominance Index enables systematic comparison of discourse centralization across different groupings, including regional groups (Africa, Asia-Pacific, Latin America and Caribbean, Europe), income levels (Low, Lower-middle, Upper-middle, High), and special status designations (SIDS, LLDCs). This comparative approach helps identify factors that might influence the degree of epistemological diversity in adaptation discourse.</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The interpretation of Dominance Index results employs a variance decomposition approach that quantifies how much of the total variation in discourse centralization is explained by different dimensions such as region, income level, and special status designations. This analytical method helps determine which factors most strongly shape adaptation discourse patterns, providing insight into whether discourse aligns more closely with economic positioning, regional institutional frameworks, or particular geographic vulnerabilities</w:t>
      </w:r>
      <w:r>
        <w:t xml:space="preserve"> </w:t>
      </w:r>
      <w:r>
        <w:t xml:space="preserve">(M. E. Roberts et al., 2019)</w:t>
      </w:r>
      <w:r>
        <w:t xml:space="preserve">.</w:t>
      </w:r>
    </w:p>
    <w:p>
      <w:pPr>
        <w:pStyle w:val="Brdtekst"/>
      </w:pPr>
      <w:r>
        <w:t xml:space="preserve">For each dimension (region, income level, etc.), the approach calculates the proportion of total variance explained through an ANOVA-like framework. This involves comparing the between-group variance (differences in Dominance Index values across categories within a dimension) to the total variance in the corpus. The dimension that explains the greatest proportion of variance can be considered the most influential factor in shaping discourse centralization patterns.</w:t>
      </w:r>
    </w:p>
    <w:p>
      <w:pPr>
        <w:pStyle w:val="Brdtekst"/>
      </w:pPr>
      <w:r>
        <w:t xml:space="preserve">For categorical dimensions like income level or region, the analysis uses a formula-based approach that calculates how much of the overall variation in Dominance Index values can be attributed to differences between categories. This involves calculating both the total variance across all documents and the variance between group means, then determining the ratio of between-group variance to total variance. The resulting percentage represents the proportion of variance explained by that dimension.</w:t>
      </w:r>
    </w:p>
    <w:p>
      <w:pPr>
        <w:pStyle w:val="Brdtekst"/>
      </w:pPr>
      <w:r>
        <w:t xml:space="preserve">For binary dimensions like special status designations (SIDS, LLDCs), the approach calculates the contribution of each designation to the overall variance. This involves comparing the mean Dominance Index values for documents with and without each designation, weighted by the proportion of documents in each category. The weighted squared differences between group means and the overall mean provide a measure of how much variance is explained by each binary distinction.</w:t>
      </w:r>
    </w:p>
    <w:p>
      <w:pPr>
        <w:pStyle w:val="Brdtekst"/>
      </w:pPr>
      <w:r>
        <w:t xml:space="preserve">The statistical significance of differences in Dominance Index values between groups is assessed through confidence intervals generated by jackknife resampling. Non-overlapping confidence intervals provide evidence that observed differences reflect meaningful variations in discourse patterns rather than random fluctuation or sampling error. This approach is particularly important given the relatively small number of documents in some groupings</w:t>
      </w:r>
      <w:r>
        <w:t xml:space="preserve"> </w:t>
      </w:r>
      <w:r>
        <w:t xml:space="preserve">(Yakir, 2019)</w:t>
      </w:r>
      <w:r>
        <w:t xml:space="preserve">.</w:t>
      </w:r>
    </w:p>
    <w:bookmarkEnd w:id="39"/>
    <w:bookmarkEnd w:id="40"/>
    <w:bookmarkStart w:id="44" w:name="sec-findings"/>
    <w:p>
      <w:pPr>
        <w:pStyle w:val="Overskrift1"/>
      </w:pPr>
      <w:r>
        <w:t xml:space="preserve">6. Findings</w:t>
      </w:r>
    </w:p>
    <w:p>
      <w:pPr>
        <w:pStyle w:val="Bloktekst"/>
      </w:pPr>
      <w:r>
        <w:t xml:space="preserve">Adaptation discourse in National Adaptation Plans shows remarkably high centralization, with income level explaining more variance than region or geography, revealing how adaptation planning follows existing development categories despite diverse geographical contexts.</w:t>
      </w:r>
    </w:p>
    <w:p>
      <w:pPr>
        <w:pStyle w:val="FirstParagraph"/>
      </w:pPr>
      <w:r>
        <w:t xml:space="preserve">The analysis of discourse centralization in National Adaptation Plans (NAPs) reveals striking patterns in how climate adaptation is conceptualized across different contexts. This chapter presents the findings from applying the Dominance Index methodology to the corpus of 45 English-language NAPs submitted to the UNFCCC as of March 2025.</w:t>
      </w:r>
    </w:p>
    <w:p>
      <w:pPr>
        <w:pStyle w:val="Brdtekst"/>
      </w:pPr>
      <w:r>
        <w:t xml:space="preserve">The most remarkable finding is the extremely high overall centralization of adaptation discourse, with a Dominance Index of 0.949 (where 1.0 would represent complete centralization). This indicates that across all NAPs, discourse is concentrated around a small number of dominant topics, with remarkably little variation in how adaptation is conceptualized despite the diverse contexts these plans address. This high level of centralization suggests a global standardization of adaptation discourse that transcends national and regional boundaries.</w:t>
      </w:r>
    </w:p>
    <w:p>
      <w:pPr>
        <w:pStyle w:val="Brdtekst"/>
      </w:pPr>
      <w:r>
        <w:t xml:space="preserve">When examining which factors best explain the variation that does exist, we find that income level emerges as the primary explanatory dimension, accounting for 8.1% of the variance in discourse centralization. This is closely followed by regional groupings, which explain 8.0% of variance. Geographical characteristics such as being a Small Island Developing State (SIDS) or Landlocked Developing Country (LLDC) explain substantially less variance at just 3.7%.</w:t>
      </w:r>
    </w:p>
    <w:p>
      <w:pPr>
        <w:pStyle w:val="Brdtekst"/>
      </w:pPr>
      <w:r>
        <w:t xml:space="preserve">These patterns suggest that adaptation discourse is shaped more by economic positioning and regional institutional influences than by similar geographical vulnerabilities. The dominance of income level as an explanatory factor indicates that adaptation planning follows existing development categories despite the diverse geographical contexts in which adaptation occurs.</w:t>
      </w:r>
    </w:p>
    <w:p>
      <w:pPr>
        <w:pStyle w:val="SourceCode"/>
      </w:pPr>
      <w:r>
        <w:rPr>
          <w:rStyle w:val="InformationTok"/>
        </w:rPr>
        <w:t xml:space="preserve">```{r}</w:t>
      </w:r>
      <w:r>
        <w:br/>
      </w:r>
      <w:r>
        <w:rPr>
          <w:rStyle w:val="CommentTok"/>
        </w:rPr>
        <w:t xml:space="preserve">#| fig-cap: "Dominance Index values across dimensions (n=3)"</w:t>
      </w:r>
      <w:r>
        <w:br/>
      </w:r>
      <w:r>
        <w:rPr>
          <w:rStyle w:val="CommentTok"/>
        </w:rPr>
        <w:t xml:space="preserve">#| label: fig-dominance</w:t>
      </w:r>
      <w:r>
        <w:br/>
      </w:r>
      <w:r>
        <w:br/>
      </w:r>
      <w:r>
        <w:rPr>
          <w:rStyle w:val="CommentTok"/>
        </w:rPr>
        <w:t xml:space="preserve"># This is a placeholder for the actual visualization</w:t>
      </w:r>
      <w:r>
        <w:br/>
      </w:r>
      <w:r>
        <w:rPr>
          <w:rStyle w:val="CommentTok"/>
        </w:rPr>
        <w:t xml:space="preserve"># The actual implementation would display the Dominance Index values</w:t>
      </w:r>
      <w:r>
        <w:br/>
      </w:r>
      <w:r>
        <w:rPr>
          <w:rStyle w:val="CommentTok"/>
        </w:rPr>
        <w:t xml:space="preserve"># across different dimensions, likely as a bar chart or similar</w:t>
      </w:r>
      <w:r>
        <w:br/>
      </w:r>
      <w:r>
        <w:br/>
      </w:r>
      <w:r>
        <w:rPr>
          <w:rStyle w:val="InformationTok"/>
        </w:rPr>
        <w:t xml:space="preserve">```</w:t>
      </w:r>
    </w:p>
    <w:bookmarkStart w:id="41" w:name="income"/>
    <w:p>
      <w:pPr>
        <w:pStyle w:val="Overskrift2"/>
      </w:pPr>
      <w:r>
        <w:t xml:space="preserve">6.1 Income</w:t>
      </w:r>
    </w:p>
    <w:p>
      <w:pPr>
        <w:pStyle w:val="Bloktekst"/>
      </w:pPr>
      <w:r>
        <w:t xml:space="preserve">Income level emerges as the primary explanatory factor for discourse centralization patterns, with low-income countries showing both highest centralization and lowest internal variation, suggesting stronger constraints on their discursive autonomy.</w:t>
      </w:r>
    </w:p>
    <w:p>
      <w:pPr>
        <w:pStyle w:val="FirstParagraph"/>
      </w:pPr>
      <w:r>
        <w:t xml:space="preserve">Analysis of discourse centralization by income level reveals significant patterns that suggest economic positioning strongly influences how adaptation is conceptualized and articulated in NAPs. Low-income countries show the highest degree of centralization with a Dominance Index of 0.980, followed by high-income countries (0.974), upper-middle income countries (0.947), and lower-middle income countries (0.928).</w:t>
      </w:r>
    </w:p>
    <w:p>
      <w:pPr>
        <w:pStyle w:val="Brdtekst"/>
      </w:pPr>
      <w:r>
        <w:t xml:space="preserve">Perhaps more revealing than the absolute values is the internal variation within each income group. Low-income countries show remarkably low variation in discourse patterns, with a standard deviation of just 0.018, compared to 0.094 for lower-middle income countries. This suggests that low-income countries face stronger constraints on their discursive autonomy, potentially reflecting their greater dependence on international funding and technical assistance in developing NAPs.</w:t>
      </w:r>
    </w:p>
    <w:p>
      <w:pPr>
        <w:pStyle w:val="Brdtekst"/>
      </w:pPr>
      <w:r>
        <w:t xml:space="preserve">In contrast, lower-middle income countries show greater discourse diversity, with more emphasis on sector-specific adaptation strategies and integration with national development planning. This greater diversity may reflect their intermediate position—less dependent on international climate finance than low-income countries but still actively engaged with international adaptation frameworks.</w:t>
      </w:r>
    </w:p>
    <w:bookmarkEnd w:id="41"/>
    <w:bookmarkStart w:id="42" w:name="region"/>
    <w:p>
      <w:pPr>
        <w:pStyle w:val="Overskrift2"/>
      </w:pPr>
      <w:r>
        <w:t xml:space="preserve">6.2 Region</w:t>
      </w:r>
    </w:p>
    <w:p>
      <w:pPr>
        <w:pStyle w:val="Bloktekst"/>
      </w:pPr>
      <w:r>
        <w:t xml:space="preserve">Regional groupings constitute the second strongest explanatory factor, reflecting how regional institutions mediate between global frameworks and national implementation while still operating within a highly centralized global discourse.</w:t>
      </w:r>
    </w:p>
    <w:p>
      <w:pPr>
        <w:pStyle w:val="FirstParagraph"/>
      </w:pPr>
      <w:r>
        <w:t xml:space="preserve">Regional analysis provides important insights into how adaptation discourse is shaped by regional institutions, knowledge networks, and shared historical contexts. While regional groupings explain slightly less variance than income level (8.0% versus 8.1%), they emerge as the second strongest explanatory factor for discourse centralization patterns.</w:t>
      </w:r>
    </w:p>
    <w:p>
      <w:pPr>
        <w:pStyle w:val="Brdtekst"/>
      </w:pPr>
      <w:r>
        <w:t xml:space="preserve">Sub-Saharan Africa shows high centralization (Dominance Index of 0.967) with relatively low internal variation (standard deviation of 0.044), suggesting a relatively homogeneous regional discourse.</w:t>
      </w:r>
    </w:p>
    <w:p>
      <w:pPr>
        <w:pStyle w:val="Brdtekst"/>
      </w:pPr>
      <w:r>
        <w:t xml:space="preserve">East Asia and the Pacific displays the lowest centralization (0.924) and highest internal variation (0.089), indicating greater diversity in how adaptation is conceptualized across this geographically and economically diverse region.</w:t>
      </w:r>
    </w:p>
    <w:p>
      <w:pPr>
        <w:pStyle w:val="SourceCode"/>
      </w:pPr>
      <w:r>
        <w:rPr>
          <w:rStyle w:val="InformationTok"/>
        </w:rPr>
        <w:t xml:space="preserve">```{r}</w:t>
      </w:r>
      <w:r>
        <w:br/>
      </w:r>
      <w:r>
        <w:rPr>
          <w:rStyle w:val="CommentTok"/>
        </w:rPr>
        <w:t xml:space="preserve">#| fig-cap: "Dominance Index and internal variation by region"</w:t>
      </w:r>
      <w:r>
        <w:br/>
      </w:r>
      <w:r>
        <w:rPr>
          <w:rStyle w:val="CommentTok"/>
        </w:rPr>
        <w:t xml:space="preserve">#| label: fig-region-variation</w:t>
      </w:r>
      <w:r>
        <w:br/>
      </w:r>
      <w:r>
        <w:br/>
      </w:r>
      <w:r>
        <w:rPr>
          <w:rStyle w:val="CommentTok"/>
        </w:rPr>
        <w:t xml:space="preserve"># This is a placeholder for a visualization showing</w:t>
      </w:r>
      <w:r>
        <w:br/>
      </w:r>
      <w:r>
        <w:rPr>
          <w:rStyle w:val="CommentTok"/>
        </w:rPr>
        <w:t xml:space="preserve"># Dominance Index values and standard deviations across regions</w:t>
      </w:r>
      <w:r>
        <w:br/>
      </w:r>
      <w:r>
        <w:rPr>
          <w:rStyle w:val="CommentTok"/>
        </w:rPr>
        <w:t xml:space="preserve"># Possibly a scatter plot or dual-axis chart</w:t>
      </w:r>
      <w:r>
        <w:br/>
      </w:r>
      <w:r>
        <w:br/>
      </w:r>
      <w:r>
        <w:rPr>
          <w:rStyle w:val="InformationTok"/>
        </w:rPr>
        <w:t xml:space="preserve">```</w:t>
      </w:r>
    </w:p>
    <w:p>
      <w:pPr>
        <w:pStyle w:val="FirstParagraph"/>
      </w:pPr>
      <w:r>
        <w:t xml:space="preserve">South Asia demonstrates high centralization (0.959) with moderate internal variation (0.042).</w:t>
      </w:r>
    </w:p>
    <w:p>
      <w:pPr>
        <w:pStyle w:val="Brdtekst"/>
      </w:pPr>
      <w:r>
        <w:t xml:space="preserve">Latin America and the Caribbean shows moderate centralization (0.941) with significant internal variation (0.071), suggesting diversity within a broadly similar regional approach.</w:t>
      </w:r>
    </w:p>
    <w:p>
      <w:pPr>
        <w:pStyle w:val="Brdtekst"/>
      </w:pPr>
      <w:r>
        <w:t xml:space="preserve">The Middle East and North Africa region exhibits the second-lowest centralization (0.919) but the highest internal variation (0.149), suggesting significant diversity within the region despite some shared approaches. This may reflect the diverse economic circumstances within the region, from oil-rich Gulf states to lower-income countries.</w:t>
      </w:r>
    </w:p>
    <w:p>
      <w:pPr>
        <w:pStyle w:val="Brdtekst"/>
      </w:pPr>
      <w:r>
        <w:t xml:space="preserve">Europe and Central Asia shows high centralization (0.969) with low internal variation (0.037), though the small sample size (6 documents) limits the robustness of this finding.</w:t>
      </w:r>
    </w:p>
    <w:p>
      <w:pPr>
        <w:pStyle w:val="Brdtekst"/>
      </w:pPr>
      <w:r>
        <w:t xml:space="preserve">These regional patterns suggest that while adaptation discourse remains highly centralized globally, regional institutions and knowledge systems play an important role in mediating between global frameworks and national implementation. Regional bodies appear to influence how adaptation is conceptualized and articulated, creating distinctive regional emphases within the broader centralized discourse. This finding highlights the importance of the regional scale as a site where global adaptation norms are translated and contextualized, even if fundamental epistemological diversity remains limited.</w:t>
      </w:r>
    </w:p>
    <w:bookmarkEnd w:id="42"/>
    <w:bookmarkStart w:id="43" w:name="geography"/>
    <w:p>
      <w:pPr>
        <w:pStyle w:val="Overskrift2"/>
      </w:pPr>
      <w:r>
        <w:t xml:space="preserve">6.3 Geography</w:t>
      </w:r>
    </w:p>
    <w:p>
      <w:pPr>
        <w:pStyle w:val="Bloktekst"/>
      </w:pPr>
      <w:r>
        <w:t xml:space="preserve">Geographical characteristics explain substantially less variance than economic or regional factors, challenging expectations that similar climate vulnerabilities would produce distinctive discourse patterns regardless of economic positioning.</w:t>
      </w:r>
    </w:p>
    <w:p>
      <w:pPr>
        <w:pStyle w:val="FirstParagraph"/>
      </w:pPr>
      <w:r>
        <w:t xml:space="preserve">The analysis of discourse centralization by geographical characteristics—specifically, whether countries are classified as Small Island Developing States (SIDS) or Landlocked Developing Countries (LLDC)—reveals that these factors explain substantially less variance (3.7%) than income level or regional groupings. This finding challenges expectations that similar climate vulnerabilities would produce distinctive discourse patterns regardless of economic positioning.</w:t>
      </w:r>
    </w:p>
    <w:p>
      <w:pPr>
        <w:pStyle w:val="Brdtekst"/>
      </w:pPr>
      <w:r>
        <w:t xml:space="preserve">Small Island Developing States show lower centralization (Dominance Index of 0.932) than the overall average (0.949), with moderate internal variation (standard deviation of 0.082). This suggests some diversification of adaptation discourse among SIDS, potentially reflecting their specific vulnerabilities to sea-level rise, extreme weather events, and ecosystem disruption. However, this diversification is less pronounced than might be expected given their distinctive geographical circumstances and climate vulnerabilities.</w:t>
      </w:r>
    </w:p>
    <w:p>
      <w:pPr>
        <w:pStyle w:val="SourceCode"/>
      </w:pPr>
      <w:r>
        <w:rPr>
          <w:rStyle w:val="InformationTok"/>
        </w:rPr>
        <w:t xml:space="preserve">```{r}</w:t>
      </w:r>
      <w:r>
        <w:br/>
      </w:r>
      <w:r>
        <w:rPr>
          <w:rStyle w:val="CommentTok"/>
        </w:rPr>
        <w:t xml:space="preserve">#| fig-cap: "Comparison of discourse topics across geographical categories"</w:t>
      </w:r>
      <w:r>
        <w:br/>
      </w:r>
      <w:r>
        <w:rPr>
          <w:rStyle w:val="CommentTok"/>
        </w:rPr>
        <w:t xml:space="preserve">#| label: fig-geo-topics</w:t>
      </w:r>
      <w:r>
        <w:br/>
      </w:r>
      <w:r>
        <w:br/>
      </w:r>
      <w:r>
        <w:rPr>
          <w:rStyle w:val="CommentTok"/>
        </w:rPr>
        <w:t xml:space="preserve"># This is a placeholder for a visualization comparing</w:t>
      </w:r>
      <w:r>
        <w:br/>
      </w:r>
      <w:r>
        <w:rPr>
          <w:rStyle w:val="CommentTok"/>
        </w:rPr>
        <w:t xml:space="preserve"># the most prevalent topics across geographical categories</w:t>
      </w:r>
      <w:r>
        <w:br/>
      </w:r>
      <w:r>
        <w:rPr>
          <w:rStyle w:val="CommentTok"/>
        </w:rPr>
        <w:t xml:space="preserve"># Possibly a heatmap or similar visualization</w:t>
      </w:r>
      <w:r>
        <w:br/>
      </w:r>
      <w:r>
        <w:br/>
      </w:r>
      <w:r>
        <w:rPr>
          <w:rStyle w:val="InformationTok"/>
        </w:rPr>
        <w:t xml:space="preserve">```</w:t>
      </w:r>
    </w:p>
    <w:p>
      <w:pPr>
        <w:pStyle w:val="FirstParagraph"/>
      </w:pPr>
      <w:r>
        <w:t xml:space="preserve">Landlocked Developing Countries, in contrast, show higher centralization (0.971) with low internal variation (0.030), indicating a more homogeneous discourse despite the diverse regional contexts of LLDCs across Africa, Asia, and Latin America. This homogeneity suggests that for LLDCs, economic positioning and institutional factors may shape adaptation discourse more strongly than their shared geographical characteristic of being landlocked.</w:t>
      </w:r>
    </w:p>
    <w:p>
      <w:pPr>
        <w:pStyle w:val="Brdtekst"/>
      </w:pPr>
      <w:r>
        <w:t xml:space="preserve">The finding that geographical characteristics explain relatively little variance in discourse centralization suggests that adaptation discourse is shaped more by economic and institutional factors than by specific climate vulnerabilities.</w:t>
      </w:r>
    </w:p>
    <w:p>
      <w:pPr>
        <w:pStyle w:val="Brdtekst"/>
      </w:pPr>
      <w:r>
        <w:t xml:space="preserve">This pattern raises important questions about the responsiveness of adaptation planning to local contexts and specific vulnerabilities. If geographical characteristics—which directly shape climate vulnerability profiles—have less influence on adaptation discourse than economic positioning or regional institutional affiliations, this suggests potential limitations in how adaptation is currently conceptualized and planned. It may indicate that the global adaptation architecture prioritizes standardized approaches over context-specific responses, potentially limiting the effectiveness of adaptation interventions in addressing the diverse challenges faced by differently positioned countries.</w:t>
      </w:r>
    </w:p>
    <w:p>
      <w:pPr>
        <w:pStyle w:val="Brdtekst"/>
      </w:pPr>
      <w:r>
        <w:t xml:space="preserve">These findings on geography as an explanatory factor complement the income and regional analyses, providing a more complete picture of how adaptation discourse is shaped by different dimensions. Together, they reveal a complex landscape where economic positioning emerges as the primary factor shaping adaptation discourse, followed by regional institutional influences, with specific geographical vulnerabilities playing a surprisingly limited role despite their direct relevance to climate impacts.</w:t>
      </w:r>
    </w:p>
    <w:bookmarkEnd w:id="43"/>
    <w:bookmarkEnd w:id="44"/>
    <w:bookmarkStart w:id="48" w:name="sec-discussion"/>
    <w:p>
      <w:pPr>
        <w:pStyle w:val="Overskrift1"/>
      </w:pPr>
      <w:r>
        <w:t xml:space="preserve">7. Discussion</w:t>
      </w:r>
    </w:p>
    <w:p>
      <w:pPr>
        <w:pStyle w:val="Bloktekst"/>
      </w:pPr>
      <w:r>
        <w:t xml:space="preserve">The main findings indicates that climate adaptations main organizing principles are non-climate related. I argue that vulnerability/adaptation-relation should be understood as an updated form of the underdevelopment/development-relation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brings us closer to understanding how climate adaptation actually works in the real world, rather than as just a part of the UNFCCC negotiations.</w:t>
      </w:r>
    </w:p>
    <w:p>
      <w:pPr>
        <w:pStyle w:val="Brdtekst"/>
      </w:pPr>
      <w:r>
        <w:t xml:space="preserve">The patterns provide empirical evidence for adaptation regime critiques that argue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this anticipatory governance functions as an anti-politics machine, and possibilities for better approaches to adaptation.</w:t>
      </w:r>
    </w:p>
    <w:bookmarkStart w:id="45" w:name="adaptation-and-vulnerability"/>
    <w:p>
      <w:pPr>
        <w:pStyle w:val="Overskrift2"/>
      </w:pPr>
      <w:r>
        <w:t xml:space="preserve">7.1 Adaptation and vulnerability</w:t>
      </w:r>
    </w:p>
    <w:p>
      <w:pPr>
        <w:pStyle w:val="Bloktekst"/>
      </w:pPr>
      <w:r>
        <w:t xml:space="preserve">Adaptation discourse constructs rather than responds to climate vulnerability, paralleling how development discourse produceses underdevelopment as its necessary counterpart.</w:t>
      </w:r>
    </w:p>
    <w:p>
      <w:pPr>
        <w:pStyle w:val="FirstParagraph"/>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reasonable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These patterns of differential vulnerability construction reflect what</w:t>
      </w:r>
      <w:r>
        <w:t xml:space="preserve"> </w:t>
      </w:r>
      <w:r>
        <w:t xml:space="preserve">Santos (2016)</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w:t>
      </w:r>
    </w:p>
    <w:bookmarkEnd w:id="45"/>
    <w:bookmarkStart w:id="46"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hints at what</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dominance of particular topics across NAPs—vulnerability assessment, climate modeling, project management frameworks, monitoring and evaluation systems—reflects what</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The finding that income level explains more variance than geographical factors directly supports the argument that development interventions (including adaptation) often have less to do with their stated objectives, than with the form of intervention. The similarity of discourse across countries with different climate vulnerabilities but similar income levels suggests that adaptation planning may be shaped more by institutional imperatives and funding requirements than by context-specific needs.</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46"/>
    <w:bookmarkStart w:id="47"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w:t>
      </w:r>
      <w:r>
        <w:t xml:space="preserve"> </w:t>
      </w:r>
      <w:r>
        <w:t xml:space="preserve">Santos (2016)</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iother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 amongst others.</w:t>
      </w:r>
    </w:p>
    <w:p>
      <w:pPr>
        <w:pStyle w:val="Brdtekst"/>
      </w:pPr>
      <w:r>
        <w:t xml:space="preserve">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p>
      <w:pPr>
        <w:pStyle w:val="Brdtekst"/>
      </w:pPr>
      <w:r>
        <w:t xml:space="preserve">After all, the simplest way for the global north to avoid foreclosing futures in the global south, would be to reduce the carbon emissions and shifting the focus to climate mitigation pillar. Remembering the climate damage flowchart from earlier</w:t>
      </w:r>
      <w:r>
        <w:t xml:space="preserve"> </w:t>
      </w:r>
      <w:r>
        <w:rPr>
          <w:b/>
          <w:bCs/>
        </w:rPr>
        <w:t xml:space="preserve">?@fig-dmg_flow</w:t>
      </w:r>
      <w:r>
        <w:t xml:space="preserve">, cutting off the emissions at the top by phasing out extraction of hydrocarbon and the burning of them, in line with their commitments.</w:t>
      </w:r>
    </w:p>
    <w:p>
      <w:pPr>
        <w:pStyle w:val="SourceCode"/>
      </w:pPr>
      <w:r>
        <w:rPr>
          <w:rStyle w:val="InformationTok"/>
        </w:rPr>
        <w:t xml:space="preserve">```{r}</w:t>
      </w:r>
      <w:r>
        <w:br/>
      </w:r>
      <w:r>
        <w:rPr>
          <w:rStyle w:val="CommentTok"/>
        </w:rPr>
        <w:t xml:space="preserve">#| fig-cap: "Climate finance vs. fossil fuel finance"</w:t>
      </w:r>
      <w:r>
        <w:br/>
      </w:r>
      <w:r>
        <w:rPr>
          <w:rStyle w:val="CommentTok"/>
        </w:rPr>
        <w:t xml:space="preserve">#| label: fig-fuel_finance</w:t>
      </w:r>
      <w:r>
        <w:br/>
      </w:r>
      <w:r>
        <w:br/>
      </w:r>
      <w:r>
        <w:rPr>
          <w:rStyle w:val="CommentTok"/>
        </w:rPr>
        <w:t xml:space="preserve"># This is a placeholder for the actual visualization</w:t>
      </w:r>
      <w:r>
        <w:br/>
      </w:r>
      <w:r>
        <w:rPr>
          <w:rStyle w:val="CommentTok"/>
        </w:rPr>
        <w:t xml:space="preserve"># The actual implementation would take data from CPI and show</w:t>
      </w:r>
      <w:r>
        <w:br/>
      </w:r>
      <w:r>
        <w:rPr>
          <w:rStyle w:val="CommentTok"/>
        </w:rPr>
        <w:t xml:space="preserve"># the amount of fossil fuel finance still ongoing</w:t>
      </w:r>
      <w:r>
        <w:br/>
      </w:r>
      <w:r>
        <w:br/>
      </w:r>
      <w:r>
        <w:rPr>
          <w:rStyle w:val="InformationTok"/>
        </w:rPr>
        <w:t xml:space="preserve">```</w:t>
      </w:r>
    </w:p>
    <w:p>
      <w:pPr>
        <w:pStyle w:val="FirstParagraph"/>
      </w:pPr>
      <w:r>
        <w:t xml:space="preserve">And all this said, this is no reason to quit aid, but to view it is as one of many ways the global north and south interact.</w:t>
      </w:r>
    </w:p>
    <w:bookmarkEnd w:id="47"/>
    <w:bookmarkEnd w:id="48"/>
    <w:bookmarkStart w:id="49" w:name="sec-conclusion"/>
    <w:p>
      <w:pPr>
        <w:pStyle w:val="Overskrift1"/>
      </w:pPr>
      <w:r>
        <w:t xml:space="preserve">8. Conclusion</w:t>
      </w:r>
    </w:p>
    <w:bookmarkEnd w:id="49"/>
    <w:bookmarkStart w:id="142" w:name="references"/>
    <w:p>
      <w:pPr>
        <w:pStyle w:val="Overskrift1"/>
      </w:pPr>
      <w:r>
        <w:t xml:space="preserve">References</w:t>
      </w:r>
    </w:p>
    <w:bookmarkStart w:id="141" w:name="refs"/>
    <w:bookmarkStart w:id="50"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0"/>
    <w:bookmarkStart w:id="52"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51">
        <w:r>
          <w:rPr>
            <w:rStyle w:val="Hyperlink"/>
          </w:rPr>
          <w:t xml:space="preserve">https://doi.org/10.1016/j.landusepol.2020.104898</w:t>
        </w:r>
      </w:hyperlink>
    </w:p>
    <w:bookmarkEnd w:id="52"/>
    <w:bookmarkStart w:id="53"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3"/>
    <w:bookmarkStart w:id="55"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4">
        <w:r>
          <w:rPr>
            <w:rStyle w:val="Hyperlink"/>
          </w:rPr>
          <w:t xml:space="preserve">https://doi.org/10.1016/0305-750X(94)90030-2</w:t>
        </w:r>
      </w:hyperlink>
    </w:p>
    <w:bookmarkEnd w:id="55"/>
    <w:bookmarkStart w:id="57"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56">
        <w:r>
          <w:rPr>
            <w:rStyle w:val="Hyperlink"/>
          </w:rPr>
          <w:t xml:space="preserve">https://www.climatepolicyinitiative.org/wp-content/uploads/2023/11/GLCF-2023-Methodology.pdf</w:t>
        </w:r>
      </w:hyperlink>
    </w:p>
    <w:bookmarkEnd w:id="57"/>
    <w:bookmarkStart w:id="59"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58">
        <w:r>
          <w:rPr>
            <w:rStyle w:val="Hyperlink"/>
          </w:rPr>
          <w:t xml:space="preserve">https://doi.org/10.1080/1177083X.2024.2344497</w:t>
        </w:r>
      </w:hyperlink>
    </w:p>
    <w:bookmarkEnd w:id="59"/>
    <w:bookmarkStart w:id="60"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63">
        <w:r>
          <w:rPr>
            <w:rStyle w:val="Hyperlink"/>
          </w:rPr>
          <w:t xml:space="preserve">https://doi.org/10.1080/13642987.2017.1397633</w:t>
        </w:r>
      </w:hyperlink>
    </w:p>
    <w:bookmarkEnd w:id="64"/>
    <w:bookmarkStart w:id="66" w:name="ref-egami2022"/>
    <w:p>
      <w:pPr>
        <w:pStyle w:val="Bibliografi"/>
      </w:pPr>
      <w:r>
        <w:t xml:space="preserve">Egami, N., Fong, C. J., Grimmer, J., Roberts, M. E., &amp; Stewart, B. M. (2022). How to make causal inferences using texts.</w:t>
      </w:r>
      <w:r>
        <w:t xml:space="preserve"> </w:t>
      </w:r>
      <w:r>
        <w:rPr>
          <w:i/>
          <w:iCs/>
        </w:rPr>
        <w:t xml:space="preserve">Science Advances</w:t>
      </w:r>
      <w:r>
        <w:t xml:space="preserve">,</w:t>
      </w:r>
      <w:r>
        <w:t xml:space="preserve"> </w:t>
      </w:r>
      <w:r>
        <w:rPr>
          <w:i/>
          <w:iCs/>
        </w:rPr>
        <w:t xml:space="preserve">8</w:t>
      </w:r>
      <w:r>
        <w:t xml:space="preserve">(42), eabg2652.</w:t>
      </w:r>
      <w:r>
        <w:t xml:space="preserve"> </w:t>
      </w:r>
      <w:hyperlink r:id="rId65">
        <w:r>
          <w:rPr>
            <w:rStyle w:val="Hyperlink"/>
          </w:rPr>
          <w:t xml:space="preserve">https://doi.org/10.1126/sciadv.abg2652</w:t>
        </w:r>
      </w:hyperlink>
    </w:p>
    <w:bookmarkEnd w:id="66"/>
    <w:bookmarkStart w:id="68"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67">
        <w:r>
          <w:rPr>
            <w:rStyle w:val="Hyperlink"/>
          </w:rPr>
          <w:t xml:space="preserve">https://doi.org/10.3362/9781780440415.001</w:t>
        </w:r>
      </w:hyperlink>
    </w:p>
    <w:bookmarkEnd w:id="68"/>
    <w:bookmarkStart w:id="70"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9">
        <w:r>
          <w:rPr>
            <w:rStyle w:val="Hyperlink"/>
          </w:rPr>
          <w:t xml:space="preserve">https://doi.org/10.1016/j.worlddev.2020.105383</w:t>
        </w:r>
      </w:hyperlink>
    </w:p>
    <w:bookmarkEnd w:id="70"/>
    <w:bookmarkStart w:id="72"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1">
        <w:r>
          <w:rPr>
            <w:rStyle w:val="Hyperlink"/>
          </w:rPr>
          <w:t xml:space="preserve">https://www.jstor.org/stable/j.ctt7rtgw</w:t>
        </w:r>
      </w:hyperlink>
    </w:p>
    <w:bookmarkEnd w:id="72"/>
    <w:bookmarkStart w:id="73"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3"/>
    <w:bookmarkStart w:id="74"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74"/>
    <w:bookmarkStart w:id="75"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75"/>
    <w:bookmarkStart w:id="76"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76"/>
    <w:bookmarkStart w:id="77"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77"/>
    <w:bookmarkStart w:id="79"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8">
        <w:r>
          <w:rPr>
            <w:rStyle w:val="Hyperlink"/>
          </w:rPr>
          <w:t xml:space="preserve">https://doi.org/10.3384/cu.2000.1525.1790615</w:t>
        </w:r>
      </w:hyperlink>
    </w:p>
    <w:bookmarkEnd w:id="79"/>
    <w:bookmarkStart w:id="81"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0">
        <w:r>
          <w:rPr>
            <w:rStyle w:val="Hyperlink"/>
          </w:rPr>
          <w:t xml:space="preserve">https://doi.org/10.1177/1354066117725157</w:t>
        </w:r>
      </w:hyperlink>
    </w:p>
    <w:bookmarkEnd w:id="81"/>
    <w:bookmarkStart w:id="83" w:name="ref-hulme2011"/>
    <w:p>
      <w:pPr>
        <w:pStyle w:val="Bibliografi"/>
      </w:pPr>
      <w:r>
        <w:t xml:space="preserve">Hulme, M. (2011). Reducing the future to climate: A story of climate determinism and reductionism.</w:t>
      </w:r>
      <w:r>
        <w:t xml:space="preserve"> </w:t>
      </w:r>
      <w:r>
        <w:rPr>
          <w:i/>
          <w:iCs/>
        </w:rPr>
        <w:t xml:space="preserve">Osiris</w:t>
      </w:r>
      <w:r>
        <w:t xml:space="preserve">,</w:t>
      </w:r>
      <w:r>
        <w:t xml:space="preserve"> </w:t>
      </w:r>
      <w:r>
        <w:rPr>
          <w:i/>
          <w:iCs/>
        </w:rPr>
        <w:t xml:space="preserve">26</w:t>
      </w:r>
      <w:r>
        <w:t xml:space="preserve">(1), 245–266.</w:t>
      </w:r>
      <w:r>
        <w:t xml:space="preserve"> </w:t>
      </w:r>
      <w:hyperlink r:id="rId82">
        <w:r>
          <w:rPr>
            <w:rStyle w:val="Hyperlink"/>
          </w:rPr>
          <w:t xml:space="preserve">https://doi.org/10.1086/661274</w:t>
        </w:r>
      </w:hyperlink>
    </w:p>
    <w:bookmarkEnd w:id="83"/>
    <w:bookmarkStart w:id="85"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84">
        <w:r>
          <w:rPr>
            <w:rStyle w:val="Hyperlink"/>
          </w:rPr>
          <w:t xml:space="preserve">https://doi.org/10.1016/0016-3287(90)90077-U</w:t>
        </w:r>
      </w:hyperlink>
    </w:p>
    <w:bookmarkEnd w:id="85"/>
    <w:bookmarkStart w:id="87"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86">
        <w:r>
          <w:rPr>
            <w:rStyle w:val="Hyperlink"/>
          </w:rPr>
          <w:t xml:space="preserve">https://doi.org/10.3763/cdev.2010.0053</w:t>
        </w:r>
      </w:hyperlink>
    </w:p>
    <w:bookmarkEnd w:id="87"/>
    <w:bookmarkStart w:id="89"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88">
        <w:r>
          <w:rPr>
            <w:rStyle w:val="Hyperlink"/>
          </w:rPr>
          <w:t xml:space="preserve">https://doi.org/10.1016/j.geoforum.2013.01.005</w:t>
        </w:r>
      </w:hyperlink>
    </w:p>
    <w:bookmarkEnd w:id="89"/>
    <w:bookmarkStart w:id="91"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90">
        <w:r>
          <w:rPr>
            <w:rStyle w:val="Hyperlink"/>
          </w:rPr>
          <w:t xml:space="preserve">https://doi.org/10.1080/14693062.2021.1947177</w:t>
        </w:r>
      </w:hyperlink>
    </w:p>
    <w:bookmarkEnd w:id="91"/>
    <w:bookmarkStart w:id="92"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2"/>
    <w:bookmarkStart w:id="94"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93">
        <w:r>
          <w:rPr>
            <w:rStyle w:val="Hyperlink"/>
          </w:rPr>
          <w:t xml:space="preserve">https://doi.org/10.1080/01436597.2015.1045482</w:t>
        </w:r>
      </w:hyperlink>
    </w:p>
    <w:bookmarkEnd w:id="94"/>
    <w:bookmarkStart w:id="96"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95">
        <w:r>
          <w:rPr>
            <w:rStyle w:val="Hyperlink"/>
          </w:rPr>
          <w:t xml:space="preserve">https://doi.org/10.1007/s11625-020-00807-9</w:t>
        </w:r>
      </w:hyperlink>
    </w:p>
    <w:bookmarkEnd w:id="96"/>
    <w:bookmarkStart w:id="98"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97">
        <w:r>
          <w:rPr>
            <w:rStyle w:val="Hyperlink"/>
          </w:rPr>
          <w:t xml:space="preserve">https://doi.org/10.1080/14693062.2024.2378194</w:t>
        </w:r>
      </w:hyperlink>
    </w:p>
    <w:bookmarkEnd w:id="98"/>
    <w:bookmarkStart w:id="100"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99">
        <w:r>
          <w:rPr>
            <w:rStyle w:val="Hyperlink"/>
          </w:rPr>
          <w:t xml:space="preserve">https://doi.org/10.1016/j.gloenvcha.2022.102527</w:t>
        </w:r>
      </w:hyperlink>
    </w:p>
    <w:bookmarkEnd w:id="100"/>
    <w:bookmarkStart w:id="102"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01">
        <w:r>
          <w:rPr>
            <w:rStyle w:val="Hyperlink"/>
          </w:rPr>
          <w:t xml:space="preserve">https://doi.org/10.1080/24694452.2017.1406330</w:t>
        </w:r>
      </w:hyperlink>
    </w:p>
    <w:bookmarkEnd w:id="102"/>
    <w:bookmarkStart w:id="104"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03">
        <w:r>
          <w:rPr>
            <w:rStyle w:val="Hyperlink"/>
          </w:rPr>
          <w:t xml:space="preserve">https://doi.org/10.1080/14693062.2013.879514</w:t>
        </w:r>
      </w:hyperlink>
    </w:p>
    <w:bookmarkEnd w:id="104"/>
    <w:bookmarkStart w:id="106"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5">
        <w:r>
          <w:rPr>
            <w:rStyle w:val="Hyperlink"/>
          </w:rPr>
          <w:t xml:space="preserve">https://doi.org/10.1016/j.envsci.2010.10.004</w:t>
        </w:r>
      </w:hyperlink>
    </w:p>
    <w:bookmarkEnd w:id="106"/>
    <w:bookmarkStart w:id="107"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07"/>
    <w:bookmarkStart w:id="109"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08">
        <w:r>
          <w:rPr>
            <w:rStyle w:val="Hyperlink"/>
          </w:rPr>
          <w:t xml:space="preserve">https://doi.org/10.1111/j.1549-0831.2003.tb00133.x</w:t>
        </w:r>
      </w:hyperlink>
    </w:p>
    <w:bookmarkEnd w:id="109"/>
    <w:bookmarkStart w:id="110"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10"/>
    <w:bookmarkStart w:id="112"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11">
        <w:r>
          <w:rPr>
            <w:rStyle w:val="Hyperlink"/>
          </w:rPr>
          <w:t xml:space="preserve">https://doi.org/10.1080/17565529.2016.1184608</w:t>
        </w:r>
      </w:hyperlink>
    </w:p>
    <w:bookmarkEnd w:id="112"/>
    <w:bookmarkStart w:id="114"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13">
        <w:r>
          <w:rPr>
            <w:rStyle w:val="Hyperlink"/>
          </w:rPr>
          <w:t xml:space="preserve">https://doi.org/10.1080/01621459.2016.1141684</w:t>
        </w:r>
      </w:hyperlink>
    </w:p>
    <w:bookmarkEnd w:id="114"/>
    <w:bookmarkStart w:id="116" w:name="ref-roberts2020"/>
    <w:p>
      <w:pPr>
        <w:pStyle w:val="Bibliografi"/>
      </w:pPr>
      <w:r>
        <w:t xml:space="preserve">Roberts, M. E., Stewart, B. M., &amp; Nielsen, R. A. (2020). Adjusting for confounding with text matching.</w:t>
      </w:r>
      <w:r>
        <w:t xml:space="preserve"> </w:t>
      </w:r>
      <w:r>
        <w:rPr>
          <w:i/>
          <w:iCs/>
        </w:rPr>
        <w:t xml:space="preserve">American Journal of Political Science</w:t>
      </w:r>
      <w:r>
        <w:t xml:space="preserve">,</w:t>
      </w:r>
      <w:r>
        <w:t xml:space="preserve"> </w:t>
      </w:r>
      <w:r>
        <w:rPr>
          <w:i/>
          <w:iCs/>
        </w:rPr>
        <w:t xml:space="preserve">64</w:t>
      </w:r>
      <w:r>
        <w:t xml:space="preserve">(4), 887–903.</w:t>
      </w:r>
      <w:r>
        <w:t xml:space="preserve"> </w:t>
      </w:r>
      <w:hyperlink r:id="rId115">
        <w:r>
          <w:rPr>
            <w:rStyle w:val="Hyperlink"/>
          </w:rPr>
          <w:t xml:space="preserve">https://doi.org/10.1111/ajps.12526</w:t>
        </w:r>
      </w:hyperlink>
    </w:p>
    <w:bookmarkEnd w:id="116"/>
    <w:bookmarkStart w:id="118"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17">
        <w:r>
          <w:rPr>
            <w:rStyle w:val="Hyperlink"/>
          </w:rPr>
          <w:t xml:space="preserve">https://doi.org/10.18637/jss.v091.i02</w:t>
        </w:r>
      </w:hyperlink>
    </w:p>
    <w:bookmarkEnd w:id="118"/>
    <w:bookmarkStart w:id="120"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19">
        <w:r>
          <w:rPr>
            <w:rStyle w:val="Hyperlink"/>
          </w:rPr>
          <w:t xml:space="preserve">https://doi.org/10.4324/9781315634876</w:t>
        </w:r>
      </w:hyperlink>
    </w:p>
    <w:bookmarkEnd w:id="120"/>
    <w:bookmarkStart w:id="12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21">
        <w:r>
          <w:rPr>
            <w:rStyle w:val="Hyperlink"/>
          </w:rPr>
          <w:t xml:space="preserve">https://doi.org/10.1016/j.oneear.2020.09.014</w:t>
        </w:r>
      </w:hyperlink>
    </w:p>
    <w:bookmarkEnd w:id="122"/>
    <w:bookmarkStart w:id="12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23">
        <w:r>
          <w:rPr>
            <w:rStyle w:val="Hyperlink"/>
          </w:rPr>
          <w:t xml:space="preserve">https://doi.org/10.1016/j.worlddev.2019.104683</w:t>
        </w:r>
      </w:hyperlink>
    </w:p>
    <w:bookmarkEnd w:id="124"/>
    <w:bookmarkStart w:id="12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25"/>
    <w:bookmarkStart w:id="127"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26">
        <w:r>
          <w:rPr>
            <w:rStyle w:val="Hyperlink"/>
          </w:rPr>
          <w:t xml:space="preserve">https://www.tidytextmining.com/</w:t>
        </w:r>
      </w:hyperlink>
    </w:p>
    <w:bookmarkEnd w:id="127"/>
    <w:bookmarkStart w:id="128"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28"/>
    <w:bookmarkStart w:id="130"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29">
        <w:r>
          <w:rPr>
            <w:rStyle w:val="Hyperlink"/>
          </w:rPr>
          <w:t xml:space="preserve">https://doi.org/10.1111/reel.12335</w:t>
        </w:r>
      </w:hyperlink>
    </w:p>
    <w:bookmarkEnd w:id="130"/>
    <w:bookmarkStart w:id="132"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31">
        <w:r>
          <w:rPr>
            <w:rStyle w:val="Hyperlink"/>
          </w:rPr>
          <w:t xml:space="preserve">https://doi.org/10.1162/GLEP_a_00379</w:t>
        </w:r>
      </w:hyperlink>
    </w:p>
    <w:bookmarkEnd w:id="132"/>
    <w:bookmarkStart w:id="134"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33">
        <w:r>
          <w:rPr>
            <w:rStyle w:val="Hyperlink"/>
          </w:rPr>
          <w:t xml:space="preserve">https://doi.org/10.1162/glep_a_00723</w:t>
        </w:r>
      </w:hyperlink>
    </w:p>
    <w:bookmarkEnd w:id="134"/>
    <w:bookmarkStart w:id="136"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35">
        <w:r>
          <w:rPr>
            <w:rStyle w:val="Hyperlink"/>
          </w:rPr>
          <w:t xml:space="preserve">https://doi.org/10.1007/s10584-019-02620-5</w:t>
        </w:r>
      </w:hyperlink>
    </w:p>
    <w:bookmarkEnd w:id="136"/>
    <w:bookmarkStart w:id="138"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37">
        <w:r>
          <w:rPr>
            <w:rStyle w:val="Hyperlink"/>
          </w:rPr>
          <w:t xml:space="preserve">https://doi.org/10.1007/s10113-023-02113-3</w:t>
        </w:r>
      </w:hyperlink>
    </w:p>
    <w:bookmarkEnd w:id="138"/>
    <w:bookmarkStart w:id="140" w:name="ref-yakir2019"/>
    <w:p>
      <w:pPr>
        <w:pStyle w:val="Bibliografi"/>
      </w:pPr>
      <w:r>
        <w:t xml:space="preserve">Yakir, B. (2019).</w:t>
      </w:r>
      <w:r>
        <w:t xml:space="preserve"> </w:t>
      </w:r>
      <w:r>
        <w:rPr>
          <w:i/>
          <w:iCs/>
        </w:rPr>
        <w:t xml:space="preserve">Introduction to statistical thinking</w:t>
      </w:r>
      <w:r>
        <w:t xml:space="preserve">.</w:t>
      </w:r>
      <w:r>
        <w:t xml:space="preserve"> </w:t>
      </w:r>
      <w:hyperlink r:id="rId139">
        <w:r>
          <w:rPr>
            <w:rStyle w:val="Hyperlink"/>
          </w:rPr>
          <w:t xml:space="preserve">https://eleuven.github.io/statthink/ChapEstimation.html</w:t>
        </w:r>
      </w:hyperlink>
    </w:p>
    <w:bookmarkEnd w:id="140"/>
    <w:bookmarkEnd w:id="141"/>
    <w:bookmarkEnd w:id="142"/>
    <w:bookmarkStart w:id="143" w:name="r-packages"/>
    <w:p>
      <w:pPr>
        <w:pStyle w:val="Overskrift1"/>
      </w:pPr>
      <w:r>
        <w:t xml:space="preserve">R-packages</w:t>
      </w:r>
    </w:p>
    <w:bookmarkEnd w:id="143"/>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2025-05-20T12:11:20Z</dcterms:created>
  <dcterms:modified xsi:type="dcterms:W3CDTF">2025-05-20T12:11:20Z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bottom</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2025-05-20</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