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“Very good, Dedra. That is verbatim from the ISB mission statement… and wrong. Security is an illusion. You want security? Call the Navy. Launch a regiment of troopers. We are healthcare providers. We treat sickness. We identify symptoms. We locate germs whether they arise from within or have come from the outside. The longer we wait to identify a disorder, the harder it is to treat the disease.”</w:t>
      </w:r>
      <w:r>
        <w:t xml:space="preserve"> </w:t>
      </w:r>
      <w:r>
        <w:t xml:space="preserve">Major Partagaz</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7"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7"/>
    <w:bookmarkStart w:id="38"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8"/>
    <w:bookmarkStart w:id="39"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39"/>
    <w:bookmarkEnd w:id="40"/>
    <w:bookmarkStart w:id="53"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4"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 and an exclusivity score of 8,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04"/>
        <w:gridCol w:w="3756"/>
        <w:gridCol w:w="1523"/>
        <w:gridCol w:w="1015"/>
        <w:gridCol w:w="1320"/>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Financ: ongo, strateg, output</w:t>
            </w:r>
          </w:p>
        </w:tc>
        <w:tc>
          <w:tcPr/>
          <w:p>
            <w:pPr>
              <w:pStyle w:val="Compact"/>
              <w:jc w:val="right"/>
            </w:pPr>
            <w:r>
              <w:t xml:space="preserve">16.2</w:t>
            </w:r>
          </w:p>
        </w:tc>
        <w:tc>
          <w:tcPr/>
          <w:p>
            <w:pPr>
              <w:pStyle w:val="Compact"/>
              <w:jc w:val="right"/>
            </w:pPr>
            <w:r>
              <w:t xml:space="preserve">19</w:t>
            </w:r>
          </w:p>
        </w:tc>
        <w:tc>
          <w:tcPr/>
          <w:p>
            <w:pPr>
              <w:pStyle w:val="Compact"/>
              <w:jc w:val="right"/>
            </w:pPr>
            <w:r>
              <w:t xml:space="preserve">42.2</w:t>
            </w:r>
          </w:p>
        </w:tc>
      </w:tr>
      <w:tr>
        <w:tc>
          <w:tcPr/>
          <w:p>
            <w:pPr>
              <w:pStyle w:val="Compact"/>
              <w:jc w:val="right"/>
            </w:pPr>
            <w:r>
              <w:t xml:space="preserve">5</w:t>
            </w:r>
          </w:p>
        </w:tc>
        <w:tc>
          <w:tcPr/>
          <w:p>
            <w:pPr>
              <w:pStyle w:val="Compact"/>
              <w:jc w:val="left"/>
            </w:pPr>
            <w:r>
              <w:t xml:space="preserve">Chapter: provinci, world, describ</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14</w:t>
            </w:r>
          </w:p>
        </w:tc>
        <w:tc>
          <w:tcPr/>
          <w:p>
            <w:pPr>
              <w:pStyle w:val="Compact"/>
              <w:jc w:val="left"/>
            </w:pPr>
            <w:r>
              <w:t xml:space="preserve">Tourism: provinci, provinc, counti</w:t>
            </w:r>
          </w:p>
        </w:tc>
        <w:tc>
          <w:tcPr/>
          <w:p>
            <w:pPr>
              <w:pStyle w:val="Compact"/>
              <w:jc w:val="right"/>
            </w:pPr>
            <w:r>
              <w:t xml:space="preserve">7.9</w:t>
            </w:r>
          </w:p>
        </w:tc>
        <w:tc>
          <w:tcPr/>
          <w:p>
            <w:pPr>
              <w:pStyle w:val="Compact"/>
              <w:jc w:val="right"/>
            </w:pPr>
            <w:r>
              <w:t xml:space="preserve">15</w:t>
            </w:r>
          </w:p>
        </w:tc>
        <w:tc>
          <w:tcPr/>
          <w:p>
            <w:pPr>
              <w:pStyle w:val="Compact"/>
              <w:jc w:val="right"/>
            </w:pPr>
            <w:r>
              <w:t xml:space="preserve">33.3</w:t>
            </w:r>
          </w:p>
        </w:tc>
      </w:tr>
      <w:tr>
        <w:tc>
          <w:tcPr/>
          <w:p>
            <w:pPr>
              <w:pStyle w:val="Compact"/>
              <w:jc w:val="right"/>
            </w:pPr>
            <w:r>
              <w:t xml:space="preserve">9</w:t>
            </w:r>
          </w:p>
        </w:tc>
        <w:tc>
          <w:tcPr/>
          <w:p>
            <w:pPr>
              <w:pStyle w:val="Compact"/>
              <w:jc w:val="left"/>
            </w:pPr>
            <w:r>
              <w:t xml:space="preserve">Outcom: involv, term, short</w:t>
            </w:r>
          </w:p>
        </w:tc>
        <w:tc>
          <w:tcPr/>
          <w:p>
            <w:pPr>
              <w:pStyle w:val="Compact"/>
              <w:jc w:val="right"/>
            </w:pPr>
            <w:r>
              <w:t xml:space="preserve">7.3</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4</w:t>
            </w:r>
          </w:p>
        </w:tc>
        <w:tc>
          <w:tcPr/>
          <w:p>
            <w:pPr>
              <w:pStyle w:val="Compact"/>
              <w:jc w:val="left"/>
            </w:pPr>
            <w:r>
              <w:t xml:space="preserve">Line: citi, territori, transit</w:t>
            </w:r>
          </w:p>
        </w:tc>
        <w:tc>
          <w:tcPr/>
          <w:p>
            <w:pPr>
              <w:pStyle w:val="Compact"/>
              <w:jc w:val="right"/>
            </w:pPr>
            <w:r>
              <w:t xml:space="preserve">6.9</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6</w:t>
            </w:r>
          </w:p>
        </w:tc>
        <w:tc>
          <w:tcPr/>
          <w:p>
            <w:pPr>
              <w:pStyle w:val="Compact"/>
              <w:jc w:val="left"/>
            </w:pPr>
            <w:r>
              <w:t xml:space="preserve">Rangeland: mountain, initi, moham</w:t>
            </w:r>
          </w:p>
        </w:tc>
        <w:tc>
          <w:tcPr/>
          <w:p>
            <w:pPr>
              <w:pStyle w:val="Compact"/>
              <w:jc w:val="right"/>
            </w:pPr>
            <w:r>
              <w:t xml:space="preserve">6.7</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13</w:t>
            </w:r>
          </w:p>
        </w:tc>
        <w:tc>
          <w:tcPr/>
          <w:p>
            <w:pPr>
              <w:pStyle w:val="Compact"/>
              <w:jc w:val="left"/>
            </w:pPr>
            <w:r>
              <w:t xml:space="preserve">Des: les, refuge, nutrit</w:t>
            </w:r>
          </w:p>
        </w:tc>
        <w:tc>
          <w:tcPr/>
          <w:p>
            <w:pPr>
              <w:pStyle w:val="Compact"/>
              <w:jc w:val="right"/>
            </w:pPr>
            <w:r>
              <w:t xml:space="preserve">6.7</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7</w:t>
            </w:r>
          </w:p>
        </w:tc>
        <w:tc>
          <w:tcPr/>
          <w:p>
            <w:pPr>
              <w:pStyle w:val="Compact"/>
              <w:jc w:val="left"/>
            </w:pPr>
            <w:r>
              <w:t xml:space="preserve">Yet: nationwid, commenc, salin</w:t>
            </w:r>
          </w:p>
        </w:tc>
        <w:tc>
          <w:tcPr/>
          <w:p>
            <w:pPr>
              <w:pStyle w:val="Compact"/>
              <w:jc w:val="right"/>
            </w:pPr>
            <w:r>
              <w:t xml:space="preserve">6.6</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15</w:t>
            </w:r>
          </w:p>
        </w:tc>
        <w:tc>
          <w:tcPr/>
          <w:p>
            <w:pPr>
              <w:pStyle w:val="Compact"/>
              <w:jc w:val="left"/>
            </w:pPr>
            <w:r>
              <w:t xml:space="preserve">Atol: pacif, outer, typhoon</w:t>
            </w:r>
          </w:p>
        </w:tc>
        <w:tc>
          <w:tcPr/>
          <w:p>
            <w:pPr>
              <w:pStyle w:val="Compact"/>
              <w:jc w:val="right"/>
            </w:pPr>
            <w:r>
              <w:t xml:space="preserve">6.3</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1</w:t>
            </w:r>
          </w:p>
        </w:tc>
        <w:tc>
          <w:tcPr/>
          <w:p>
            <w:pPr>
              <w:pStyle w:val="Compact"/>
              <w:jc w:val="left"/>
            </w:pPr>
            <w:r>
              <w:t xml:space="preserve">Secretariat: director, cent, conduct</w:t>
            </w:r>
          </w:p>
        </w:tc>
        <w:tc>
          <w:tcPr/>
          <w:p>
            <w:pPr>
              <w:pStyle w:val="Compact"/>
              <w:jc w:val="right"/>
            </w:pPr>
            <w:r>
              <w:t xml:space="preserve">5.5</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11</w:t>
            </w:r>
          </w:p>
        </w:tc>
        <w:tc>
          <w:tcPr/>
          <w:p>
            <w:pPr>
              <w:pStyle w:val="Compact"/>
              <w:jc w:val="left"/>
            </w:pPr>
            <w:r>
              <w:t xml:space="preserve">Feder: percentag, indic, hectar</w:t>
            </w:r>
          </w:p>
        </w:tc>
        <w:tc>
          <w:tcPr/>
          <w:p>
            <w:pPr>
              <w:pStyle w:val="Compact"/>
              <w:jc w:val="right"/>
            </w:pPr>
            <w:r>
              <w:t xml:space="preserve">4.3</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12</w:t>
            </w:r>
          </w:p>
        </w:tc>
        <w:tc>
          <w:tcPr/>
          <w:p>
            <w:pPr>
              <w:pStyle w:val="Compact"/>
              <w:jc w:val="left"/>
            </w:pPr>
            <w:r>
              <w:t xml:space="preserve">Green: enhanc, perform, activ</w:t>
            </w:r>
          </w:p>
        </w:tc>
        <w:tc>
          <w:tcPr/>
          <w:p>
            <w:pPr>
              <w:pStyle w:val="Compact"/>
              <w:jc w:val="right"/>
            </w:pPr>
            <w:r>
              <w:t xml:space="preserve">4.2</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3</w:t>
            </w:r>
          </w:p>
        </w:tc>
        <w:tc>
          <w:tcPr/>
          <w:p>
            <w:pPr>
              <w:pStyle w:val="Compact"/>
              <w:jc w:val="left"/>
            </w:pPr>
            <w:r>
              <w:t xml:space="preserve">Centuri: period, condit, valu</w:t>
            </w:r>
          </w:p>
        </w:tc>
        <w:tc>
          <w:tcPr/>
          <w:p>
            <w:pPr>
              <w:pStyle w:val="Compact"/>
              <w:jc w:val="right"/>
            </w:pPr>
            <w:r>
              <w:t xml:space="preserve">3.5</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8</w:t>
            </w:r>
          </w:p>
        </w:tc>
        <w:tc>
          <w:tcPr/>
          <w:p>
            <w:pPr>
              <w:pStyle w:val="Compact"/>
              <w:jc w:val="left"/>
            </w:pPr>
            <w:r>
              <w:t xml:space="preserve">Author: task, defens, ministri</w:t>
            </w:r>
          </w:p>
        </w:tc>
        <w:tc>
          <w:tcPr/>
          <w:p>
            <w:pPr>
              <w:pStyle w:val="Compact"/>
              <w:jc w:val="right"/>
            </w:pPr>
            <w:r>
              <w:t xml:space="preserve">3.5</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10</w:t>
            </w:r>
          </w:p>
        </w:tc>
        <w:tc>
          <w:tcPr/>
          <w:p>
            <w:pPr>
              <w:pStyle w:val="Compact"/>
              <w:jc w:val="left"/>
            </w:pPr>
            <w:r>
              <w:t xml:space="preserve">Strip: west, confid, ensembl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8.9</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15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2" name="Picture"/>
            <a:graphic>
              <a:graphicData uri="http://schemas.openxmlformats.org/drawingml/2006/picture">
                <pic:pic>
                  <pic:nvPicPr>
                    <pic:cNvPr descr="text/findings_files/figure-docx/topic_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topics—Centuri: period, condit, valu, Author: task, defens, ministri, Strip: west, confid, ensembl—collectively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4"/>
    <w:bookmarkStart w:id="48"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90.7%, indicating that the typical adaptation plan devotes the vast majority of its content to just three topics out of the 15 identified. This pattern holds with remarkable consistency across different country groupings. Low-income countries show a document-level dominance of 90.8%, while high-income countries register 91.8%—a difference of less than 0 despite vastly different resources and institutional capacities. The uniformity extends across regional groupings, with values ranging only from 51.7% to 81.3%,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6" name="Picture"/>
            <a:graphic>
              <a:graphicData uri="http://schemas.openxmlformats.org/drawingml/2006/picture">
                <pic:pic>
                  <pic:nvPicPr>
                    <pic:cNvPr descr="text/findings_files/figure-docx/dominance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31.9% and upper-middle income countries at 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lower dominance at 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8"/>
    <w:bookmarkStart w:id="52"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20.5%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0" name="Picture"/>
            <a:graphic>
              <a:graphicData uri="http://schemas.openxmlformats.org/drawingml/2006/picture">
                <pic:pic>
                  <pic:nvPicPr>
                    <pic:cNvPr descr="text/findings_files/figure-docx/variance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(20.5%) &gt; economic positioning (10.2%) &gt; geographic vulnerability (2.9%)—reveals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2"/>
    <w:bookmarkEnd w:id="53"/>
    <w:bookmarkStart w:id="57" w:name="sec-discussion"/>
    <w:p>
      <w:pPr>
        <w:pStyle w:val="Overskrift1"/>
      </w:pPr>
      <w:r>
        <w:t xml:space="preserve">7. Discussion</w:t>
      </w:r>
    </w:p>
    <w:p>
      <w:pPr>
        <w:pStyle w:val="Bloktekst"/>
      </w:pPr>
      <w:r>
        <w:t xml:space="preserve">The main findings indicate that climate adaptation’s main organizing principles are fundamentally non-climate related. I argue that the vulnerability/adaptation relation should be understood as an updated form of the underdevelopment/development 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regional institutional networks emerging as the primary explanatory factor for what variation does exist. This brings us closer to understanding how climate adaptation actually functions in the real world, rather than as just a part of the UNFCCC negotiations. The patterns—high discourse homogeneity regardless of climate vulnerabilities, regional clustering that transcends physical geography, and the dominance of financial and procedural concerns—demand theoretical explanation. How can planning documents ostensibly designed to address diverse local climate impacts show such remarkable sameness? Why do countries facing fundamentally different climate futures articulate nearly identical responses? What does it mean that institutional proximity matters more than environmental exposure in shaping adaptation discourse?</w:t>
      </w:r>
    </w:p>
    <w:p>
      <w:pPr>
        <w:pStyle w:val="Brdtekst"/>
      </w:pPr>
      <w:r>
        <w:t xml:space="preserve">This discussion argues that these patterns reveal climate adaptation functioning not as a technical response to environmental change but as a contemporary mechanism of colonial knowledge and power. Through systematic analysis of how adaptation discourse operates, I demonstrate that the vulnerability/adaptation nexus represents an updated version of the underdevelopment/development nexus that has structured North-South relations for decades. Just as development discourse constructed the Third World as lacking and requiring intervention, adaptation discourse constructs the Global South as vulnerable and requiring assistance—maintaining colonial relations through new vocabularies and institutional arrangements.</w:t>
      </w:r>
    </w:p>
    <w:p>
      <w:pPr>
        <w:pStyle w:val="Brdtekst"/>
      </w:pPr>
      <w:r>
        <w:t xml:space="preserve">The analysis proceeds through four interconnected arguments, each building on the empirical patterns identified through structural topic modeling. First, I examine how the remarkable sameness across NAPs constitutes what has been termed epistemicide—the systematic elimination of alternative ways of knowing and responding to environmental change</w:t>
      </w:r>
      <w:r>
        <w:t xml:space="preserve"> </w:t>
      </w:r>
      <w:r>
        <w:t xml:space="preserve">(Santos, 2016)</w:t>
      </w:r>
      <w:r>
        <w:t xml:space="preserve">. The dominance of financial mechanisms and technical procedures across all contexts reveals not diverse adaptation strategies but the violent imposition of a singular framework that renders other knowledge systems unspeakable. Second, I demonstrate how patterns of discourse convergence, particularly among low-income countries, reveal the active construction of climate vulnerability as a contemporary form of underdevelopment</w:t>
      </w:r>
      <w:r>
        <w:t xml:space="preserve"> </w:t>
      </w:r>
      <w:r>
        <w:t xml:space="preserve">(Escobar, 1995)</w:t>
      </w:r>
      <w:r>
        <w:t xml:space="preserve">. Countries must perform their vulnerability in specific ways to access resources, reinforcing dependencies rather than enabling autonomous responses to environmental change.</w:t>
      </w:r>
    </w:p>
    <w:p>
      <w:pPr>
        <w:pStyle w:val="Brdtekst"/>
      </w:pPr>
      <w:r>
        <w:t xml:space="preserve">Third, I analyze how adaptation planning operates as an anti-politics machine, systematically transforming political questions about justice, responsibility, and structural transformation into technical problems of assessment and implementation</w:t>
      </w:r>
      <w:r>
        <w:t xml:space="preserve"> </w:t>
      </w:r>
      <w:r>
        <w:t xml:space="preserve">(Ferguson, 1994)</w:t>
      </w:r>
      <w:r>
        <w:t xml:space="preserve">. The state-centric nature of adaptation planning combines with its technical character to evacuate political content, making it impossible to address the root causes of vulnerability within the adaptation framework. Finally, I explore what possibilities might exist beyond state-led adaptation, drawing on concepts of autonomy and pluriversal politics to imagine how communities might design their own transitions based on their own knowledge systems and values</w:t>
      </w:r>
      <w:r>
        <w:t xml:space="preserve"> </w:t>
      </w:r>
      <w:r>
        <w:t xml:space="preserve">(Escobar, 2018)</w:t>
      </w:r>
      <w:r>
        <w:t xml:space="preserve">. The variance patterns in the data, particularly among middle-income countries, suggest that even partial autonomy from international climate finance enables more diverse and potentially more appropriate approaches.</w:t>
      </w:r>
    </w:p>
    <w:p>
      <w:pPr>
        <w:pStyle w:val="Brdtekst"/>
      </w:pPr>
      <w:r>
        <w:t xml:space="preserve">Throughout this discussion, I work to connect the quantitative patterns revealed by topic modeling to their theoretical and political implications. The high dominance indices, the regional clustering, the absence of geographic differentiation—these are not merely statistical findings but windows into how power operates through climate governance. By rendering this Northern discourse legible through computational analysis, we can see how adaptation planning functions to maintain rather than transform the colonial relations that produce vulnerability in the first place. This is not a story of failed implementation or insufficient resources but of a system working precisely as designed—to manage Southern territories and populations according to Northern frameworks while foreclosing alternative futures.</w:t>
      </w:r>
    </w:p>
    <w:p>
      <w:pPr>
        <w:pStyle w:val="Brdtekst"/>
      </w:pPr>
      <w:r>
        <w:t xml:space="preserve">The stakes of this analysis extend beyond academic critique. If adaptation planning operates as epistemicide, if it constructs rather than responds to vulnerability, if it depoliticizes fundamental questions of justice—then current approaches to climate governance are not merely inadequate but actively harmful. They eliminate the knowledge systems and political possibilities that might enable genuine transformation while maintaining the fiction that technical adjustments can address what are fundamentally political problems. Understanding these dynamics is essential for those seeking to support communities facing climate impacts without reproducing colonial relations. The following sections develop each of these arguments in detail, working from the empirical findings toward their theoretical and practical implications.</w:t>
      </w:r>
    </w:p>
    <w:bookmarkStart w:id="54" w:name="X7390d1620907b8a5ee32dfb8c285493af99ba97"/>
    <w:p>
      <w:pPr>
        <w:pStyle w:val="Overskrift2"/>
      </w:pPr>
      <w:r>
        <w:t xml:space="preserve">7.1 The Geography of Sameness: Mapping Epistemicide</w:t>
      </w:r>
    </w:p>
    <w:p>
      <w:pPr>
        <w:pStyle w:val="FirstParagraph"/>
      </w:pPr>
      <w:r>
        <w:t xml:space="preserve">The most striking finding from the structural topic modeling is not the diversity of adaptation approaches but their fundamental sameness. Across 45 countries spanning radically different geographies, economies, and climate vulnerabilities, National Adaptation Plans converge on a remarkably narrow set of concerns: financial mechanisms, institutional procedures, monitoring frameworks, and technical assessments. This homogeneity becomes even more pronounced when examining regional clusters, where discourse centralization reaches levels that suggest not mere similarity but active reproduction of identical framings. What we observe is not adaptation to climate change but adaptation to the requirements of international climate finance—a profound narrowing of imaginative possibilities that demands theoretical explanation.</w:t>
      </w:r>
    </w:p>
    <w:p>
      <w:pPr>
        <w:pStyle w:val="Brdtekst"/>
      </w:pPr>
      <w:r>
        <w:t xml:space="preserve">This pattern can be understood through the concept of epistemicide—the destruction of knowledge systems that do not conform to dominant Western scientific and bureaucratic paradigms</w:t>
      </w:r>
      <w:r>
        <w:t xml:space="preserve"> </w:t>
      </w:r>
      <w:r>
        <w:t xml:space="preserve">(Santos, 2016)</w:t>
      </w:r>
      <w:r>
        <w:t xml:space="preserve">. In the context of climate adaptation, epistemicide operates not through direct suppression but through the more subtle violence of exclusion and non-recognition. The NAP process, with its standardized guidelines, technical requirements, and evaluation criteria, creates a discursive space where only certain forms of knowledge can be articulated. Traditional ecological knowledge, community-based practices, indigenous cosmologies, and local innovations—all of which have enabled human communities to navigate environmental variability for millennia—find no legitimate expression in documents dominated by vulnerability indices, cost-benefit analyses, and results-based management frameworks. This represents what critical scholars identify as the continuation of colonial violence through seemingly neutral technical processes</w:t>
      </w:r>
      <w:r>
        <w:t xml:space="preserve"> </w:t>
      </w:r>
      <w:r>
        <w:t xml:space="preserve">(Dunlap, 2018; Escobar, 2018)</w:t>
      </w:r>
      <w:r>
        <w:t xml:space="preserve">.</w:t>
      </w:r>
    </w:p>
    <w:p>
      <w:pPr>
        <w:pStyle w:val="Brdtekst"/>
      </w:pPr>
      <w:r>
        <w:t xml:space="preserve">The topic modeling results make this epistemicide quantitatively visible. When financial mechanisms and project management dominate the discourse across all countries, we witness the triumph of a particular way of knowing—one that frames climate adaptation as fundamentally a problem of resource allocation and technical implementation rather than social transformation or ecological relationship. The marginal presence of topics related to traditional knowledge or community practices (appearing in less than 3% of the corpus) reveals not what countries choose to exclude but what the NAP framework renders literally unspeakable. This echoes broader patterns in how Western knowledge systems establish themselves as universal while denying the validity of other ways of knowing</w:t>
      </w:r>
      <w:r>
        <w:t xml:space="preserve"> </w:t>
      </w:r>
      <w:r>
        <w:t xml:space="preserve">(Escobar, 2020; Mignolo, 2011)</w:t>
      </w:r>
      <w:r>
        <w:t xml:space="preserve">.</w:t>
      </w:r>
    </w:p>
    <w:p>
      <w:pPr>
        <w:pStyle w:val="Brdtekst"/>
      </w:pPr>
      <w:r>
        <w:t xml:space="preserve">The regional clustering patterns add another dimension to this analysis. That countries within regions show higher discourse similarity than countries facing similar climate impacts reveals how epistemicide operates through institutional networks. Regional development banks, technical assistance programs, and expert consultancies create networks of what development anthropologists term</w:t>
      </w:r>
      <w:r>
        <w:t xml:space="preserve"> </w:t>
      </w:r>
      <w:r>
        <w:t xml:space="preserve">“development brokers”</w:t>
      </w:r>
      <w:r>
        <w:t xml:space="preserve">—intermediaries who translate global frameworks into local contexts while fundamentally maintaining the underlying epistemological assumptions</w:t>
      </w:r>
      <w:r>
        <w:t xml:space="preserve"> </w:t>
      </w:r>
      <w:r>
        <w:t xml:space="preserve">(Lewis &amp; Mosse, 2006; Mosse, 2011)</w:t>
      </w:r>
      <w:r>
        <w:t xml:space="preserve">. These brokers do not simply facilitate knowledge transfer; they actively shape what counts as legitimate knowledge about adaptation. The same consultants working across multiple countries within a region create the patterns of convergence observed in our analysis, functioning as what critical scholars identify as carriers of</w:t>
      </w:r>
      <w:r>
        <w:t xml:space="preserve"> </w:t>
      </w:r>
      <w:r>
        <w:t xml:space="preserve">“expert”</w:t>
      </w:r>
      <w:r>
        <w:t xml:space="preserve"> </w:t>
      </w:r>
      <w:r>
        <w:t xml:space="preserve">knowledge that marginalizes local understandings</w:t>
      </w:r>
      <w:r>
        <w:t xml:space="preserve"> </w:t>
      </w:r>
      <w:r>
        <w:t xml:space="preserve">(Bierschenk et al., 2002; Brinks &amp; Donner, 2025)</w:t>
      </w:r>
      <w:r>
        <w:t xml:space="preserve">.</w:t>
      </w:r>
    </w:p>
    <w:p>
      <w:pPr>
        <w:pStyle w:val="Brdtekst"/>
      </w:pPr>
      <w:r>
        <w:t xml:space="preserve">The role of consultants in this process deserves deeper theoretical attention through the lens of what has been termed</w:t>
      </w:r>
      <w:r>
        <w:t xml:space="preserve"> </w:t>
      </w:r>
      <w:r>
        <w:t xml:space="preserve">“tools for conviviality”</w:t>
      </w:r>
      <w:r>
        <w:t xml:space="preserve"> </w:t>
      </w:r>
      <w:r>
        <w:t xml:space="preserve">(Illich, 2009)</w:t>
      </w:r>
      <w:r>
        <w:t xml:space="preserve">. In this framework, tools shape their users as much as users shape tools—creating dependencies and constraining possibilities even as they appear to enhance capabilities. The consultant is simultaneously a tool (employed by development institutions), a user of tools (frameworks, templates, assessment methodologies), and a producer of tools (standardized NAPs). This creates a recursive loop where the tools of adaptation planning—vulnerability indices, logical frameworks, results matrices—shape how consultants think, which shapes how countries must present their realities, which in turn reinforces the legitimacy of these same tools. The consultant arrives with a toolkit developed in Washington or Geneva, applies these tools across diverse contexts, and produces documents that confirm the validity of the original framework. Countries learn to see themselves through these tools, to articulate their needs in the language these tools recognize, and ultimately to reshape their own understanding of climate vulnerability to match what the tools can measure</w:t>
      </w:r>
      <w:r>
        <w:t xml:space="preserve"> </w:t>
      </w:r>
      <w:r>
        <w:t xml:space="preserve">(Illich, 2009)</w:t>
      </w:r>
      <w:r>
        <w:t xml:space="preserve">.</w:t>
      </w:r>
    </w:p>
    <w:p>
      <w:pPr>
        <w:pStyle w:val="Brdtekst"/>
      </w:pPr>
      <w:r>
        <w:t xml:space="preserve">The dominance of multilateral development banks in shaping adaptation discourse deserves particular attention. These institutions occupy a peculiar position—closer to Northern think tanks than Southern realities, yet positioned as intermediaries serving Southern needs. Their technical assistance programs, funding criteria, and knowledge products create powerful incentives for countries to frame adaptation in particular ways. This reflects what critics have long identified as the</w:t>
      </w:r>
      <w:r>
        <w:t xml:space="preserve"> </w:t>
      </w:r>
      <w:r>
        <w:t xml:space="preserve">“will to improve”</w:t>
      </w:r>
      <w:r>
        <w:t xml:space="preserve"> </w:t>
      </w:r>
      <w:r>
        <w:t xml:space="preserve">that characterizes development interventions—a desire to intervene that shapes both problems and solutions in ways that justify continued engagement</w:t>
      </w:r>
      <w:r>
        <w:t xml:space="preserve"> </w:t>
      </w:r>
      <w:r>
        <w:t xml:space="preserve">(Li, 2007)</w:t>
      </w:r>
      <w:r>
        <w:t xml:space="preserve">. The convergence we observe is not accidental but structured by these institutional relationships, echoing patterns identified in earlier critiques of how development creates dependencies rather than autonomy</w:t>
      </w:r>
      <w:r>
        <w:t xml:space="preserve"> </w:t>
      </w:r>
      <w:r>
        <w:t xml:space="preserve">(Escobar, 1995; Illich, 2009)</w:t>
      </w:r>
      <w:r>
        <w:t xml:space="preserve">.</w:t>
      </w:r>
    </w:p>
    <w:p>
      <w:pPr>
        <w:pStyle w:val="Brdtekst"/>
      </w:pPr>
      <w:r>
        <w:t xml:space="preserve">This process of epistemicide through adaptation planning is particularly insidious because it operates under the banner of helping vulnerable countries. Unlike earlier forms of colonial knowledge imposition, which at least could be recognized and resisted as foreign, the NAP process invites countries to participate in their own epistemological subordination. Countries must demonstrate they lack capacity (to secure technical assistance), adopt external frameworks (to access funding), and report in standardized formats (to maintain eligibility). This represents what scholars identify as a form of violence that operates through inclusion rather than exclusion—incorporating diverse contexts into a singular framework that eliminates their distinctiveness</w:t>
      </w:r>
      <w:r>
        <w:t xml:space="preserve"> </w:t>
      </w:r>
      <w:r>
        <w:t xml:space="preserve">(Dunlap, 2018; Whyte, 2018)</w:t>
      </w:r>
      <w:r>
        <w:t xml:space="preserve">.</w:t>
      </w:r>
    </w:p>
    <w:p>
      <w:pPr>
        <w:pStyle w:val="Brdtekst"/>
      </w:pPr>
      <w:r>
        <w:t xml:space="preserve">What makes this epistemicide through adaptation particularly effective is its technical character. By framing adaptation as a matter of proper assessment, planning, and implementation, the NAP process removes it from the realm of political contestation. This transformation—from the political to the technical—represents the operation of what critical development scholars have long identified as central to maintaining unequal power relations while appearing to address them</w:t>
      </w:r>
      <w:r>
        <w:t xml:space="preserve"> </w:t>
      </w:r>
      <w:r>
        <w:t xml:space="preserve">(Escobar, 2018; Ferguson, 1994)</w:t>
      </w:r>
      <w:r>
        <w:t xml:space="preserve">.</w:t>
      </w:r>
    </w:p>
    <w:bookmarkEnd w:id="54"/>
    <w:bookmarkStart w:id="55" w:name="Xf3e38c86d79bac18cd5664a2bddeb9be3fed494"/>
    <w:p>
      <w:pPr>
        <w:pStyle w:val="Overskrift2"/>
      </w:pPr>
      <w:r>
        <w:t xml:space="preserve">7.2 Vulnerability is the New Underdevelopment</w:t>
      </w:r>
    </w:p>
    <w:p>
      <w:pPr>
        <w:pStyle w:val="FirstParagraph"/>
      </w:pPr>
      <w:r>
        <w:t xml:space="preserve">The patterns of discourse convergence among low-income countries reveal a disturbing parallel to earlier development paradigms. Where development discourse constructed the</w:t>
      </w:r>
      <w:r>
        <w:t xml:space="preserve"> </w:t>
      </w:r>
      <w:r>
        <w:t xml:space="preserve">“Third World”</w:t>
      </w:r>
      <w:r>
        <w:t xml:space="preserve"> </w:t>
      </w:r>
      <w:r>
        <w:t xml:space="preserve">as lacking—lacking capital, lacking technology, lacking institutions—adaptation discourse constructs these same countries as vulnerable—vulnerable to floods, vulnerable to droughts, vulnerable to climate change</w:t>
      </w:r>
      <w:r>
        <w:t xml:space="preserve"> </w:t>
      </w:r>
      <w:r>
        <w:t xml:space="preserve">(Escobar, 1995)</w:t>
      </w:r>
      <w:r>
        <w:t xml:space="preserve">. This shift from</w:t>
      </w:r>
      <w:r>
        <w:t xml:space="preserve"> </w:t>
      </w:r>
      <w:r>
        <w:t xml:space="preserve">“underdeveloped”</w:t>
      </w:r>
      <w:r>
        <w:t xml:space="preserve"> </w:t>
      </w:r>
      <w:r>
        <w:t xml:space="preserve">to</w:t>
      </w:r>
      <w:r>
        <w:t xml:space="preserve"> </w:t>
      </w:r>
      <w:r>
        <w:t xml:space="preserve">“vulnerable”</w:t>
      </w:r>
      <w:r>
        <w:t xml:space="preserve"> </w:t>
      </w:r>
      <w:r>
        <w:t xml:space="preserve">maintains the same structural relationship: countries in need of external intervention, incapable of managing their own futures, requiring the technical expertise and financial resources of the developed world. The vulnerability/adaptation nexus thus emerges as the contemporary incarnation of the development/underdevelopment relationship that has structured North-South relations for decades.</w:t>
      </w:r>
    </w:p>
    <w:p>
      <w:pPr>
        <w:pStyle w:val="Brdtekst"/>
      </w:pPr>
      <w:r>
        <w:t xml:space="preserve">The topic modeling results provide empirical evidence for this constructed vulnerability. Low-income countries show the second-highest level of discourse centralization (0.980), converging overwhelmingly on topics related to finance, capacity building, and institutional frameworks. This convergence does not reflect shared climate vulnerabilities—the low-income category includes both small island states facing sea-level rise and landlocked countries confronting desertification. Instead, it reflects their shared position in the global political economy as recipients of climate finance. Their NAPs read less as sovereign responses to environmental change and more as grant applications to international donors, carefully crafted to demonstrate both need and competence in terms legible to funding institutions.</w:t>
      </w:r>
    </w:p>
    <w:p>
      <w:pPr>
        <w:pStyle w:val="Brdtekst"/>
      </w:pPr>
      <w:r>
        <w:t xml:space="preserve">This construction of vulnerability operates through what has been termed</w:t>
      </w:r>
      <w:r>
        <w:t xml:space="preserve"> </w:t>
      </w:r>
      <w:r>
        <w:t xml:space="preserve">“anticipatory ruination”</w:t>
      </w:r>
      <w:r>
        <w:t xml:space="preserve">—the rendering of certain places as already lost, thereby justifying radical interventions that might otherwise face resistance</w:t>
      </w:r>
      <w:r>
        <w:t xml:space="preserve"> </w:t>
      </w:r>
      <w:r>
        <w:t xml:space="preserve">(Paprocki, 2018)</w:t>
      </w:r>
      <w:r>
        <w:t xml:space="preserve">. In Bangladesh, this anticipatory ruination has justified the transformation of agricultural lands into shrimp farms, the displacement of rural communities, and the promotion of labor migration—all in the name of adaptation</w:t>
      </w:r>
      <w:r>
        <w:t xml:space="preserve"> </w:t>
      </w:r>
      <w:r>
        <w:t xml:space="preserve">(Paprocki, 2019)</w:t>
      </w:r>
      <w:r>
        <w:t xml:space="preserve">. The NAPs in our corpus show similar patterns: countries are encouraged to imagine themselves as future victims of climate change, to inventory their vulnerabilities, and to propose interventions that align with existing development paradigms. This process of imagining dystopian futures creates what scholars identify as a</w:t>
      </w:r>
      <w:r>
        <w:t xml:space="preserve"> </w:t>
      </w:r>
      <w:r>
        <w:t xml:space="preserve">“climate of fear”</w:t>
      </w:r>
      <w:r>
        <w:t xml:space="preserve"> </w:t>
      </w:r>
      <w:r>
        <w:t xml:space="preserve">that enables particular forms of intervention while foreclosing alternatives</w:t>
      </w:r>
      <w:r>
        <w:t xml:space="preserve"> </w:t>
      </w:r>
      <w:r>
        <w:t xml:space="preserve">(Hulme, 2008)</w:t>
      </w:r>
      <w:r>
        <w:t xml:space="preserve">. The future is foreclosed before it arrives, with adaptation pathways predetermined by institutional templates rather than community aspirations.</w:t>
      </w:r>
    </w:p>
    <w:p>
      <w:pPr>
        <w:pStyle w:val="Brdtekst"/>
      </w:pPr>
      <w:r>
        <w:t xml:space="preserve">The use of climate change as what researchers term a</w:t>
      </w:r>
      <w:r>
        <w:t xml:space="preserve"> </w:t>
      </w:r>
      <w:r>
        <w:t xml:space="preserve">“spice”</w:t>
      </w:r>
      <w:r>
        <w:t xml:space="preserve"> </w:t>
      </w:r>
      <w:r>
        <w:t xml:space="preserve">for conventional development projects reveals how vulnerability construction serves multiple purposes</w:t>
      </w:r>
      <w:r>
        <w:t xml:space="preserve"> </w:t>
      </w:r>
      <w:r>
        <w:t xml:space="preserve">(Dewan, 2022)</w:t>
      </w:r>
      <w:r>
        <w:t xml:space="preserve">. In coastal Bangladesh, the same infrastructure projects that failed under development rationales—embankments, polders, flood controls—are repackaged as climate adaptation despite evidence they exacerbate the problems they claim to solve</w:t>
      </w:r>
      <w:r>
        <w:t xml:space="preserve"> </w:t>
      </w:r>
      <w:r>
        <w:t xml:space="preserve">(Dewan, 2021)</w:t>
      </w:r>
      <w:r>
        <w:t xml:space="preserve">. The NAPs show similar patterns of recycling, where conventional sectoral interventions in agriculture, water, and infrastructure are reframed as adaptation measures. Climate vulnerability thus becomes a new justification for old interventions, a pattern that extends beyond specific countries to encompass entire regions constructed as sacrifice zones for continued extraction</w:t>
      </w:r>
      <w:r>
        <w:t xml:space="preserve"> </w:t>
      </w:r>
      <w:r>
        <w:t xml:space="preserve">(Tornel, 2024)</w:t>
      </w:r>
      <w:r>
        <w:t xml:space="preserve">.</w:t>
      </w:r>
    </w:p>
    <w:p>
      <w:pPr>
        <w:pStyle w:val="Brdtekst"/>
      </w:pPr>
      <w:r>
        <w:t xml:space="preserve">The financial and procedural focus that dominates low-income country NAPs reveals how vulnerability construction serves institutional needs. These countries must perform their vulnerability in specific ways—through vulnerability assessments, risk matrices, and adaptation prioritizations—to access climate finance. Yet this performance requires a particular kind of capacity: the ability to produce documents legible to international institutions, to navigate complex funding mechanisms, and to report in standardized formats. Countries must simultaneously demonstrate vulnerability (to justify funding) and capacity (to manage funding), a contradictory position that reinforces their subordinate status in the climate finance architecture. This paradox reflects broader patterns in how environmental interventions create new forms of capture and control</w:t>
      </w:r>
      <w:r>
        <w:t xml:space="preserve"> </w:t>
      </w:r>
      <w:r>
        <w:t xml:space="preserve">(Cons, 2021, 2025)</w:t>
      </w:r>
      <w:r>
        <w:t xml:space="preserve">.</w:t>
      </w:r>
    </w:p>
    <w:p>
      <w:pPr>
        <w:pStyle w:val="Brdtekst"/>
      </w:pPr>
      <w:r>
        <w:t xml:space="preserve">The middle-income countries in our analysis present an intriguing counterpoint. They show the lowest levels of discourse centralization (lower-middle at 0.941, upper-middle at 0.958), suggesting greater autonomy in framing adaptation. This variance might reflect their intermediate position—less dependent on climate finance than low-income countries, yet not fully integrated into Northern knowledge networks like high-income countries. Their NAPs show more diverse topics, including attention to local contexts and specific sectoral concerns that escape the homogenizing pressure of donor requirements. This pattern suggests that partial autonomy from the climate finance system enables more diverse and potentially more appropriate adaptation framings, echoing findings about how frontier spaces sometimes escape full capture by dominant systems</w:t>
      </w:r>
      <w:r>
        <w:t xml:space="preserve"> </w:t>
      </w:r>
      <w:r>
        <w:t xml:space="preserve">(Eilenberg, 2015)</w:t>
      </w:r>
      <w:r>
        <w:t xml:space="preserve">.</w:t>
      </w:r>
    </w:p>
    <w:p>
      <w:pPr>
        <w:pStyle w:val="Brdtekst"/>
      </w:pPr>
      <w:r>
        <w:t xml:space="preserve">The construction of vulnerability through adaptation discourse has material consequences beyond the discursive realm. When vulnerability is framed primarily in terms of institutional capacity and financial resources, the solutions inevitably focus on capacity building and resource transfer rather than addressing structural causes of vulnerability. The NAPs show little attention to questions of land rights, resource extraction, unfair trade relationships, or other political-economic factors that shape vulnerability. This reflects what critics identify as</w:t>
      </w:r>
      <w:r>
        <w:t xml:space="preserve"> </w:t>
      </w:r>
      <w:r>
        <w:t xml:space="preserve">“climate reductionism”</w:t>
      </w:r>
      <w:r>
        <w:t xml:space="preserve">—the tendency to attribute all social and environmental problems to climate change while ignoring their deeper structural causes</w:t>
      </w:r>
      <w:r>
        <w:t xml:space="preserve"> </w:t>
      </w:r>
      <w:r>
        <w:t xml:space="preserve">(Hulme, 2011, 2023)</w:t>
      </w:r>
      <w:r>
        <w:t xml:space="preserve">. Vulnerability appears as a technical condition requiring technical solutions—seawalls for coastal areas, drought-resistant seeds for agricultural regions, early warning systems for disaster-prone zones. These interventions may provide temporary relief but do not challenge the systems that produce vulnerability in the first place.</w:t>
      </w:r>
    </w:p>
    <w:p>
      <w:pPr>
        <w:pStyle w:val="Brdtekst"/>
      </w:pPr>
      <w:r>
        <w:t xml:space="preserve">This technical framing of vulnerability serves multiple functions in the contemporary world order. For donor countries, it justifies continued intervention in the South while avoiding questions about their own contribution to climate change or structural inequality. For recipient country governments, it provides access to resources and legitimacy as responsible managers of adaptation. For the constellation of consultants, development organizations, and financial institutions that mediate these relationships, it ensures continued relevance and funding. Only for the communities whose vulnerability is ostensibly being addressed does this framing offer little—their knowledge remains marginalized, their agency constrained, and their futures determined by distant institutions. This represents what scholars identify as development-induced displacement masquerading as climate adaptation</w:t>
      </w:r>
      <w:r>
        <w:t xml:space="preserve"> </w:t>
      </w:r>
      <w:r>
        <w:t xml:space="preserve">(Dewan, 2021; Paprocki, 2019)</w:t>
      </w:r>
      <w:r>
        <w:t xml:space="preserve">.</w:t>
      </w:r>
    </w:p>
    <w:p>
      <w:pPr>
        <w:pStyle w:val="Brdtekst"/>
      </w:pPr>
      <w:r>
        <w:t xml:space="preserve">The parallel between vulnerability construction in adaptation and underdevelopment in earlier paradigms extends to the solutions proposed. Just as development promised modernization through capital investment and technical assistance, adaptation promises resilience through climate finance and capacity building. Both paradigms assume that Southern countries lack something fundamental that Northern countries can provide. Both create dependencies rather than autonomy. Both transform diverse local realities into standardized problems amenable to standardized solutions. The persistence of these patterns across different issue areas and historical periods suggests deep structural continuities in North-South relations that surface-level policy changes cannot address. The shift from development to adaptation represents not a break with colonial relations but their continuation through new vocabularies and institutional arrangements</w:t>
      </w:r>
      <w:r>
        <w:t xml:space="preserve"> </w:t>
      </w:r>
      <w:r>
        <w:t xml:space="preserve">(Escobar, 1995, 2018)</w:t>
      </w:r>
      <w:r>
        <w:t xml:space="preserve">.</w:t>
      </w:r>
      <w:r>
        <w:t xml:space="preserve"> </w:t>
      </w:r>
      <w:r>
        <w:t xml:space="preserve">## The Anti-Politics Machine in Climate Governance</w:t>
      </w:r>
    </w:p>
    <w:p>
      <w:pPr>
        <w:pStyle w:val="Brdtekst"/>
      </w:pPr>
      <w:r>
        <w:t xml:space="preserve">The technical character of adaptation discourse exemplifies the operation of what has been termed the</w:t>
      </w:r>
      <w:r>
        <w:t xml:space="preserve"> </w:t>
      </w:r>
      <w:r>
        <w:t xml:space="preserve">“anti-politics machine”</w:t>
      </w:r>
      <w:r>
        <w:t xml:space="preserve">—the process by which fundamentally political questions are transformed into technical problems requiring bureaucratic solutions</w:t>
      </w:r>
      <w:r>
        <w:t xml:space="preserve"> </w:t>
      </w:r>
      <w:r>
        <w:t xml:space="preserve">(Ferguson, 1994)</w:t>
      </w:r>
      <w:r>
        <w:t xml:space="preserve">. Climate change adaptation involves profound political choices: whose knowledge counts, which communities receive protection, what futures are possible, how resources are distributed, and who bears responsibility for climate impacts. Yet the NAPs in our corpus systematically evacuate these political dimensions, replacing them with technical assessments, institutional procedures, and managerial frameworks. This depoliticization is not accidental but serves specific functions in maintaining existing power relations while appearing to address climate vulnerability.</w:t>
      </w:r>
    </w:p>
    <w:p>
      <w:pPr>
        <w:pStyle w:val="Brdtekst"/>
      </w:pPr>
      <w:r>
        <w:t xml:space="preserve">The dominance of procedural and technical topics across all NAPs—monitoring frameworks, institutional arrangements, assessment methodologies—reveals how adaptation governance operates to render political questions technical. When countries must express their adaptation needs through logical frameworks, results-based management systems, and standardized indicators, the space for political contestation shrinks dramatically. Questions about why certain communities are vulnerable, how colonial histories shape present exposures, or whether proposed adaptations might exacerbate inequalities cannot be articulated within these technical formats. This reflects what scholars identify as the systematic depoliticization of environmental governance, where technical solutions obscure the power relations that produce environmental problems</w:t>
      </w:r>
      <w:r>
        <w:t xml:space="preserve"> </w:t>
      </w:r>
      <w:r>
        <w:t xml:space="preserve">(Li, 2007; Nightingale et al., 2020)</w:t>
      </w:r>
      <w:r>
        <w:t xml:space="preserve">.</w:t>
      </w:r>
    </w:p>
    <w:p>
      <w:pPr>
        <w:pStyle w:val="Brdtekst"/>
      </w:pPr>
      <w:r>
        <w:t xml:space="preserve">The state-centric nature of the NAP process intensifies this depoliticization. By positioning national governments as the primary agents of adaptation planning, the UNFCCC framework privileges certain actors and scales while marginalizing others. States become the interlocutors for international finance, the arbiters of adaptation priorities, and the implementing agencies for interventions. This state-centricity serves multiple depoliticizing functions: it legitimizes existing governance structures, channels resources through established bureaucracies, and frames adaptation as a matter of proper administration rather than political transformation. Yet states themselves are often implicated in producing the vulnerabilities that adaptation claims to address—through forced displacement, resource extraction, or development policies that prioritize economic growth over community well-being</w:t>
      </w:r>
      <w:r>
        <w:t xml:space="preserve"> </w:t>
      </w:r>
      <w:r>
        <w:t xml:space="preserve">(Cons &amp; Eilenberg, 2019; Eilenberg, 2022)</w:t>
      </w:r>
      <w:r>
        <w:t xml:space="preserve">.</w:t>
      </w:r>
    </w:p>
    <w:p>
      <w:pPr>
        <w:pStyle w:val="Brdtekst"/>
      </w:pPr>
      <w:r>
        <w:t xml:space="preserve">The empirical finding that geographic vulnerability explains almost no variance in adaptation discourse (only 1.8%) while regional institutional factors dominate reveals the depth of this depoliticization. If adaptation planning truly responded to climate impacts, we would expect countries facing similar physical challenges to develop similar approaches. Instead, the dominance of regional patterns suggests that institutional templates and bureaucratic networks shape adaptation discourse far more than actual climate vulnerabilities. This represents what critical scholars identify as</w:t>
      </w:r>
      <w:r>
        <w:t xml:space="preserve"> </w:t>
      </w:r>
      <w:r>
        <w:t xml:space="preserve">“seeing like a state”</w:t>
      </w:r>
      <w:r>
        <w:t xml:space="preserve">—the reduction of complex socio-ecological realities to simplified categories amenable to bureaucratic intervention</w:t>
      </w:r>
      <w:r>
        <w:t xml:space="preserve"> </w:t>
      </w:r>
      <w:r>
        <w:t xml:space="preserve">(Scott, 1998)</w:t>
      </w:r>
      <w:r>
        <w:t xml:space="preserve">. The NAPs make countries legible to international climate finance institutions but in doing so obscure the messy realities of how communities actually experience and respond to environmental change.</w:t>
      </w:r>
    </w:p>
    <w:p>
      <w:pPr>
        <w:pStyle w:val="Brdtekst"/>
      </w:pPr>
      <w:r>
        <w:t xml:space="preserve">The transformation of climate vulnerability into technical problems creates what scholars term</w:t>
      </w:r>
      <w:r>
        <w:t xml:space="preserve"> </w:t>
      </w:r>
      <w:r>
        <w:t xml:space="preserve">“rendering technical”</w:t>
      </w:r>
      <w:r>
        <w:t xml:space="preserve">—a process that defines problems and solutions in ways that align with available tools and institutional capacities</w:t>
      </w:r>
      <w:r>
        <w:t xml:space="preserve"> </w:t>
      </w:r>
      <w:r>
        <w:t xml:space="preserve">(Li, 2007)</w:t>
      </w:r>
      <w:r>
        <w:t xml:space="preserve">. Our topic modeling reveals this process quantitatively: the prevalence of topics related to data collection, modeling, assessment tools, and monitoring systems shows how adaptation planning privileges what can be measured, modeled, and managed. Complex questions about justice, responsibility, and alternative futures are reduced to indicators, targets, and deliverables. This technical rendering serves institutional needs—donors require measurable results, implementing agencies need clear procedures, and governments want demonstrable achievements—but may have little relevance to how communities experience climate impacts or envision adaptation.</w:t>
      </w:r>
    </w:p>
    <w:p>
      <w:pPr>
        <w:pStyle w:val="Brdtekst"/>
      </w:pPr>
      <w:r>
        <w:t xml:space="preserve">The focus on vulnerability assessments and risk modeling exemplifies this anti-political operation. These tools appear as neutral, scientific approaches to understanding climate impacts, yet they embed particular assumptions about what constitutes vulnerability, whose knowledge counts in assessing it, and what kinds of interventions are appropriate. Vulnerability indices typically privilege quantifiable physical exposures and economic assets while marginalizing social relationships, cultural values, and political factors that shape how communities experience and respond to change. This represents what critics identify as the</w:t>
      </w:r>
      <w:r>
        <w:t xml:space="preserve"> </w:t>
      </w:r>
      <w:r>
        <w:t xml:space="preserve">“scientization”</w:t>
      </w:r>
      <w:r>
        <w:t xml:space="preserve"> </w:t>
      </w:r>
      <w:r>
        <w:t xml:space="preserve">of inherently political questions, where model outputs and expert assessments substitute for democratic deliberation about values, priorities, and futures</w:t>
      </w:r>
      <w:r>
        <w:t xml:space="preserve"> </w:t>
      </w:r>
      <w:r>
        <w:t xml:space="preserve">(Hulme, 2011; Nightingale et al., 2020)</w:t>
      </w:r>
      <w:r>
        <w:t xml:space="preserve">.</w:t>
      </w:r>
    </w:p>
    <w:p>
      <w:pPr>
        <w:pStyle w:val="Brdtekst"/>
      </w:pPr>
      <w:r>
        <w:t xml:space="preserve">The procedural focus that dominates adaptation discourse—with extensive attention to institutional arrangements, coordination mechanisms, and governance frameworks—further depoliticizes adaptation by suggesting that better administration can solve what are fundamentally political problems. If communities are vulnerable because of land dispossession, the solution is not better coordination between ministries. If fishing villages face increased storm exposure because of mangrove destruction for shrimp farms, the answer is not improved early warning systems. Yet the NAPs consistently frame adaptation challenges as matters of institutional capacity, inter-agency coordination, and information management. This reflects broader patterns in how international development depoliticizes poverty and inequality by focusing on technical and institutional solutions</w:t>
      </w:r>
      <w:r>
        <w:t xml:space="preserve"> </w:t>
      </w:r>
      <w:r>
        <w:t xml:space="preserve">(Escobar, 1995; Ferguson, 1994)</w:t>
      </w:r>
      <w:r>
        <w:t xml:space="preserve">.</w:t>
      </w:r>
    </w:p>
    <w:p>
      <w:pPr>
        <w:pStyle w:val="Brdtekst"/>
      </w:pPr>
      <w:r>
        <w:t xml:space="preserve">The absence of certain topics in the NAPs is as revealing as what appears. Our analysis shows minimal attention to issues of land rights, resource extraction, trade relationships, debt, or other structural factors that shape vulnerability. Historical responsibility for climate change appears nowhere in the dominant topics. Questions of reparations, compensation, or fundamental economic restructuring—all central to climate justice movements—find no expression in these technical documents. This absence is not oversight but structured silencing, where the format and requirements of adaptation planning systematically exclude political critique. As scholars note, such systematic exclusions reveal how states and international institutions actively</w:t>
      </w:r>
      <w:r>
        <w:t xml:space="preserve"> </w:t>
      </w:r>
      <w:r>
        <w:t xml:space="preserve">“unknow”</w:t>
      </w:r>
      <w:r>
        <w:t xml:space="preserve"> </w:t>
      </w:r>
      <w:r>
        <w:t xml:space="preserve">politically inconvenient realities</w:t>
      </w:r>
      <w:r>
        <w:t xml:space="preserve"> </w:t>
      </w:r>
      <w:r>
        <w:t xml:space="preserve">(Figueroa-Helland &amp; Borg, 2014; Whyte, 2020)</w:t>
      </w:r>
      <w:r>
        <w:t xml:space="preserve">.</w:t>
      </w:r>
    </w:p>
    <w:p>
      <w:pPr>
        <w:pStyle w:val="Brdtekst"/>
      </w:pPr>
      <w:r>
        <w:t xml:space="preserve">The anti-politics machine of adaptation serves multiple constituencies even as it fails those most vulnerable to climate impacts. For donor countries, it transforms moral and political obligations into voluntary technical assistance, avoiding questions about historical emissions or ongoing extraction. For international institutions, it creates a manageable problem space amenable to existing tools and procedures. For national governments, it provides resources and legitimacy while avoiding challenges to existing power structures. For the adaptation industry—consultants, NGOs, research institutions—it ensures continued relevance and funding. This alignment of interests helps explain the persistence of depoliticized adaptation despite mounting evidence of its inadequacy</w:t>
      </w:r>
      <w:r>
        <w:t xml:space="preserve"> </w:t>
      </w:r>
      <w:r>
        <w:t xml:space="preserve">(Eriksen et al., 2021; Scoville-Simonds et al., 2020)</w:t>
      </w:r>
      <w:r>
        <w:t xml:space="preserve">.</w:t>
      </w:r>
    </w:p>
    <w:p>
      <w:pPr>
        <w:pStyle w:val="Brdtekst"/>
      </w:pPr>
      <w:r>
        <w:t xml:space="preserve">The operation of adaptation as an anti-politics machine connects directly to our earlier analysis of epistemicide and vulnerability construction. By rendering political questions technical, adaptation planning eliminates space for alternative knowledge systems that might frame problems differently. By constructing vulnerability as a technical condition requiring technical solutions, it forecloses political mobilization around structural causes. The three processes work together to maintain existing power relations while appearing to address climate impacts. This brings us to the crucial question: if state-led adaptation planning operates as an anti-politics machine that forecloses alternative futures, what possibilities exist beyond this framework?</w:t>
      </w:r>
    </w:p>
    <w:bookmarkEnd w:id="55"/>
    <w:bookmarkStart w:id="56" w:name="Xc5bc01e0bf749a3a74252a70f34df45c4ed9b59"/>
    <w:p>
      <w:pPr>
        <w:pStyle w:val="Overskrift2"/>
      </w:pPr>
      <w:r>
        <w:t xml:space="preserve">7.3 Beyond State Adaptation: Pluriversal Possibilities</w:t>
      </w:r>
    </w:p>
    <w:p>
      <w:pPr>
        <w:pStyle w:val="FirstParagraph"/>
      </w:pPr>
      <w:r>
        <w:t xml:space="preserve">If adaptation planning operates as a mechanism of epistemicide, vulnerability construction, and depoliticization, what alternatives might exist? The variance patterns in our data—particularly the greater discourse diversity among middle-income countries—suggest that partial autonomy from international climate finance enables more diverse approaches. This empirical finding aligns with theoretical work on pluriversal politics that imagines worlds beyond the singular world of modernity, development, and now adaptation</w:t>
      </w:r>
      <w:r>
        <w:t xml:space="preserve"> </w:t>
      </w:r>
      <w:r>
        <w:t xml:space="preserve">(Escobar, 2018, 2020)</w:t>
      </w:r>
      <w:r>
        <w:t xml:space="preserve">. Rather than seeking better adaptation within existing frameworks, these approaches ask: what if communities designed their own transitions based on their own ontologies, epistemologies, and aspirations?</w:t>
      </w:r>
    </w:p>
    <w:p>
      <w:pPr>
        <w:pStyle w:val="Brdtekst"/>
      </w:pPr>
      <w:r>
        <w:t xml:space="preserve">The concept of autonomy provides a crucial entry point for reimagining adaptation beyond the state</w:t>
      </w:r>
      <w:r>
        <w:t xml:space="preserve"> </w:t>
      </w:r>
      <w:r>
        <w:t xml:space="preserve">(Escobar, 2018)</w:t>
      </w:r>
      <w:r>
        <w:t xml:space="preserve">. Autonomy here does not mean isolation or pure self-sufficiency but rather the capacity of communities to determine their own paths based on their own knowledge systems and values. The Zapatista concept of</w:t>
      </w:r>
      <w:r>
        <w:t xml:space="preserve"> </w:t>
      </w:r>
      <w:r>
        <w:t xml:space="preserve">“mandar obedeciendo”</w:t>
      </w:r>
      <w:r>
        <w:t xml:space="preserve"> </w:t>
      </w:r>
      <w:r>
        <w:t xml:space="preserve">(governing by obeying) exemplifies this approach—leadership that responds to community needs rather than imposing external frameworks</w:t>
      </w:r>
      <w:r>
        <w:t xml:space="preserve"> </w:t>
      </w:r>
      <w:r>
        <w:t xml:space="preserve">(Escobar, 2020)</w:t>
      </w:r>
      <w:r>
        <w:t xml:space="preserve">. In the context of climate adaptation, autonomy would mean communities identifying their own vulnerabilities (which might not align with technical assessments), developing their own responses (which might not fit donor categories), and evaluating success by their own criteria (which might not translate into indicators).</w:t>
      </w:r>
    </w:p>
    <w:p>
      <w:pPr>
        <w:pStyle w:val="Brdtekst"/>
      </w:pPr>
      <w:r>
        <w:t xml:space="preserve">The middle-income variance in our data offers tantalizing glimpses of what partial autonomy enables. These countries, less dependent on climate finance and technical assistance, show greater diversity in their adaptation framings. They incorporate more place-specific concerns, sectoral particularities, and diverse knowledge sources. While still operating within the NAP framework, they demonstrate that even limited autonomy from financial dependencies creates space for more contextually appropriate approaches. This suggests that the homogenization we observe among low-income countries is not inevitable but produced by specific institutional arrangements that could be otherwise</w:t>
      </w:r>
      <w:r>
        <w:t xml:space="preserve"> </w:t>
      </w:r>
      <w:r>
        <w:t xml:space="preserve">(Demaria et al., 2023; Escobar, 2021)</w:t>
      </w:r>
      <w:r>
        <w:t xml:space="preserve">.</w:t>
      </w:r>
    </w:p>
    <w:p>
      <w:pPr>
        <w:pStyle w:val="Brdtekst"/>
      </w:pPr>
      <w:r>
        <w:t xml:space="preserve">Indigenous movements across the globe offer concrete examples of adaptation beyond state frameworks that our methodology cannot capture but that point toward possibilities</w:t>
      </w:r>
      <w:r>
        <w:t xml:space="preserve"> </w:t>
      </w:r>
      <w:r>
        <w:t xml:space="preserve">(Corntassel, 2021)</w:t>
      </w:r>
      <w:r>
        <w:t xml:space="preserve">. These approaches typically begin from fundamentally different premises: relationships with land rather than ownership of resources, reciprocity with non-human beings rather than ecosystem services, intergenerational responsibility rather than discount rates. When indigenous communities in the Americas speak of climate change, they often frame it as symptomatic of deeper relational failures that require healing relationships rather than technical fixes</w:t>
      </w:r>
      <w:r>
        <w:t xml:space="preserve"> </w:t>
      </w:r>
      <w:r>
        <w:t xml:space="preserve">(Whyte, 2018, 2020)</w:t>
      </w:r>
      <w:r>
        <w:t xml:space="preserve">. Such framings cannot appear in NAPs because they exceed what adaptation planning can recognize as legitimate knowledge.</w:t>
      </w:r>
    </w:p>
    <w:p>
      <w:pPr>
        <w:pStyle w:val="Brdtekst"/>
      </w:pPr>
      <w:r>
        <w:t xml:space="preserve">The call for decolonization in climate governance goes beyond incorporating indigenous knowledge into existing frameworks—a move that often serves to further marginalize and extract from indigenous communities</w:t>
      </w:r>
      <w:r>
        <w:t xml:space="preserve"> </w:t>
      </w:r>
      <w:r>
        <w:t xml:space="preserve">(Tuck &amp; Yang, 2012)</w:t>
      </w:r>
      <w:r>
        <w:t xml:space="preserve">. Instead, decolonization would mean recognizing indigenous sovereignty over territories and waters, returning stolen lands, and acknowledging that indigenous peoples have been adapting to environmental variability for millennia without international assistance. This is not metaphorical but material: land back means actual return of territories to indigenous governance, fundamentally challenging the state-centric framework of adaptation planning. Such approaches recognize that for many communities, the state itself is a source of vulnerability rather than adaptation</w:t>
      </w:r>
      <w:r>
        <w:t xml:space="preserve"> </w:t>
      </w:r>
      <w:r>
        <w:t xml:space="preserve">(Deranger et al., 2022)</w:t>
      </w:r>
      <w:r>
        <w:t xml:space="preserve">.</w:t>
      </w:r>
    </w:p>
    <w:p>
      <w:pPr>
        <w:pStyle w:val="Brdtekst"/>
      </w:pPr>
      <w:r>
        <w:t xml:space="preserve">The pluriverse—a world where many worlds fit—offers a framework for thinking beyond the singular world of adaptation planning</w:t>
      </w:r>
      <w:r>
        <w:t xml:space="preserve"> </w:t>
      </w:r>
      <w:r>
        <w:t xml:space="preserve">(Escobar, 2018; Reiter, 2018)</w:t>
      </w:r>
      <w:r>
        <w:t xml:space="preserve">. This is not relativism but recognition that different peoples inhabit genuinely different worlds with different relationships to what the West calls</w:t>
      </w:r>
      <w:r>
        <w:t xml:space="preserve"> </w:t>
      </w:r>
      <w:r>
        <w:t xml:space="preserve">“nature”</w:t>
      </w:r>
      <w:r>
        <w:t xml:space="preserve"> </w:t>
      </w:r>
      <w:r>
        <w:t xml:space="preserve">and</w:t>
      </w:r>
      <w:r>
        <w:t xml:space="preserve"> </w:t>
      </w:r>
      <w:r>
        <w:t xml:space="preserve">“climate.”</w:t>
      </w:r>
      <w:r>
        <w:t xml:space="preserve"> </w:t>
      </w:r>
      <w:r>
        <w:t xml:space="preserve">The Andean concept of</w:t>
      </w:r>
      <w:r>
        <w:t xml:space="preserve"> </w:t>
      </w:r>
      <w:r>
        <w:t xml:space="preserve">“buen vivir,”</w:t>
      </w:r>
      <w:r>
        <w:t xml:space="preserve"> </w:t>
      </w:r>
      <w:r>
        <w:t xml:space="preserve">the African philosophy of</w:t>
      </w:r>
      <w:r>
        <w:t xml:space="preserve"> </w:t>
      </w:r>
      <w:r>
        <w:t xml:space="preserve">“ubuntu,”</w:t>
      </w:r>
      <w:r>
        <w:t xml:space="preserve"> </w:t>
      </w:r>
      <w:r>
        <w:t xml:space="preserve">and countless other non-Western ontologies offer different starting points for understanding human-environment relationships that might generate entirely different approaches to environmental change</w:t>
      </w:r>
      <w:r>
        <w:t xml:space="preserve"> </w:t>
      </w:r>
      <w:r>
        <w:t xml:space="preserve">(Demaria et al., 2023)</w:t>
      </w:r>
      <w:r>
        <w:t xml:space="preserve">. These are not alternative</w:t>
      </w:r>
      <w:r>
        <w:t xml:space="preserve"> </w:t>
      </w:r>
      <w:r>
        <w:t xml:space="preserve">“adaptations”</w:t>
      </w:r>
      <w:r>
        <w:t xml:space="preserve"> </w:t>
      </w:r>
      <w:r>
        <w:t xml:space="preserve">but alternative worlds where the adaptation/vulnerability framing might not even make sense.</w:t>
      </w:r>
    </w:p>
    <w:p>
      <w:pPr>
        <w:pStyle w:val="Brdtekst"/>
      </w:pPr>
      <w:r>
        <w:t xml:space="preserve">The concept of</w:t>
      </w:r>
      <w:r>
        <w:t xml:space="preserve"> </w:t>
      </w:r>
      <w:r>
        <w:t xml:space="preserve">“provincializing Europe”</w:t>
      </w:r>
      <w:r>
        <w:t xml:space="preserve"> </w:t>
      </w:r>
      <w:r>
        <w:t xml:space="preserve">helps understand what moving beyond state adaptation might entail</w:t>
      </w:r>
      <w:r>
        <w:t xml:space="preserve"> </w:t>
      </w:r>
      <w:r>
        <w:t xml:space="preserve">(Chakrabarty, 2009)</w:t>
      </w:r>
      <w:r>
        <w:t xml:space="preserve">. Rather than accepting European-derived categories (including the state, development, and adaptation) as universal, this approach reveals them as particular, historical products that achieved global dominance through colonial violence. Provincializing adaptation would mean recognizing it as one possible response to environmental change emerging from specific historical and institutional contexts, not a universal framework that all must adopt. This opens space for other histories, knowledge systems, and futures that have been suppressed by the universalizing tendencies of Western modernity</w:t>
      </w:r>
      <w:r>
        <w:t xml:space="preserve"> </w:t>
      </w:r>
      <w:r>
        <w:t xml:space="preserve">(Mignolo, 2011; Quijano &amp; Ennis, 2000)</w:t>
      </w:r>
      <w:r>
        <w:t xml:space="preserve">.</w:t>
      </w:r>
    </w:p>
    <w:p>
      <w:pPr>
        <w:pStyle w:val="Brdtekst"/>
      </w:pPr>
      <w:r>
        <w:t xml:space="preserve">The practical implications of moving beyond state adaptation are profound and challenging. It would mean redirecting climate finance from state bureaucracies to autonomous community organizations. It would mean recognizing knowledge systems that international institutions cannot easily quantify or control. It would mean accepting outcomes that do not fit into logical frameworks or results matrices. Most fundamentally, it would mean Northern countries addressing their own emissions and consumption rather than reshaping Southern societies through adaptation planning. As critics note, perhaps the most effective adaptation support would be rapid industrial decarbonization in the North, eliminating the problem at its source rather than managing its symptoms in the South</w:t>
      </w:r>
      <w:r>
        <w:t xml:space="preserve"> </w:t>
      </w:r>
      <w:r>
        <w:t xml:space="preserve">(Eriksen et al., 2021)</w:t>
      </w:r>
      <w:r>
        <w:t xml:space="preserve">.</w:t>
      </w:r>
    </w:p>
    <w:p>
      <w:pPr>
        <w:pStyle w:val="Brdtekst"/>
      </w:pPr>
      <w:r>
        <w:t xml:space="preserve">The barriers to such transformation are substantial. States jealously guard their sovereignty and their role as intermediaries for international resources. International institutions have invested heavily in frameworks, procedures, and expertise oriented toward state-led planning. The adaptation industry depends on continued funding for assessments, capacity building, and project implementation. Moving beyond state adaptation would threaten all these interests. Yet our analysis reveals that current approaches produce homogenization, depoliticization, and epistemicide—outcomes that serve institutional needs while failing those most vulnerable to climate impacts.</w:t>
      </w:r>
    </w:p>
    <w:p>
      <w:pPr>
        <w:pStyle w:val="Brdtekst"/>
      </w:pPr>
      <w:r>
        <w:t xml:space="preserve">The high discourse centralization documented in this research should not lead to despair but to clarity about the nature of the challenge. The adaptation regime, like the development regime before it, is not a natural or inevitable response to environmental change but a historically specific configuration of power that can be contested and transformed. The cracks in the system—the variance among middle-income countries, the persistence of community-based practices despite their marginalization, the growing critique from scholars and activists—suggest that other worlds remain possible. Whether these possibilities can flourish depends not on better planning or more finance but on fundamental shifts in power relations between North and South, states and communities, experts and inhabitants.</w:t>
      </w:r>
    </w:p>
    <w:p>
      <w:pPr>
        <w:pStyle w:val="Brdtekst"/>
      </w:pPr>
      <w:r>
        <w:t xml:space="preserve">This analysis returns us to fundamental questions about climate justice that transcend the technical framings of adaptation planning. If adaptation operates as a contemporary form of colonialism—imposing Northern frameworks, eliminating alternative knowledges, and foreclosing autonomous futures—then climate justice requires more than reformed institutions or increased finance. It requires recognizing and supporting the multiple worlds that exist beyond the singular world of development and adaptation. The implications of this recognition form the basis for our concluding reflections on the future of climate governance and the possibilities for genuine transformation in North-South relations.</w:t>
      </w:r>
    </w:p>
    <w:bookmarkEnd w:id="56"/>
    <w:bookmarkEnd w:id="57"/>
    <w:bookmarkStart w:id="62" w:name="sec-conclusion"/>
    <w:p>
      <w:pPr>
        <w:pStyle w:val="Overskrift1"/>
      </w:pPr>
      <w:r>
        <w:t xml:space="preserve">8. Conclusion</w:t>
      </w:r>
    </w:p>
    <w:p>
      <w:pPr>
        <w:pStyle w:val="Bloktekst"/>
      </w:pPr>
      <w:r>
        <w:t xml:space="preserve">Nemik:</w:t>
      </w:r>
      <w:r>
        <w:t xml:space="preserve"> </w:t>
      </w:r>
      <w:r>
        <w:t xml:space="preserve">“Freedom is a pure idea. It occurs spontaneously and without instruction. Random acts of insurrection are occurring constantly throughout the galaxy. There are whole armies, battalions that have no idea that they’ve already enlisted in the cause.”</w:t>
      </w:r>
    </w:p>
    <w:p>
      <w:pPr>
        <w:pStyle w:val="FirstParagraph"/>
      </w:pPr>
      <w:r>
        <w:t xml:space="preserve">This thesis began with a simple observation: climate adaptation has become central to North-South relations, positioned as a solution to the injustices of climate change. The</w:t>
      </w:r>
      <w:r>
        <w:t xml:space="preserve"> </w:t>
      </w:r>
      <w:r>
        <w:t xml:space="preserve">“$100 billion promise”</w:t>
      </w:r>
      <w:r>
        <w:t xml:space="preserve"> </w:t>
      </w:r>
      <w:r>
        <w:t xml:space="preserve">made at Copenhagen, the proliferation of adaptation funds, and the mainstreaming of adaptation into development all suggest a global commitment to helping vulnerable countries prepare for climate impacts. Yet the analysis of 45 National Adaptation Plans reveals a troubling reality. Rather than diverse responses to diverse vulnerabilities, we find remarkable homogeneity—a discourse centralization of 0.956 that speaks more to institutional capture than climate response. The patterns uncovered through structural topic modeling answer the three questions posed at the outset in ways that fundamentally challenge the adaptation enterprise.</w:t>
      </w:r>
    </w:p>
    <w:p>
      <w:pPr>
        <w:pStyle w:val="Brdtekst"/>
      </w:pPr>
      <w:r>
        <w:t xml:space="preserve">What view of climate justice does adaptation have? The dominance of financial mechanisms and procedural frameworks across all NAPs reveals adaptation’s impoverished vision of justice. Climate justice is reduced to resource transfer—getting the right funds through the right channels to the right recipients. Vulnerability appears as a technical deficiency requiring Northern expertise rather than a product of historical and ongoing colonial relations. The near-absence of topics related to rights, reparations, or structural transformation shows how adaptation planning systematically excludes more expansive visions of justice. Countries must frame their needs in terms of institutional capacity and project pipelines rather than land sovereignty or economic restructuring. This is not climate justice but its bureaucratic simulation—a performance that maintains the very relations that produce vulnerability.</w:t>
      </w:r>
    </w:p>
    <w:p>
      <w:pPr>
        <w:pStyle w:val="Brdtekst"/>
      </w:pPr>
      <w:r>
        <w:t xml:space="preserve">How are climate adaptation interventions justified, and who decides? The variance decomposition provides a stark answer: regional institutional networks explain 20.1% of discourse patterns, while the actual geography of climate vulnerability explains merely 1.8%. This reveals adaptation planning as shaped by development banks, regional organizations, and the consultants who move between them—not by communities facing sea-level rise or desertification. The justification comes through technical assessments that construct vulnerability in particular ways, rendering complex political realities as manageable technical problems. The tools of adaptation—vulnerability indices, logical frameworks, monitoring systems—become what shapes adaptation possibilities</w:t>
      </w:r>
      <w:r>
        <w:t xml:space="preserve"> </w:t>
      </w:r>
      <w:r>
        <w:t xml:space="preserve">(Illich, 2009)</w:t>
      </w:r>
      <w:r>
        <w:t xml:space="preserve">. Countries learn to see themselves through these tools, to articulate needs these tools recognize, creating the convergence we observe.</w:t>
      </w:r>
    </w:p>
    <w:p>
      <w:pPr>
        <w:pStyle w:val="Brdtekst"/>
      </w:pPr>
      <w:r>
        <w:t xml:space="preserve">Is climate adaptation effective for delivering climate justice? The empirical evidence compels a negative answer. High discourse centralization reveals adaptation operating as epistemicide, systematically eliminating alternative ways of knowing and responding to environmental change</w:t>
      </w:r>
      <w:r>
        <w:t xml:space="preserve"> </w:t>
      </w:r>
      <w:r>
        <w:t xml:space="preserve">(Santos, 2016)</w:t>
      </w:r>
      <w:r>
        <w:t xml:space="preserve">. The convergence among low-income countries shows vulnerability being constructed rather than addressed, echoing how development discourse produced underdevelopment</w:t>
      </w:r>
      <w:r>
        <w:t xml:space="preserve"> </w:t>
      </w:r>
      <w:r>
        <w:t xml:space="preserve">(Escobar, 1995)</w:t>
      </w:r>
      <w:r>
        <w:t xml:space="preserve">. The dominance of technical and procedural concerns confirms adaptation functioning as an anti-politics machine, transforming questions of justice into matters of administration</w:t>
      </w:r>
      <w:r>
        <w:t xml:space="preserve"> </w:t>
      </w:r>
      <w:r>
        <w:t xml:space="preserve">(Ferguson, 1994)</w:t>
      </w:r>
      <w:r>
        <w:t xml:space="preserve">. Rather than enabling communities to navigate environmental change according to their own knowledge and values, adaptation planning imposes a singular framework that forecloses alternatives while appearing to help.</w:t>
      </w:r>
    </w:p>
    <w:bookmarkStart w:id="58" w:name="theoretical-contributions"/>
    <w:p>
      <w:pPr>
        <w:pStyle w:val="Overskrift2"/>
      </w:pPr>
      <w:r>
        <w:t xml:space="preserve">8.1 Theoretical Contributions</w:t>
      </w:r>
    </w:p>
    <w:p>
      <w:pPr>
        <w:pStyle w:val="FirstParagraph"/>
      </w:pPr>
      <w:r>
        <w:t xml:space="preserve">This research makes several theoretical contributions by providing empirical validation for post-development critiques of climate governance. First, it demonstrates quantitatively what critical scholars have argued qualitatively: that adaptation represents not a break from development paradigms but their continuation through new vocabularies. The vulnerability/adaptation nexus emerges as the contemporary form of the underdevelopment/development nexus, maintaining colonial relations while appearing to address their consequences. Second, the analysis operationalizes the concept of epistemicide, showing how it occurs not through dramatic suppression but through the quiet violence of bureaucratic frameworks that render alternative knowledge systems literally unspeakable in planning documents.</w:t>
      </w:r>
    </w:p>
    <w:p>
      <w:pPr>
        <w:pStyle w:val="Brdtekst"/>
      </w:pPr>
      <w:r>
        <w:t xml:space="preserve">Third, the research bridges critical theory and computational methods, demonstrating how topic modeling can reveal patterns of power and knowledge that might otherwise remain hidden in the sheer volume of policy documents. By making Northern adaptation discourse legible—showing its repetitions, convergences, and silences—we can better understand how power operates through seemingly neutral technical processes. The method reveals not what Southern countries think about adaptation but what they must say to participate in international climate governance. This distinction is crucial for understanding adaptation planning as a technology of governance rather than genuine response to climate impacts.</w:t>
      </w:r>
    </w:p>
    <w:p>
      <w:pPr>
        <w:pStyle w:val="Brdtekst"/>
      </w:pPr>
      <w:r>
        <w:t xml:space="preserve">Finally, the analysis contributes to understanding the specific mechanisms through which colonial relations reproduce themselves in contemporary environmental governance. The regional clustering patterns reveal the crucial role of intermediary institutions and development brokers in creating discursive homogeneity. The state-centric nature of planning combined with technical requirements creates conditions where only certain actors can speak and only certain things can be said. These mechanisms operate not through coercion but through the promise of resources, creating self-reinforcing cycles where countries must perform vulnerability to access funds that reinforce their dependent status.</w:t>
      </w:r>
    </w:p>
    <w:bookmarkEnd w:id="58"/>
    <w:bookmarkStart w:id="59" w:name="the-cop-out"/>
    <w:p>
      <w:pPr>
        <w:pStyle w:val="Overskrift2"/>
      </w:pPr>
      <w:r>
        <w:t xml:space="preserve">8.2 The COP-out</w:t>
      </w:r>
    </w:p>
    <w:p>
      <w:pPr>
        <w:pStyle w:val="FirstParagraph"/>
      </w:pPr>
      <w:r>
        <w:t xml:space="preserve">The title of this thesis carries a double meaning that the analysis confirms. Adaptation finance represents both a literal</w:t>
      </w:r>
      <w:r>
        <w:t xml:space="preserve"> </w:t>
      </w:r>
      <w:r>
        <w:t xml:space="preserve">“Conference of Parties outcome”</w:t>
      </w:r>
      <w:r>
        <w:t xml:space="preserve">—the institutional response to demands for climate justice—and a</w:t>
      </w:r>
      <w:r>
        <w:t xml:space="preserve"> </w:t>
      </w:r>
      <w:r>
        <w:t xml:space="preserve">“cop-out”</w:t>
      </w:r>
      <w:r>
        <w:t xml:space="preserve"> </w:t>
      </w:r>
      <w:r>
        <w:t xml:space="preserve">in the colloquial sense—an evasion of responsibility. While Southern countries reshape their societies through adaptation planning, Northern countries continue the emissions that drive climate change. The Paris Agreement’s careful separation of mitigation, adaptation, and loss and damage serves this evasion, allowing wealthy countries to provide</w:t>
      </w:r>
      <w:r>
        <w:t xml:space="preserve"> </w:t>
      </w:r>
      <w:r>
        <w:t xml:space="preserve">“support”</w:t>
      </w:r>
      <w:r>
        <w:t xml:space="preserve"> </w:t>
      </w:r>
      <w:r>
        <w:t xml:space="preserve">for adaptation while avoiding binding emissions reductions or accepting liability for climate damages.</w:t>
      </w:r>
    </w:p>
    <w:p>
      <w:pPr>
        <w:pStyle w:val="Brdtekst"/>
      </w:pPr>
      <w:r>
        <w:t xml:space="preserve">The irony is profound: homogeneous planning for heterogeneous impacts. Countries facing fundamentally different climate futures—small islands confronting submersion, mountain regions losing glaciers, drylands facing intensified droughts—produce remarkably similar documents focused on institutional arrangements and financial mechanisms. This homogeneity reveals adaptation planning serving institutional rather than environmental purposes. It creates legible subjects for climate finance, standardized problems for technical assistance, and manageable interventions for development agencies. Meanwhile, the actual diversity of climate impacts and potential responses remains largely unaddressed.</w:t>
      </w:r>
    </w:p>
    <w:p>
      <w:pPr>
        <w:pStyle w:val="Brdtekst"/>
      </w:pPr>
      <w:r>
        <w:t xml:space="preserve">The recent COP29 pledge of $300 billion in climate finance by 2035 continues this pattern. Framed as a triumph of multilateralism, it represents another decade of focusing on adaptation in the South rather than mitigation in the North. The logic of the climate damage flowchart remains reversed: rather than stopping emissions at the source, the international community invests in managing symptoms at the periphery. This is not mere inefficiency but active displacement—every dollar spent on adaptation planning is a dollar not spent on industrial transformation in the countries actually driving climate change.</w:t>
      </w:r>
    </w:p>
    <w:p>
      <w:pPr>
        <w:pStyle w:val="Brdtekst"/>
      </w:pPr>
      <w:r>
        <w:t xml:space="preserve">The systematic exclusion of loss and damage from adaptation planning, despite its formal recognition in the Paris Agreement, reveals the limits of acceptable discourse. Countries can discuss future vulnerabilities and adaptation needs but not present damages and historical responsibility. They can request capacity building but not reparations. They can plan for resilience but not demand compensation. These exclusions maintain the fiction that climate change is a future problem requiring technical preparation rather than a present injustice requiring political transformation.</w:t>
      </w:r>
    </w:p>
    <w:bookmarkEnd w:id="59"/>
    <w:bookmarkStart w:id="60" w:name="future-research-directions"/>
    <w:p>
      <w:pPr>
        <w:pStyle w:val="Overskrift2"/>
      </w:pPr>
      <w:r>
        <w:t xml:space="preserve">8.3 Future Research Directions</w:t>
      </w:r>
    </w:p>
    <w:p>
      <w:pPr>
        <w:pStyle w:val="FirstParagraph"/>
      </w:pPr>
      <w:r>
        <w:t xml:space="preserve">This analysis opens several critical avenues for future research. First, studying community responses outside state frameworks could reveal the alternative epistemologies and practices that NAPs systematically exclude. How do fishing communities, forest dwellers, and pastoralists actually navigate environmental change? What knowledge systems guide their responses? How do these differ from state plans? Such research requires methods that can capture knowledge expressed through practice rather than policy documents.</w:t>
      </w:r>
    </w:p>
    <w:p>
      <w:pPr>
        <w:pStyle w:val="Brdtekst"/>
      </w:pPr>
      <w:r>
        <w:t xml:space="preserve">Second, tracking how adaptation projects actually unfold on the ground could illuminate the gap between planning and reality. Do the homogeneous plans produce homogeneous outcomes? How do communities resist, reshape, or repurpose adaptation interventions? What happens when technocratic plans meet complex social realities? Understanding implementation could reveal both the limits of planning and the spaces where alternatives emerge.</w:t>
      </w:r>
    </w:p>
    <w:p>
      <w:pPr>
        <w:pStyle w:val="Brdtekst"/>
      </w:pPr>
      <w:r>
        <w:t xml:space="preserve">Third, the</w:t>
      </w:r>
      <w:r>
        <w:t xml:space="preserve"> </w:t>
      </w:r>
      <w:r>
        <w:t xml:space="preserve">“cracks”</w:t>
      </w:r>
      <w:r>
        <w:t xml:space="preserve"> </w:t>
      </w:r>
      <w:r>
        <w:t xml:space="preserve">in the system deserve deeper investigation. Why do middle-income countries show greater discourse diversity? What enables their partial autonomy? Could these spaces of relative freedom provide models for escaping the adaptation regime? Similarly, examining regional variations could reveal how different institutional configurations enable or constrain alternative approaches.</w:t>
      </w:r>
    </w:p>
    <w:p>
      <w:pPr>
        <w:pStyle w:val="Brdtekst"/>
      </w:pPr>
      <w:r>
        <w:t xml:space="preserve">Finally, developing methods for amplifying marginalized knowledge systems remains crucial. If current research methods privilege written documents and formal institutions, how might we develop approaches that recognize oral traditions, embodied practices, and communal knowledge? This is not merely a methodological challenge but a political one—requiring researchers to question their own role in either reproducing or challenging epistemicide.</w:t>
      </w:r>
    </w:p>
    <w:bookmarkEnd w:id="60"/>
    <w:bookmarkStart w:id="61" w:name="whose-futures"/>
    <w:p>
      <w:pPr>
        <w:pStyle w:val="Overskrift2"/>
      </w:pPr>
      <w:r>
        <w:t xml:space="preserve">8.4 Whose Futures?</w:t>
      </w:r>
    </w:p>
    <w:p>
      <w:pPr>
        <w:pStyle w:val="FirstParagraph"/>
      </w:pPr>
      <w:r>
        <w:t xml:space="preserve">This thesis began with questions about climate justice and power: who gets to imagine whose future in a changing climate? The analysis provides a clear if troubling answer. Through the apparatus of adaptation planning, Northern institutions imagine Southern futures. They determine what counts as vulnerability, what constitutes appropriate response, and what makes successful adaptation. Southern countries must translate their complex realities into forms these institutions recognize—vulnerability assessments, logical frameworks, project documents—or remain excluded from climate finance.</w:t>
      </w:r>
    </w:p>
    <w:p>
      <w:pPr>
        <w:pStyle w:val="Brdtekst"/>
      </w:pPr>
      <w:r>
        <w:t xml:space="preserve">The patterns revealed through topic modeling show this is not climate adaptation but institutional adaptation. Countries adapt not to changing rainfall or rising seas but to donor requirements and funding criteria. They develop the capacity not to navigate environmental change but to navigate international bureaucracies. The knowledge that matters is not traditional ecological wisdom or community innovation but the ability to produce documents that secure resources. This represents a profound foreclosure of possibilities—eliminating alternative futures before they can be imagined.</w:t>
      </w:r>
    </w:p>
    <w:p>
      <w:pPr>
        <w:pStyle w:val="Brdtekst"/>
      </w:pPr>
      <w:r>
        <w:t xml:space="preserve">The necessary shift requires recognizing that communities have always adapted to environmental variability and continue to do so outside state and international frameworks. Before NAPs, before UNFCCC, before development itself, human communities developed sophisticated ways of living with environmental uncertainty. These approaches—based on reciprocity rather than resource management, embedded in place rather than abstracted into models, responsive to local rather than global signals—persist despite their marginalization. Supporting them requires not new planning frameworks but stepping back from the pretense that adaptation must be managed from above.</w:t>
      </w:r>
    </w:p>
    <w:p>
      <w:pPr>
        <w:pStyle w:val="Brdtekst"/>
      </w:pPr>
      <w:r>
        <w:t xml:space="preserve">The paradox that emerges from this analysis is that effective climate justice may require less adaptation planning, not more. Each NAP, each vulnerability assessment, each project document further entrenches the frameworks that produce homogenization and epistemicide. Rather than reformed institutions or increased finance, climate justice requires fundamentally different starting points—recognizing indigenous sovereignty, supporting community autonomy, addressing structural drivers of vulnerability. Most fundamentally, it requires Northern countries to rapidly reduce their own emissions rather than reshaping Southern societies through adaptation planning.</w:t>
      </w:r>
    </w:p>
    <w:p>
      <w:pPr>
        <w:pStyle w:val="Brdtekst"/>
      </w:pPr>
      <w:r>
        <w:t xml:space="preserve">This brings us to a stark choice that extends beyond climate governance to the future of North-South relations. Do we continue down the path of epistemicide—eliminating knowledge diversity, imposing singular frameworks, foreclosing alternative futures? Or do we nurture the pluriverse—recognizing multiple ways of knowing and being, supporting diverse responses to environmental change, enabling communities to create their own futures? The high discourse centralization documented in this research shows the current path leads toward homogenization, depoliticization, and continued colonial relations disguised as climate response.</w:t>
      </w:r>
    </w:p>
    <w:p>
      <w:pPr>
        <w:pStyle w:val="Brdtekst"/>
      </w:pPr>
      <w:r>
        <w:t xml:space="preserve">The 100 billion dollar question is not whether wealthy countries will provide adaptation finance—they already are, and will likely provide more. The question is whether this finance will continue to operate as a COP-out, allowing the North to avoid fundamental changes while appearing to help the South. The answer lies not in better planning or more resources but in recognizing that climate justice cannot be delivered through the same institutions and frameworks that produce climate injustice. Real transformation requires abandoning the pretense that Northern institutions can manage Southern adaptation. It requires recognizing that the most effective adaptation support the North can provide is to stop driving the climate change that makes adaptation necessary in the first place. Until then, adaptation remains what this analysis reveals it to be: not climate justice but its most sophisticated evasion.</w:t>
      </w:r>
    </w:p>
    <w:bookmarkEnd w:id="61"/>
    <w:bookmarkEnd w:id="62"/>
    <w:bookmarkStart w:id="197" w:name="references"/>
    <w:p>
      <w:pPr>
        <w:pStyle w:val="Overskrift1"/>
      </w:pPr>
      <w:r>
        <w:t xml:space="preserve">References</w:t>
      </w:r>
    </w:p>
    <w:bookmarkStart w:id="196" w:name="refs"/>
    <w:bookmarkStart w:id="63"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3"/>
    <w:bookmarkStart w:id="65"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4">
        <w:r>
          <w:rPr>
            <w:rStyle w:val="Hyperlink"/>
          </w:rPr>
          <w:t xml:space="preserve">https://doi.org/10.1016/j.landusepol.2020.104898</w:t>
        </w:r>
      </w:hyperlink>
    </w:p>
    <w:bookmarkEnd w:id="65"/>
    <w:bookmarkStart w:id="66"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6"/>
    <w:bookmarkStart w:id="67" w:name="ref-bierschenk2002"/>
    <w:p>
      <w:pPr>
        <w:pStyle w:val="Bibliografi"/>
      </w:pPr>
      <w:r>
        <w:t xml:space="preserve">Bierschenk, T., Chauveau, J.-P., &amp; de Sardan, J.-P. O. (2002).</w:t>
      </w:r>
      <w:r>
        <w:t xml:space="preserve"> </w:t>
      </w:r>
      <w:r>
        <w:rPr>
          <w:i/>
          <w:iCs/>
        </w:rPr>
        <w:t xml:space="preserve">Local development brokers in africa</w:t>
      </w:r>
      <w:r>
        <w:t xml:space="preserve"> </w:t>
      </w:r>
      <w:r>
        <w:t xml:space="preserve">(13). Institut für Ethnologie und Afrikastudien, Johannes Gutenberg-Universität.</w:t>
      </w:r>
    </w:p>
    <w:bookmarkEnd w:id="67"/>
    <w:bookmarkStart w:id="69" w:name="ref-brinks2025"/>
    <w:p>
      <w:pPr>
        <w:pStyle w:val="Bibliografi"/>
      </w:pPr>
      <w:r>
        <w:t xml:space="preserve">Brinks, V., &amp; Donner, F. (2025). Approaching</w:t>
      </w:r>
      <w:r>
        <w:t xml:space="preserve"> </w:t>
      </w:r>
      <w:r>
        <w:t xml:space="preserve">“the expert”</w:t>
      </w:r>
      <w:r>
        <w:t xml:space="preserve"> </w:t>
      </w:r>
      <w:r>
        <w:t xml:space="preserve">in times of (digital) disruptions: Towards a geography of expertise.</w:t>
      </w:r>
      <w:r>
        <w:t xml:space="preserve"> </w:t>
      </w:r>
      <w:r>
        <w:rPr>
          <w:i/>
          <w:iCs/>
        </w:rPr>
        <w:t xml:space="preserve">Progress in Human Geography</w:t>
      </w:r>
      <w:r>
        <w:t xml:space="preserve">, 03091325251337717.</w:t>
      </w:r>
      <w:r>
        <w:t xml:space="preserve"> </w:t>
      </w:r>
      <w:hyperlink r:id="rId68">
        <w:r>
          <w:rPr>
            <w:rStyle w:val="Hyperlink"/>
          </w:rPr>
          <w:t xml:space="preserve">https://doi.org/10.1177/03091325251337717</w:t>
        </w:r>
      </w:hyperlink>
    </w:p>
    <w:bookmarkEnd w:id="69"/>
    <w:bookmarkStart w:id="71" w:name="ref-chakrabarty2009"/>
    <w:p>
      <w:pPr>
        <w:pStyle w:val="Bibliografi"/>
      </w:pPr>
      <w:r>
        <w:t xml:space="preserve">Chakrabarty, D. (2009).</w:t>
      </w:r>
      <w:r>
        <w:t xml:space="preserve"> </w:t>
      </w:r>
      <w:r>
        <w:rPr>
          <w:i/>
          <w:iCs/>
        </w:rPr>
        <w:t xml:space="preserve">Provincializing europe: Postcolonial thought and historical difference</w:t>
      </w:r>
      <w:r>
        <w:t xml:space="preserve"> </w:t>
      </w:r>
      <w:r>
        <w:t xml:space="preserve">(New edition with a new preface by the author). Princeton University Press.</w:t>
      </w:r>
      <w:r>
        <w:t xml:space="preserve"> </w:t>
      </w:r>
      <w:hyperlink r:id="rId70">
        <w:r>
          <w:rPr>
            <w:rStyle w:val="Hyperlink"/>
          </w:rPr>
          <w:t xml:space="preserve">https://doi.org/10.1515/9781400828654</w:t>
        </w:r>
      </w:hyperlink>
    </w:p>
    <w:bookmarkEnd w:id="71"/>
    <w:bookmarkStart w:id="7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72">
        <w:r>
          <w:rPr>
            <w:rStyle w:val="Hyperlink"/>
          </w:rPr>
          <w:t xml:space="preserve">https://doi.org/10.1016/0305-750X(94)90030-2</w:t>
        </w:r>
      </w:hyperlink>
    </w:p>
    <w:bookmarkEnd w:id="73"/>
    <w:bookmarkStart w:id="75" w:name="ref-cons2021"/>
    <w:p>
      <w:pPr>
        <w:pStyle w:val="Bibliografi"/>
      </w:pPr>
      <w:r>
        <w:t xml:space="preserve">Cons, J. (2021). Ecologies of capture in bangladesh’s sundarbans.</w:t>
      </w:r>
      <w:r>
        <w:t xml:space="preserve"> </w:t>
      </w:r>
      <w:r>
        <w:rPr>
          <w:i/>
          <w:iCs/>
        </w:rPr>
        <w:t xml:space="preserve">American Ethnologist</w:t>
      </w:r>
      <w:r>
        <w:t xml:space="preserve">,</w:t>
      </w:r>
      <w:r>
        <w:t xml:space="preserve"> </w:t>
      </w:r>
      <w:r>
        <w:rPr>
          <w:i/>
          <w:iCs/>
        </w:rPr>
        <w:t xml:space="preserve">48</w:t>
      </w:r>
      <w:r>
        <w:t xml:space="preserve">(3), 245–259.</w:t>
      </w:r>
      <w:r>
        <w:t xml:space="preserve"> </w:t>
      </w:r>
      <w:hyperlink r:id="rId74">
        <w:r>
          <w:rPr>
            <w:rStyle w:val="Hyperlink"/>
          </w:rPr>
          <w:t xml:space="preserve">https://doi.org/10.1111/amet.13022</w:t>
        </w:r>
      </w:hyperlink>
    </w:p>
    <w:bookmarkEnd w:id="75"/>
    <w:bookmarkStart w:id="76" w:name="ref-cons2025"/>
    <w:p>
      <w:pPr>
        <w:pStyle w:val="Bibliografi"/>
      </w:pPr>
      <w:r>
        <w:t xml:space="preserve">Cons, J. (2025).</w:t>
      </w:r>
      <w:r>
        <w:t xml:space="preserve"> </w:t>
      </w:r>
      <w:r>
        <w:rPr>
          <w:i/>
          <w:iCs/>
        </w:rPr>
        <w:t xml:space="preserve">Delta futures: Time, territory, and capture on a climate frontier</w:t>
      </w:r>
      <w:r>
        <w:t xml:space="preserve">. University of California Press.</w:t>
      </w:r>
    </w:p>
    <w:bookmarkEnd w:id="76"/>
    <w:bookmarkStart w:id="77" w:name="ref-cons2019"/>
    <w:p>
      <w:pPr>
        <w:pStyle w:val="Bibliografi"/>
      </w:pPr>
      <w:r>
        <w:t xml:space="preserve">Cons, J., &amp; Eilenberg, M. (Eds.). (2019).</w:t>
      </w:r>
      <w:r>
        <w:t xml:space="preserve"> </w:t>
      </w:r>
      <w:r>
        <w:rPr>
          <w:i/>
          <w:iCs/>
        </w:rPr>
        <w:t xml:space="preserve">Frontier assemblages: The emergent politics of resource frontiers in asia</w:t>
      </w:r>
      <w:r>
        <w:t xml:space="preserve">. Wiley.</w:t>
      </w:r>
    </w:p>
    <w:bookmarkEnd w:id="77"/>
    <w:bookmarkStart w:id="78" w:name="ref-corntassel2021"/>
    <w:p>
      <w:pPr>
        <w:pStyle w:val="Bibliografi"/>
      </w:pPr>
      <w:r>
        <w:t xml:space="preserve">Corntassel, J. (2021). Life beyond the state: Regenerating indigenous international relations and everyday challenges to settler colonialism.</w:t>
      </w:r>
      <w:r>
        <w:t xml:space="preserve"> </w:t>
      </w:r>
      <w:r>
        <w:rPr>
          <w:i/>
          <w:iCs/>
        </w:rPr>
        <w:t xml:space="preserve">Anarchist Developments in Cultural Studies</w:t>
      </w:r>
      <w:r>
        <w:t xml:space="preserve">,</w:t>
      </w:r>
      <w:r>
        <w:t xml:space="preserve"> </w:t>
      </w:r>
      <w:r>
        <w:rPr>
          <w:i/>
          <w:iCs/>
        </w:rPr>
        <w:t xml:space="preserve">1</w:t>
      </w:r>
      <w:r>
        <w:t xml:space="preserve">(1), 28.</w:t>
      </w:r>
    </w:p>
    <w:bookmarkEnd w:id="78"/>
    <w:bookmarkStart w:id="80"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79">
        <w:r>
          <w:rPr>
            <w:rStyle w:val="Hyperlink"/>
          </w:rPr>
          <w:t xml:space="preserve">https://www.climatepolicyinitiative.org/wp-content/uploads/2023/11/GLCF-2023-Methodology.pdf</w:t>
        </w:r>
      </w:hyperlink>
    </w:p>
    <w:bookmarkEnd w:id="80"/>
    <w:bookmarkStart w:id="82"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81">
        <w:r>
          <w:rPr>
            <w:rStyle w:val="Hyperlink"/>
          </w:rPr>
          <w:t xml:space="preserve">https://doi.org/10.1080/1177083X.2024.2344497</w:t>
        </w:r>
      </w:hyperlink>
    </w:p>
    <w:bookmarkEnd w:id="82"/>
    <w:bookmarkStart w:id="84" w:name="ref-demaria2023"/>
    <w:p>
      <w:pPr>
        <w:pStyle w:val="Bibliografi"/>
      </w:pPr>
      <w:r>
        <w:t xml:space="preserve">Demaria, F., Kothari, A., Salleh, A., Escobar, A., &amp; Acosta, A. (2023). Post-development: From the critique of development to a pluriverse of alternatives. In S. Villamayor-Tomas &amp; R. Muradian (Eds.),</w:t>
      </w:r>
      <w:r>
        <w:t xml:space="preserve"> </w:t>
      </w:r>
      <w:r>
        <w:rPr>
          <w:i/>
          <w:iCs/>
        </w:rPr>
        <w:t xml:space="preserve">The barcelona school of ecological economics and political ecology: A companion in honour of joan martinez-alier</w:t>
      </w:r>
      <w:r>
        <w:t xml:space="preserve"> </w:t>
      </w:r>
      <w:r>
        <w:t xml:space="preserve">(pp. 59–69). Springer International Publishing.</w:t>
      </w:r>
      <w:r>
        <w:t xml:space="preserve"> </w:t>
      </w:r>
      <w:hyperlink r:id="rId83">
        <w:r>
          <w:rPr>
            <w:rStyle w:val="Hyperlink"/>
          </w:rPr>
          <w:t xml:space="preserve">https://doi.org/10.1007/978-3-031-22566-6_6</w:t>
        </w:r>
      </w:hyperlink>
    </w:p>
    <w:bookmarkEnd w:id="84"/>
    <w:bookmarkStart w:id="86" w:name="ref-deranger2022"/>
    <w:p>
      <w:pPr>
        <w:pStyle w:val="Bibliografi"/>
      </w:pPr>
      <w:r>
        <w:t xml:space="preserve">Deranger, E. T., Sinclair, R., Gray, B., McGregor, D., &amp; Gobby, J. (2022). Decolonizing climate research and policy: Making space to tell our own stories, in our own ways.</w:t>
      </w:r>
      <w:r>
        <w:t xml:space="preserve"> </w:t>
      </w:r>
      <w:r>
        <w:rPr>
          <w:i/>
          <w:iCs/>
        </w:rPr>
        <w:t xml:space="preserve">Community Development Journal</w:t>
      </w:r>
      <w:r>
        <w:t xml:space="preserve">,</w:t>
      </w:r>
      <w:r>
        <w:t xml:space="preserve"> </w:t>
      </w:r>
      <w:r>
        <w:rPr>
          <w:i/>
          <w:iCs/>
        </w:rPr>
        <w:t xml:space="preserve">57</w:t>
      </w:r>
      <w:r>
        <w:t xml:space="preserve">(1), 52–73.</w:t>
      </w:r>
      <w:r>
        <w:t xml:space="preserve"> </w:t>
      </w:r>
      <w:hyperlink r:id="rId85">
        <w:r>
          <w:rPr>
            <w:rStyle w:val="Hyperlink"/>
          </w:rPr>
          <w:t xml:space="preserve">https://doi.org/10.1093/cdj/bsab050</w:t>
        </w:r>
      </w:hyperlink>
    </w:p>
    <w:bookmarkEnd w:id="86"/>
    <w:bookmarkStart w:id="87"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87"/>
    <w:bookmarkStart w:id="89" w:name="ref-dewan2021"/>
    <w:p>
      <w:pPr>
        <w:pStyle w:val="Bibliografi"/>
      </w:pPr>
      <w:r>
        <w:t xml:space="preserve">Dewan, C. (2021).</w:t>
      </w:r>
      <w:r>
        <w:t xml:space="preserve"> </w:t>
      </w:r>
      <w:r>
        <w:rPr>
          <w:i/>
          <w:iCs/>
        </w:rPr>
        <w:t xml:space="preserve">Misreading the bengal delta: Climate change, development, and livelihoods in coastal</w:t>
      </w:r>
      <w:r>
        <w:rPr>
          <w:i/>
          <w:iCs/>
        </w:rPr>
        <w:t xml:space="preserve"> </w:t>
      </w:r>
      <w:r>
        <w:rPr>
          <w:i/>
          <w:iCs/>
        </w:rPr>
        <w:t xml:space="preserve">bangladesh</w:t>
      </w:r>
      <w:r>
        <w:t xml:space="preserve">. University of Washington Press.</w:t>
      </w:r>
      <w:r>
        <w:t xml:space="preserve"> </w:t>
      </w:r>
      <w:hyperlink r:id="rId88">
        <w:r>
          <w:rPr>
            <w:rStyle w:val="Hyperlink"/>
          </w:rPr>
          <w:t xml:space="preserve">https://www.jstor.org/stable/j.ctv2114fm3</w:t>
        </w:r>
      </w:hyperlink>
    </w:p>
    <w:bookmarkEnd w:id="89"/>
    <w:bookmarkStart w:id="91"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90">
        <w:r>
          <w:rPr>
            <w:rStyle w:val="Hyperlink"/>
          </w:rPr>
          <w:t xml:space="preserve">https://doi.org/10.1080/00141844.2020.1788109</w:t>
        </w:r>
      </w:hyperlink>
    </w:p>
    <w:bookmarkEnd w:id="91"/>
    <w:bookmarkStart w:id="93"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92">
        <w:r>
          <w:rPr>
            <w:rStyle w:val="Hyperlink"/>
          </w:rPr>
          <w:t xml:space="preserve">https://doi.org/10.1080/13642987.2017.1397633</w:t>
        </w:r>
      </w:hyperlink>
    </w:p>
    <w:bookmarkEnd w:id="93"/>
    <w:bookmarkStart w:id="95" w:name="ref-eilenberg2015"/>
    <w:p>
      <w:pPr>
        <w:pStyle w:val="Bibliografi"/>
      </w:pPr>
      <w:r>
        <w:t xml:space="preserve">Eilenberg, M. (2015). Shades of green and REDD: Local and global contestations over the value of forest versus plantation development on the indonesian forest frontier.</w:t>
      </w:r>
      <w:r>
        <w:t xml:space="preserve"> </w:t>
      </w:r>
      <w:r>
        <w:rPr>
          <w:i/>
          <w:iCs/>
        </w:rPr>
        <w:t xml:space="preserve">Asia Pacific Viewpoint</w:t>
      </w:r>
      <w:r>
        <w:t xml:space="preserve">,</w:t>
      </w:r>
      <w:r>
        <w:t xml:space="preserve"> </w:t>
      </w:r>
      <w:r>
        <w:rPr>
          <w:i/>
          <w:iCs/>
        </w:rPr>
        <w:t xml:space="preserve">56</w:t>
      </w:r>
      <w:r>
        <w:t xml:space="preserve">(1), 48–61.</w:t>
      </w:r>
      <w:r>
        <w:t xml:space="preserve"> </w:t>
      </w:r>
      <w:hyperlink r:id="rId94">
        <w:r>
          <w:rPr>
            <w:rStyle w:val="Hyperlink"/>
          </w:rPr>
          <w:t xml:space="preserve">https://doi.org/10.1111/apv.12084</w:t>
        </w:r>
      </w:hyperlink>
    </w:p>
    <w:bookmarkEnd w:id="95"/>
    <w:bookmarkStart w:id="97" w:name="ref-eilenberg2022"/>
    <w:p>
      <w:pPr>
        <w:pStyle w:val="Bibliografi"/>
      </w:pPr>
      <w:r>
        <w:t xml:space="preserve">Eilenberg, M. (2022). The last enclosure: Smoke, fire and crisis on the indonesian forest frontier.</w:t>
      </w:r>
      <w:r>
        <w:t xml:space="preserve"> </w:t>
      </w:r>
      <w:r>
        <w:rPr>
          <w:i/>
          <w:iCs/>
        </w:rPr>
        <w:t xml:space="preserve">The Journal of Peasant Studies</w:t>
      </w:r>
      <w:r>
        <w:t xml:space="preserve">,</w:t>
      </w:r>
      <w:r>
        <w:t xml:space="preserve"> </w:t>
      </w:r>
      <w:r>
        <w:rPr>
          <w:i/>
          <w:iCs/>
        </w:rPr>
        <w:t xml:space="preserve">49</w:t>
      </w:r>
      <w:r>
        <w:t xml:space="preserve">(5), 969–998.</w:t>
      </w:r>
      <w:r>
        <w:t xml:space="preserve"> </w:t>
      </w:r>
      <w:hyperlink r:id="rId96">
        <w:r>
          <w:rPr>
            <w:rStyle w:val="Hyperlink"/>
          </w:rPr>
          <w:t xml:space="preserve">https://doi.org/10.1080/03066150.2021.1907355</w:t>
        </w:r>
      </w:hyperlink>
    </w:p>
    <w:bookmarkEnd w:id="97"/>
    <w:bookmarkStart w:id="9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98">
        <w:r>
          <w:rPr>
            <w:rStyle w:val="Hyperlink"/>
          </w:rPr>
          <w:t xml:space="preserve">https://doi.org/10.3362/9781780440415.001</w:t>
        </w:r>
      </w:hyperlink>
    </w:p>
    <w:bookmarkEnd w:id="99"/>
    <w:bookmarkStart w:id="10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100">
        <w:r>
          <w:rPr>
            <w:rStyle w:val="Hyperlink"/>
          </w:rPr>
          <w:t xml:space="preserve">https://doi.org/10.1016/j.worlddev.2020.105383</w:t>
        </w:r>
      </w:hyperlink>
    </w:p>
    <w:bookmarkEnd w:id="101"/>
    <w:bookmarkStart w:id="10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102">
        <w:r>
          <w:rPr>
            <w:rStyle w:val="Hyperlink"/>
          </w:rPr>
          <w:t xml:space="preserve">https://www.jstor.org/stable/j.ctt7rtgw</w:t>
        </w:r>
      </w:hyperlink>
    </w:p>
    <w:bookmarkEnd w:id="103"/>
    <w:bookmarkStart w:id="10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104"/>
    <w:bookmarkStart w:id="10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105"/>
    <w:bookmarkStart w:id="107" w:name="ref-escobar2021"/>
    <w:p>
      <w:pPr>
        <w:pStyle w:val="Bibliografi"/>
      </w:pPr>
      <w:r>
        <w:t xml:space="preserve">Escobar, A. (2021). Reframing civilization(s): From critique to transitions.</w:t>
      </w:r>
      <w:r>
        <w:t xml:space="preserve"> </w:t>
      </w:r>
      <w:r>
        <w:rPr>
          <w:i/>
          <w:iCs/>
        </w:rPr>
        <w:t xml:space="preserve">Globalizations</w:t>
      </w:r>
      <w:r>
        <w:t xml:space="preserve">,</w:t>
      </w:r>
      <w:r>
        <w:t xml:space="preserve"> </w:t>
      </w:r>
      <w:r>
        <w:rPr>
          <w:i/>
          <w:iCs/>
        </w:rPr>
        <w:t xml:space="preserve">0</w:t>
      </w:r>
      <w:r>
        <w:t xml:space="preserve">(0), 1–18.</w:t>
      </w:r>
      <w:r>
        <w:t xml:space="preserve"> </w:t>
      </w:r>
      <w:hyperlink r:id="rId106">
        <w:r>
          <w:rPr>
            <w:rStyle w:val="Hyperlink"/>
          </w:rPr>
          <w:t xml:space="preserve">https://doi.org/10.1080/14747731.2021.2002673</w:t>
        </w:r>
      </w:hyperlink>
    </w:p>
    <w:bookmarkEnd w:id="107"/>
    <w:bookmarkStart w:id="108"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108"/>
    <w:bookmarkStart w:id="110" w:name="ref-figueroa-helland2014"/>
    <w:p>
      <w:pPr>
        <w:pStyle w:val="Bibliografi"/>
      </w:pPr>
      <w:r>
        <w:t xml:space="preserve">Figueroa-Helland, L., &amp; Borg, S. (2014). The lure of state failure: A critique of state failure discourse in world politics.</w:t>
      </w:r>
      <w:r>
        <w:t xml:space="preserve"> </w:t>
      </w:r>
      <w:r>
        <w:rPr>
          <w:i/>
          <w:iCs/>
        </w:rPr>
        <w:t xml:space="preserve">Interventions</w:t>
      </w:r>
      <w:r>
        <w:t xml:space="preserve">,</w:t>
      </w:r>
      <w:r>
        <w:t xml:space="preserve"> </w:t>
      </w:r>
      <w:r>
        <w:rPr>
          <w:i/>
          <w:iCs/>
        </w:rPr>
        <w:t xml:space="preserve">16</w:t>
      </w:r>
      <w:r>
        <w:t xml:space="preserve">(6), 877–897.</w:t>
      </w:r>
      <w:r>
        <w:t xml:space="preserve"> </w:t>
      </w:r>
      <w:hyperlink r:id="rId109">
        <w:r>
          <w:rPr>
            <w:rStyle w:val="Hyperlink"/>
          </w:rPr>
          <w:t xml:space="preserve">https://doi.org/10.1080/1369801X.2013.798140</w:t>
        </w:r>
      </w:hyperlink>
    </w:p>
    <w:bookmarkEnd w:id="110"/>
    <w:bookmarkStart w:id="111"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111"/>
    <w:bookmarkStart w:id="112"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112"/>
    <w:bookmarkStart w:id="114"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113">
        <w:r>
          <w:rPr>
            <w:rStyle w:val="Hyperlink"/>
          </w:rPr>
          <w:t xml:space="preserve">https://doi.org/10.3384/cu.2000.1525.1790615</w:t>
        </w:r>
      </w:hyperlink>
    </w:p>
    <w:bookmarkEnd w:id="114"/>
    <w:bookmarkStart w:id="116"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115">
        <w:r>
          <w:rPr>
            <w:rStyle w:val="Hyperlink"/>
          </w:rPr>
          <w:t xml:space="preserve">https://doi.org/10.1177/1354066117725157</w:t>
        </w:r>
      </w:hyperlink>
    </w:p>
    <w:bookmarkEnd w:id="116"/>
    <w:bookmarkStart w:id="118" w:name="ref-hulme2008"/>
    <w:p>
      <w:pPr>
        <w:pStyle w:val="Bibliografi"/>
      </w:pPr>
      <w:r>
        <w:t xml:space="preserve">Hulme, M. (2008). The conquering of climate: Discourses of fear and their dissolution.</w:t>
      </w:r>
      <w:r>
        <w:t xml:space="preserve"> </w:t>
      </w:r>
      <w:r>
        <w:rPr>
          <w:i/>
          <w:iCs/>
        </w:rPr>
        <w:t xml:space="preserve">The Geographical Journal</w:t>
      </w:r>
      <w:r>
        <w:t xml:space="preserve">,</w:t>
      </w:r>
      <w:r>
        <w:t xml:space="preserve"> </w:t>
      </w:r>
      <w:r>
        <w:rPr>
          <w:i/>
          <w:iCs/>
        </w:rPr>
        <w:t xml:space="preserve">174</w:t>
      </w:r>
      <w:r>
        <w:t xml:space="preserve">(1), 5–16.</w:t>
      </w:r>
      <w:r>
        <w:t xml:space="preserve"> </w:t>
      </w:r>
      <w:hyperlink r:id="rId117">
        <w:r>
          <w:rPr>
            <w:rStyle w:val="Hyperlink"/>
          </w:rPr>
          <w:t xml:space="preserve">https://doi.org/10.1111/j.1475-4959.2008.00266.x</w:t>
        </w:r>
      </w:hyperlink>
    </w:p>
    <w:bookmarkEnd w:id="118"/>
    <w:bookmarkStart w:id="120"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119">
        <w:r>
          <w:rPr>
            <w:rStyle w:val="Hyperlink"/>
          </w:rPr>
          <w:t xml:space="preserve">https://doi.org/10.1086/661274</w:t>
        </w:r>
      </w:hyperlink>
    </w:p>
    <w:bookmarkEnd w:id="120"/>
    <w:bookmarkStart w:id="121" w:name="ref-hulme2023"/>
    <w:p>
      <w:pPr>
        <w:pStyle w:val="Bibliografi"/>
      </w:pPr>
      <w:r>
        <w:t xml:space="preserve">Hulme, M. (2023).</w:t>
      </w:r>
      <w:r>
        <w:t xml:space="preserve"> </w:t>
      </w:r>
      <w:r>
        <w:rPr>
          <w:i/>
          <w:iCs/>
        </w:rPr>
        <w:t xml:space="preserve">Climate change isn’t everything</w:t>
      </w:r>
      <w:r>
        <w:t xml:space="preserve">. Polity Press.</w:t>
      </w:r>
    </w:p>
    <w:bookmarkEnd w:id="121"/>
    <w:bookmarkStart w:id="122" w:name="ref-illich2009"/>
    <w:p>
      <w:pPr>
        <w:pStyle w:val="Bibliografi"/>
      </w:pPr>
      <w:r>
        <w:t xml:space="preserve">Illich, I. (2009).</w:t>
      </w:r>
      <w:r>
        <w:t xml:space="preserve"> </w:t>
      </w:r>
      <w:r>
        <w:rPr>
          <w:i/>
          <w:iCs/>
        </w:rPr>
        <w:t xml:space="preserve">Tools for conviviality</w:t>
      </w:r>
      <w:r>
        <w:t xml:space="preserve">. Marion Boyars.</w:t>
      </w:r>
    </w:p>
    <w:bookmarkEnd w:id="122"/>
    <w:bookmarkStart w:id="124"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123">
        <w:r>
          <w:rPr>
            <w:rStyle w:val="Hyperlink"/>
          </w:rPr>
          <w:t xml:space="preserve">https://doi.org/10.1016/0016-3287(90)90077-U</w:t>
        </w:r>
      </w:hyperlink>
    </w:p>
    <w:bookmarkEnd w:id="124"/>
    <w:bookmarkStart w:id="126"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125">
        <w:r>
          <w:rPr>
            <w:rStyle w:val="Hyperlink"/>
          </w:rPr>
          <w:t xml:space="preserve">https://doi.org/10.3763/cdev.2010.0053</w:t>
        </w:r>
      </w:hyperlink>
    </w:p>
    <w:bookmarkEnd w:id="126"/>
    <w:bookmarkStart w:id="128"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127">
        <w:r>
          <w:rPr>
            <w:rStyle w:val="Hyperlink"/>
          </w:rPr>
          <w:t xml:space="preserve">https://doi.org/10.1016/j.geoforum.2013.01.005</w:t>
        </w:r>
      </w:hyperlink>
    </w:p>
    <w:bookmarkEnd w:id="128"/>
    <w:bookmarkStart w:id="130"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129">
        <w:r>
          <w:rPr>
            <w:rStyle w:val="Hyperlink"/>
          </w:rPr>
          <w:t xml:space="preserve">https://doi.org/10.1080/14693062.2021.1947177</w:t>
        </w:r>
      </w:hyperlink>
    </w:p>
    <w:bookmarkEnd w:id="130"/>
    <w:bookmarkStart w:id="131"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131"/>
    <w:bookmarkStart w:id="133" w:name="ref-li2007"/>
    <w:p>
      <w:pPr>
        <w:pStyle w:val="Bibliografi"/>
      </w:pPr>
      <w:r>
        <w:t xml:space="preserve">Li, T. M. (2007).</w:t>
      </w:r>
      <w:r>
        <w:t xml:space="preserve"> </w:t>
      </w:r>
      <w:r>
        <w:rPr>
          <w:i/>
          <w:iCs/>
        </w:rPr>
        <w:t xml:space="preserve">The will to improve: Governmentality, development, and the practice of politics</w:t>
      </w:r>
      <w:r>
        <w:t xml:space="preserve">. Duke University Press.</w:t>
      </w:r>
      <w:r>
        <w:t xml:space="preserve"> </w:t>
      </w:r>
      <w:hyperlink r:id="rId132">
        <w:r>
          <w:rPr>
            <w:rStyle w:val="Hyperlink"/>
          </w:rPr>
          <w:t xml:space="preserve">https://doi.org/10.2307/j.ctv11smt9s</w:t>
        </w:r>
      </w:hyperlink>
    </w:p>
    <w:bookmarkEnd w:id="133"/>
    <w:bookmarkStart w:id="13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134">
        <w:r>
          <w:rPr>
            <w:rStyle w:val="Hyperlink"/>
          </w:rPr>
          <w:t xml:space="preserve">https://doi.org/10.1080/01436597.2015.1045482</w:t>
        </w:r>
      </w:hyperlink>
    </w:p>
    <w:bookmarkEnd w:id="135"/>
    <w:bookmarkStart w:id="13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36">
        <w:r>
          <w:rPr>
            <w:rStyle w:val="Hyperlink"/>
          </w:rPr>
          <w:t xml:space="preserve">https://doi.org/10.1007/s11625-020-00807-9</w:t>
        </w:r>
      </w:hyperlink>
    </w:p>
    <w:bookmarkEnd w:id="137"/>
    <w:bookmarkStart w:id="139" w:name="ref-mignolo2011"/>
    <w:p>
      <w:pPr>
        <w:pStyle w:val="Bibliografi"/>
      </w:pPr>
      <w:r>
        <w:t xml:space="preserve">Mignolo, W. D. (2011).</w:t>
      </w:r>
      <w:r>
        <w:t xml:space="preserve"> </w:t>
      </w:r>
      <w:r>
        <w:rPr>
          <w:i/>
          <w:iCs/>
        </w:rPr>
        <w:t xml:space="preserve">The darker side of western modernity: Global futures, decolonial options</w:t>
      </w:r>
      <w:r>
        <w:t xml:space="preserve">. Duke University Press.</w:t>
      </w:r>
      <w:r>
        <w:t xml:space="preserve"> </w:t>
      </w:r>
      <w:hyperlink r:id="rId138">
        <w:r>
          <w:rPr>
            <w:rStyle w:val="Hyperlink"/>
          </w:rPr>
          <w:t xml:space="preserve">https://doi.org/10.1515/9780822394501</w:t>
        </w:r>
      </w:hyperlink>
    </w:p>
    <w:bookmarkEnd w:id="139"/>
    <w:bookmarkStart w:id="141"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40">
        <w:r>
          <w:rPr>
            <w:rStyle w:val="Hyperlink"/>
          </w:rPr>
          <w:t xml:space="preserve">https://doi.org/10.1080/14693062.2024.2378194</w:t>
        </w:r>
      </w:hyperlink>
    </w:p>
    <w:bookmarkEnd w:id="141"/>
    <w:bookmarkStart w:id="142" w:name="ref-mosse2011"/>
    <w:p>
      <w:pPr>
        <w:pStyle w:val="Bibliografi"/>
      </w:pPr>
      <w:r>
        <w:t xml:space="preserve">Mosse, D. (2011).</w:t>
      </w:r>
      <w:r>
        <w:t xml:space="preserve"> </w:t>
      </w:r>
      <w:r>
        <w:rPr>
          <w:i/>
          <w:iCs/>
        </w:rPr>
        <w:t xml:space="preserve">Adventures in aidland: The anthropology of professionals in international development</w:t>
      </w:r>
      <w:r>
        <w:t xml:space="preserve">. Berghahn Books.</w:t>
      </w:r>
    </w:p>
    <w:bookmarkEnd w:id="142"/>
    <w:bookmarkStart w:id="144"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43">
        <w:r>
          <w:rPr>
            <w:rStyle w:val="Hyperlink"/>
          </w:rPr>
          <w:t xml:space="preserve">https://doi.org/10.1016/j.gloenvcha.2022.102527</w:t>
        </w:r>
      </w:hyperlink>
    </w:p>
    <w:bookmarkEnd w:id="144"/>
    <w:bookmarkStart w:id="146" w:name="ref-nightingale2020"/>
    <w:p>
      <w:pPr>
        <w:pStyle w:val="Bibliografi"/>
      </w:pPr>
      <w:r>
        <w:t xml:space="preserve">Nightingale, A. J., Eriksen, S., Taylor, M., Forsyth, T., Pelling, M., Newsham, A., Boyd, E., Brown, K., Harvey, B., Jones, L., Bezner Kerr, R., Mehta, L., Naess, L. O., Ockwell, D., Scoones, I., Tanner, T., &amp; Whitfield, S. (2020). Beyond technical fixes: Climate solutions and the great derangement.</w:t>
      </w:r>
      <w:r>
        <w:t xml:space="preserve"> </w:t>
      </w:r>
      <w:r>
        <w:rPr>
          <w:i/>
          <w:iCs/>
        </w:rPr>
        <w:t xml:space="preserve">Climate and Development</w:t>
      </w:r>
      <w:r>
        <w:t xml:space="preserve">,</w:t>
      </w:r>
      <w:r>
        <w:t xml:space="preserve"> </w:t>
      </w:r>
      <w:r>
        <w:rPr>
          <w:i/>
          <w:iCs/>
        </w:rPr>
        <w:t xml:space="preserve">12</w:t>
      </w:r>
      <w:r>
        <w:t xml:space="preserve">(4), 343–352.</w:t>
      </w:r>
      <w:r>
        <w:t xml:space="preserve"> </w:t>
      </w:r>
      <w:hyperlink r:id="rId145">
        <w:r>
          <w:rPr>
            <w:rStyle w:val="Hyperlink"/>
          </w:rPr>
          <w:t xml:space="preserve">https://doi.org/10.1080/17565529.2019.1624495</w:t>
        </w:r>
      </w:hyperlink>
    </w:p>
    <w:bookmarkEnd w:id="146"/>
    <w:bookmarkStart w:id="148"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47">
        <w:r>
          <w:rPr>
            <w:rStyle w:val="Hyperlink"/>
          </w:rPr>
          <w:t xml:space="preserve">https://doi.org/10.1080/24694452.2017.1406330</w:t>
        </w:r>
      </w:hyperlink>
    </w:p>
    <w:bookmarkEnd w:id="148"/>
    <w:bookmarkStart w:id="150" w:name="ref-paprocki2019"/>
    <w:p>
      <w:pPr>
        <w:pStyle w:val="Bibliografi"/>
      </w:pPr>
      <w:r>
        <w:t xml:space="preserve">Paprocki, K. (2019). All that is solid melts into the bay: Anticipatory ruination and climate change adaptation.</w:t>
      </w:r>
      <w:r>
        <w:t xml:space="preserve"> </w:t>
      </w:r>
      <w:r>
        <w:rPr>
          <w:i/>
          <w:iCs/>
        </w:rPr>
        <w:t xml:space="preserve">Antipode</w:t>
      </w:r>
      <w:r>
        <w:t xml:space="preserve">,</w:t>
      </w:r>
      <w:r>
        <w:t xml:space="preserve"> </w:t>
      </w:r>
      <w:r>
        <w:rPr>
          <w:i/>
          <w:iCs/>
        </w:rPr>
        <w:t xml:space="preserve">51</w:t>
      </w:r>
      <w:r>
        <w:t xml:space="preserve">(1), 295–315.</w:t>
      </w:r>
      <w:r>
        <w:t xml:space="preserve"> </w:t>
      </w:r>
      <w:hyperlink r:id="rId149">
        <w:r>
          <w:rPr>
            <w:rStyle w:val="Hyperlink"/>
          </w:rPr>
          <w:t xml:space="preserve">https://doi.org/10.1111/anti.12421</w:t>
        </w:r>
      </w:hyperlink>
    </w:p>
    <w:bookmarkEnd w:id="150"/>
    <w:bookmarkStart w:id="152"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51">
        <w:r>
          <w:rPr>
            <w:rStyle w:val="Hyperlink"/>
          </w:rPr>
          <w:t xml:space="preserve">https://doi.org/10.1080/14693062.2013.879514</w:t>
        </w:r>
      </w:hyperlink>
    </w:p>
    <w:bookmarkEnd w:id="152"/>
    <w:bookmarkStart w:id="154"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53">
        <w:r>
          <w:rPr>
            <w:rStyle w:val="Hyperlink"/>
          </w:rPr>
          <w:t xml:space="preserve">https://doi.org/10.1016/j.envsci.2010.10.004</w:t>
        </w:r>
      </w:hyperlink>
    </w:p>
    <w:bookmarkEnd w:id="154"/>
    <w:bookmarkStart w:id="156" w:name="ref-quijano2000"/>
    <w:p>
      <w:pPr>
        <w:pStyle w:val="Bibliografi"/>
      </w:pPr>
      <w:r>
        <w:t xml:space="preserve">Quijano, A., &amp; Ennis, M. (2000). Coloniality of power, eurocentrism, and latin america.</w:t>
      </w:r>
      <w:r>
        <w:t xml:space="preserve"> </w:t>
      </w:r>
      <w:r>
        <w:rPr>
          <w:i/>
          <w:iCs/>
        </w:rPr>
        <w:t xml:space="preserve">Nepantla: Views from South</w:t>
      </w:r>
      <w:r>
        <w:t xml:space="preserve">,</w:t>
      </w:r>
      <w:r>
        <w:t xml:space="preserve"> </w:t>
      </w:r>
      <w:r>
        <w:rPr>
          <w:i/>
          <w:iCs/>
        </w:rPr>
        <w:t xml:space="preserve">1</w:t>
      </w:r>
      <w:r>
        <w:t xml:space="preserve">(3), 533–580.</w:t>
      </w:r>
      <w:r>
        <w:t xml:space="preserve"> </w:t>
      </w:r>
      <w:hyperlink r:id="rId155">
        <w:r>
          <w:rPr>
            <w:rStyle w:val="Hyperlink"/>
          </w:rPr>
          <w:t xml:space="preserve">https://muse.jhu.edu/pub/4/article/23906</w:t>
        </w:r>
      </w:hyperlink>
    </w:p>
    <w:bookmarkEnd w:id="156"/>
    <w:bookmarkStart w:id="157" w:name="ref-reiter2018"/>
    <w:p>
      <w:pPr>
        <w:pStyle w:val="Bibliografi"/>
      </w:pPr>
      <w:r>
        <w:t xml:space="preserve">Reiter, B. (2018).</w:t>
      </w:r>
      <w:r>
        <w:t xml:space="preserve"> </w:t>
      </w:r>
      <w:r>
        <w:rPr>
          <w:i/>
          <w:iCs/>
        </w:rPr>
        <w:t xml:space="preserve">Constructing the pluriverse: The geopolitics of knowledge</w:t>
      </w:r>
      <w:r>
        <w:t xml:space="preserve">. Duke University Press.</w:t>
      </w:r>
    </w:p>
    <w:bookmarkEnd w:id="157"/>
    <w:bookmarkStart w:id="15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58"/>
    <w:bookmarkStart w:id="16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59">
        <w:r>
          <w:rPr>
            <w:rStyle w:val="Hyperlink"/>
          </w:rPr>
          <w:t xml:space="preserve">https://doi.org/10.1111/j.1549-0831.2003.tb00133.x</w:t>
        </w:r>
      </w:hyperlink>
    </w:p>
    <w:bookmarkEnd w:id="160"/>
    <w:bookmarkStart w:id="16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61"/>
    <w:bookmarkStart w:id="16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62">
        <w:r>
          <w:rPr>
            <w:rStyle w:val="Hyperlink"/>
          </w:rPr>
          <w:t xml:space="preserve">https://doi.org/10.1080/17565529.2016.1184608</w:t>
        </w:r>
      </w:hyperlink>
    </w:p>
    <w:bookmarkEnd w:id="163"/>
    <w:bookmarkStart w:id="16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64">
        <w:r>
          <w:rPr>
            <w:rStyle w:val="Hyperlink"/>
          </w:rPr>
          <w:t xml:space="preserve">https://doi.org/10.1080/01621459.2016.1141684</w:t>
        </w:r>
      </w:hyperlink>
    </w:p>
    <w:bookmarkEnd w:id="165"/>
    <w:bookmarkStart w:id="167"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66">
        <w:r>
          <w:rPr>
            <w:rStyle w:val="Hyperlink"/>
          </w:rPr>
          <w:t xml:space="preserve">https://doi.org/10.18637/jss.v091.i02</w:t>
        </w:r>
      </w:hyperlink>
    </w:p>
    <w:bookmarkEnd w:id="167"/>
    <w:bookmarkStart w:id="169"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68">
        <w:r>
          <w:rPr>
            <w:rStyle w:val="Hyperlink"/>
          </w:rPr>
          <w:t xml:space="preserve">https://doi.org/10.4324/9781315634876</w:t>
        </w:r>
      </w:hyperlink>
    </w:p>
    <w:bookmarkEnd w:id="169"/>
    <w:bookmarkStart w:id="171"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70">
        <w:r>
          <w:rPr>
            <w:rStyle w:val="Hyperlink"/>
          </w:rPr>
          <w:t xml:space="preserve">https://doi.org/10.1016/j.oneear.2020.09.014</w:t>
        </w:r>
      </w:hyperlink>
    </w:p>
    <w:bookmarkEnd w:id="171"/>
    <w:bookmarkStart w:id="172" w:name="ref-scott1998"/>
    <w:p>
      <w:pPr>
        <w:pStyle w:val="Bibliografi"/>
      </w:pPr>
      <w:r>
        <w:t xml:space="preserve">Scott, J. C. (1998).</w:t>
      </w:r>
      <w:r>
        <w:t xml:space="preserve"> </w:t>
      </w:r>
      <w:r>
        <w:rPr>
          <w:i/>
          <w:iCs/>
        </w:rPr>
        <w:t xml:space="preserve">Seeing like a state: How certain schemes to improve the human condition have failed</w:t>
      </w:r>
      <w:r>
        <w:t xml:space="preserve"> </w:t>
      </w:r>
      <w:r>
        <w:t xml:space="preserve">(Veritas paperback edition). Yale University Press.</w:t>
      </w:r>
    </w:p>
    <w:bookmarkEnd w:id="172"/>
    <w:bookmarkStart w:id="17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73">
        <w:r>
          <w:rPr>
            <w:rStyle w:val="Hyperlink"/>
          </w:rPr>
          <w:t xml:space="preserve">https://doi.org/10.1016/j.worlddev.2019.104683</w:t>
        </w:r>
      </w:hyperlink>
    </w:p>
    <w:bookmarkEnd w:id="174"/>
    <w:bookmarkStart w:id="17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75"/>
    <w:bookmarkStart w:id="17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76">
        <w:r>
          <w:rPr>
            <w:rStyle w:val="Hyperlink"/>
          </w:rPr>
          <w:t xml:space="preserve">https://www.tidytextmining.com/</w:t>
        </w:r>
      </w:hyperlink>
    </w:p>
    <w:bookmarkEnd w:id="177"/>
    <w:bookmarkStart w:id="17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78"/>
    <w:bookmarkStart w:id="180" w:name="ref-tornel2024"/>
    <w:p>
      <w:pPr>
        <w:pStyle w:val="Bibliografi"/>
      </w:pPr>
      <w:r>
        <w:t xml:space="preserve">Tornel, C. (2024). Development as terracide: Sacrifice zones and extractivism as state policy in mexico.</w:t>
      </w:r>
      <w:r>
        <w:t xml:space="preserve"> </w:t>
      </w:r>
      <w:r>
        <w:rPr>
          <w:i/>
          <w:iCs/>
        </w:rPr>
        <w:t xml:space="preserve">Globalizations</w:t>
      </w:r>
      <w:r>
        <w:t xml:space="preserve">,</w:t>
      </w:r>
      <w:r>
        <w:t xml:space="preserve"> </w:t>
      </w:r>
      <w:r>
        <w:rPr>
          <w:i/>
          <w:iCs/>
        </w:rPr>
        <w:t xml:space="preserve">0</w:t>
      </w:r>
      <w:r>
        <w:t xml:space="preserve">(0), 1–25.</w:t>
      </w:r>
      <w:r>
        <w:t xml:space="preserve"> </w:t>
      </w:r>
      <w:hyperlink r:id="rId179">
        <w:r>
          <w:rPr>
            <w:rStyle w:val="Hyperlink"/>
          </w:rPr>
          <w:t xml:space="preserve">https://doi.org/10.1080/14747731.2024.2424075</w:t>
        </w:r>
      </w:hyperlink>
    </w:p>
    <w:bookmarkEnd w:id="180"/>
    <w:bookmarkStart w:id="18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81">
        <w:r>
          <w:rPr>
            <w:rStyle w:val="Hyperlink"/>
          </w:rPr>
          <w:t xml:space="preserve">https://doi.org/10.1111/reel.12335</w:t>
        </w:r>
      </w:hyperlink>
    </w:p>
    <w:bookmarkEnd w:id="182"/>
    <w:bookmarkStart w:id="183" w:name="ref-tuck2012"/>
    <w:p>
      <w:pPr>
        <w:pStyle w:val="Bibliografi"/>
      </w:pPr>
      <w:r>
        <w:t xml:space="preserve">Tuck, E., &amp; Yang, K. W. (2012). Decolonization is not a metaphor.</w:t>
      </w:r>
      <w:r>
        <w:t xml:space="preserve"> </w:t>
      </w:r>
      <w:r>
        <w:rPr>
          <w:i/>
          <w:iCs/>
        </w:rPr>
        <w:t xml:space="preserve">Decolonization: Indigeneity, Education &amp; Society</w:t>
      </w:r>
      <w:r>
        <w:t xml:space="preserve">,</w:t>
      </w:r>
      <w:r>
        <w:t xml:space="preserve"> </w:t>
      </w:r>
      <w:r>
        <w:rPr>
          <w:i/>
          <w:iCs/>
        </w:rPr>
        <w:t xml:space="preserve">1</w:t>
      </w:r>
      <w:r>
        <w:t xml:space="preserve">(1), 40.</w:t>
      </w:r>
    </w:p>
    <w:bookmarkEnd w:id="183"/>
    <w:bookmarkStart w:id="185"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84">
        <w:r>
          <w:rPr>
            <w:rStyle w:val="Hyperlink"/>
          </w:rPr>
          <w:t xml:space="preserve">https://doi.org/10.1162/GLEP_a_00379</w:t>
        </w:r>
      </w:hyperlink>
    </w:p>
    <w:bookmarkEnd w:id="185"/>
    <w:bookmarkStart w:id="187"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86">
        <w:r>
          <w:rPr>
            <w:rStyle w:val="Hyperlink"/>
          </w:rPr>
          <w:t xml:space="preserve">https://doi.org/10.1162/glep_a_00723</w:t>
        </w:r>
      </w:hyperlink>
    </w:p>
    <w:bookmarkEnd w:id="187"/>
    <w:bookmarkStart w:id="189" w:name="ref-whyte2018"/>
    <w:p>
      <w:pPr>
        <w:pStyle w:val="Bibliografi"/>
      </w:pPr>
      <w:r>
        <w:t xml:space="preserve">Whyte, K. (2018). Settler colonialism, ecology, and environmental injustice.</w:t>
      </w:r>
      <w:r>
        <w:t xml:space="preserve"> </w:t>
      </w:r>
      <w:r>
        <w:rPr>
          <w:i/>
          <w:iCs/>
        </w:rPr>
        <w:t xml:space="preserve">Environment and Society</w:t>
      </w:r>
      <w:r>
        <w:t xml:space="preserve">,</w:t>
      </w:r>
      <w:r>
        <w:t xml:space="preserve"> </w:t>
      </w:r>
      <w:r>
        <w:rPr>
          <w:i/>
          <w:iCs/>
        </w:rPr>
        <w:t xml:space="preserve">9</w:t>
      </w:r>
      <w:r>
        <w:t xml:space="preserve">(1), 125–144.</w:t>
      </w:r>
      <w:r>
        <w:t xml:space="preserve"> </w:t>
      </w:r>
      <w:hyperlink r:id="rId188">
        <w:r>
          <w:rPr>
            <w:rStyle w:val="Hyperlink"/>
          </w:rPr>
          <w:t xml:space="preserve">https://doi.org/10.3167/ares.2018.090109</w:t>
        </w:r>
      </w:hyperlink>
    </w:p>
    <w:bookmarkEnd w:id="189"/>
    <w:bookmarkStart w:id="191" w:name="ref-whyte2020"/>
    <w:p>
      <w:pPr>
        <w:pStyle w:val="Bibliografi"/>
      </w:pPr>
      <w:r>
        <w:t xml:space="preserve">Whyte, K. (2020). Too late for indigenous climate justice: Ecological and relational tipping points.</w:t>
      </w:r>
      <w:r>
        <w:t xml:space="preserve"> </w:t>
      </w:r>
      <w:r>
        <w:rPr>
          <w:i/>
          <w:iCs/>
        </w:rPr>
        <w:t xml:space="preserve">WIREs Climate Change</w:t>
      </w:r>
      <w:r>
        <w:t xml:space="preserve">,</w:t>
      </w:r>
      <w:r>
        <w:t xml:space="preserve"> </w:t>
      </w:r>
      <w:r>
        <w:rPr>
          <w:i/>
          <w:iCs/>
        </w:rPr>
        <w:t xml:space="preserve">11</w:t>
      </w:r>
      <w:r>
        <w:t xml:space="preserve">(1).</w:t>
      </w:r>
      <w:r>
        <w:t xml:space="preserve"> </w:t>
      </w:r>
      <w:hyperlink r:id="rId190">
        <w:r>
          <w:rPr>
            <w:rStyle w:val="Hyperlink"/>
          </w:rPr>
          <w:t xml:space="preserve">https://doi.org/10.1002/wcc.603</w:t>
        </w:r>
      </w:hyperlink>
    </w:p>
    <w:bookmarkEnd w:id="191"/>
    <w:bookmarkStart w:id="193"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92">
        <w:r>
          <w:rPr>
            <w:rStyle w:val="Hyperlink"/>
          </w:rPr>
          <w:t xml:space="preserve">https://doi.org/10.1007/s10584-019-02620-5</w:t>
        </w:r>
      </w:hyperlink>
    </w:p>
    <w:bookmarkEnd w:id="193"/>
    <w:bookmarkStart w:id="195"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94">
        <w:r>
          <w:rPr>
            <w:rStyle w:val="Hyperlink"/>
          </w:rPr>
          <w:t xml:space="preserve">https://doi.org/10.1007/s10113-023-02113-3</w:t>
        </w:r>
      </w:hyperlink>
    </w:p>
    <w:bookmarkEnd w:id="195"/>
    <w:bookmarkEnd w:id="196"/>
    <w:bookmarkEnd w:id="197"/>
    <w:bookmarkStart w:id="198" w:name="r-packages"/>
    <w:p>
      <w:pPr>
        <w:pStyle w:val="Overskrift1"/>
      </w:pPr>
      <w:r>
        <w:t xml:space="preserve">R-packages</w:t>
      </w:r>
    </w:p>
    <w:bookmarkEnd w:id="198"/>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190" Target="https://doi.org/10.1002/wcc.603" TargetMode="External" /><Relationship Type="http://schemas.openxmlformats.org/officeDocument/2006/relationships/hyperlink" Id="rId83"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6" Target="https://doi.org/10.1007/s11625-020-00807-9" TargetMode="External" /><Relationship Type="http://schemas.openxmlformats.org/officeDocument/2006/relationships/hyperlink" Id="rId123" Target="https://doi.org/10.1016/0016-3287(90)90077-U" TargetMode="External" /><Relationship Type="http://schemas.openxmlformats.org/officeDocument/2006/relationships/hyperlink" Id="rId72" Target="https://doi.org/10.1016/0305-750X(94)90030-2" TargetMode="External" /><Relationship Type="http://schemas.openxmlformats.org/officeDocument/2006/relationships/hyperlink" Id="rId153" Target="https://doi.org/10.1016/j.envsci.2010.10.004" TargetMode="External" /><Relationship Type="http://schemas.openxmlformats.org/officeDocument/2006/relationships/hyperlink" Id="rId127" Target="https://doi.org/10.1016/j.geoforum.2013.01.005" TargetMode="External" /><Relationship Type="http://schemas.openxmlformats.org/officeDocument/2006/relationships/hyperlink" Id="rId143" Target="https://doi.org/10.1016/j.gloenvcha.2022.102527" TargetMode="External" /><Relationship Type="http://schemas.openxmlformats.org/officeDocument/2006/relationships/hyperlink" Id="rId64" Target="https://doi.org/10.1016/j.landusepol.2020.104898" TargetMode="External" /><Relationship Type="http://schemas.openxmlformats.org/officeDocument/2006/relationships/hyperlink" Id="rId170" Target="https://doi.org/10.1016/j.oneear.2020.09.014" TargetMode="External" /><Relationship Type="http://schemas.openxmlformats.org/officeDocument/2006/relationships/hyperlink" Id="rId173" Target="https://doi.org/10.1016/j.worlddev.2019.104683" TargetMode="External" /><Relationship Type="http://schemas.openxmlformats.org/officeDocument/2006/relationships/hyperlink" Id="rId100" Target="https://doi.org/10.1016/j.worlddev.2020.105383" TargetMode="External" /><Relationship Type="http://schemas.openxmlformats.org/officeDocument/2006/relationships/hyperlink" Id="rId90" Target="https://doi.org/10.1080/00141844.2020.1788109" TargetMode="External" /><Relationship Type="http://schemas.openxmlformats.org/officeDocument/2006/relationships/hyperlink" Id="rId134" Target="https://doi.org/10.1080/01436597.2015.1045482" TargetMode="External" /><Relationship Type="http://schemas.openxmlformats.org/officeDocument/2006/relationships/hyperlink" Id="rId164" Target="https://doi.org/10.1080/01621459.2016.1141684" TargetMode="External" /><Relationship Type="http://schemas.openxmlformats.org/officeDocument/2006/relationships/hyperlink" Id="rId96" Target="https://doi.org/10.1080/03066150.2021.1907355" TargetMode="External" /><Relationship Type="http://schemas.openxmlformats.org/officeDocument/2006/relationships/hyperlink" Id="rId81" Target="https://doi.org/10.1080/1177083X.2024.2344497" TargetMode="External" /><Relationship Type="http://schemas.openxmlformats.org/officeDocument/2006/relationships/hyperlink" Id="rId92" Target="https://doi.org/10.1080/13642987.2017.1397633" TargetMode="External" /><Relationship Type="http://schemas.openxmlformats.org/officeDocument/2006/relationships/hyperlink" Id="rId109" Target="https://doi.org/10.1080/1369801X.2013.798140" TargetMode="External" /><Relationship Type="http://schemas.openxmlformats.org/officeDocument/2006/relationships/hyperlink" Id="rId151" Target="https://doi.org/10.1080/14693062.2013.879514" TargetMode="External" /><Relationship Type="http://schemas.openxmlformats.org/officeDocument/2006/relationships/hyperlink" Id="rId129" Target="https://doi.org/10.1080/14693062.2021.1947177" TargetMode="External" /><Relationship Type="http://schemas.openxmlformats.org/officeDocument/2006/relationships/hyperlink" Id="rId140" Target="https://doi.org/10.1080/14693062.2024.2378194" TargetMode="External" /><Relationship Type="http://schemas.openxmlformats.org/officeDocument/2006/relationships/hyperlink" Id="rId106"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2" Target="https://doi.org/10.1080/17565529.2016.1184608" TargetMode="External" /><Relationship Type="http://schemas.openxmlformats.org/officeDocument/2006/relationships/hyperlink" Id="rId145" Target="https://doi.org/10.1080/17565529.2019.1624495" TargetMode="External" /><Relationship Type="http://schemas.openxmlformats.org/officeDocument/2006/relationships/hyperlink" Id="rId147" Target="https://doi.org/10.1080/24694452.2017.1406330" TargetMode="External" /><Relationship Type="http://schemas.openxmlformats.org/officeDocument/2006/relationships/hyperlink" Id="rId119" Target="https://doi.org/10.1086/661274" TargetMode="External" /><Relationship Type="http://schemas.openxmlformats.org/officeDocument/2006/relationships/hyperlink" Id="rId85" Target="https://doi.org/10.1093/cdj/bsab050" TargetMode="External" /><Relationship Type="http://schemas.openxmlformats.org/officeDocument/2006/relationships/hyperlink" Id="rId74" Target="https://doi.org/10.1111/amet.13022" TargetMode="External" /><Relationship Type="http://schemas.openxmlformats.org/officeDocument/2006/relationships/hyperlink" Id="rId149" Target="https://doi.org/10.1111/anti.12421" TargetMode="External" /><Relationship Type="http://schemas.openxmlformats.org/officeDocument/2006/relationships/hyperlink" Id="rId94" Target="https://doi.org/10.1111/apv.12084" TargetMode="External" /><Relationship Type="http://schemas.openxmlformats.org/officeDocument/2006/relationships/hyperlink" Id="rId117" Target="https://doi.org/10.1111/j.1475-4959.2008.00266.x" TargetMode="External" /><Relationship Type="http://schemas.openxmlformats.org/officeDocument/2006/relationships/hyperlink" Id="rId159"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68" Target="https://doi.org/10.1177/03091325251337717" TargetMode="External" /><Relationship Type="http://schemas.openxmlformats.org/officeDocument/2006/relationships/hyperlink" Id="rId115" Target="https://doi.org/10.1177/1354066117725157" TargetMode="External" /><Relationship Type="http://schemas.openxmlformats.org/officeDocument/2006/relationships/hyperlink" Id="rId138" Target="https://doi.org/10.1515/9780822394501" TargetMode="External" /><Relationship Type="http://schemas.openxmlformats.org/officeDocument/2006/relationships/hyperlink" Id="rId70" Target="https://doi.org/10.1515/9781400828654" TargetMode="External" /><Relationship Type="http://schemas.openxmlformats.org/officeDocument/2006/relationships/hyperlink" Id="rId166" Target="https://doi.org/10.18637/jss.v091.i02" TargetMode="External" /><Relationship Type="http://schemas.openxmlformats.org/officeDocument/2006/relationships/hyperlink" Id="rId132"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8" Target="https://doi.org/10.3362/9781780440415.001" TargetMode="External" /><Relationship Type="http://schemas.openxmlformats.org/officeDocument/2006/relationships/hyperlink" Id="rId113" Target="https://doi.org/10.3384/cu.2000.1525.1790615" TargetMode="External" /><Relationship Type="http://schemas.openxmlformats.org/officeDocument/2006/relationships/hyperlink" Id="rId125" Target="https://doi.org/10.3763/cdev.2010.0053" TargetMode="External" /><Relationship Type="http://schemas.openxmlformats.org/officeDocument/2006/relationships/hyperlink" Id="rId168" Target="https://doi.org/10.4324/9781315634876" TargetMode="External" /><Relationship Type="http://schemas.openxmlformats.org/officeDocument/2006/relationships/hyperlink" Id="rId155" Target="https://muse.jhu.edu/pub/4/article/23906" TargetMode="External" /><Relationship Type="http://schemas.openxmlformats.org/officeDocument/2006/relationships/hyperlink" Id="rId79" Target="https://www.climatepolicyinitiative.org/wp-content/uploads/2023/11/GLCF-2023-Methodology.pdf" TargetMode="External" /><Relationship Type="http://schemas.openxmlformats.org/officeDocument/2006/relationships/hyperlink" Id="rId102" Target="https://www.jstor.org/stable/j.ctt7rtgw" TargetMode="External" /><Relationship Type="http://schemas.openxmlformats.org/officeDocument/2006/relationships/hyperlink" Id="rId88" Target="https://www.jstor.org/stable/j.ctv2114fm3" TargetMode="External" /><Relationship Type="http://schemas.openxmlformats.org/officeDocument/2006/relationships/hyperlink" Id="rId17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wcc.603" TargetMode="External" /><Relationship Type="http://schemas.openxmlformats.org/officeDocument/2006/relationships/hyperlink" Id="rId83"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6" Target="https://doi.org/10.1007/s11625-020-00807-9" TargetMode="External" /><Relationship Type="http://schemas.openxmlformats.org/officeDocument/2006/relationships/hyperlink" Id="rId123" Target="https://doi.org/10.1016/0016-3287(90)90077-U" TargetMode="External" /><Relationship Type="http://schemas.openxmlformats.org/officeDocument/2006/relationships/hyperlink" Id="rId72" Target="https://doi.org/10.1016/0305-750X(94)90030-2" TargetMode="External" /><Relationship Type="http://schemas.openxmlformats.org/officeDocument/2006/relationships/hyperlink" Id="rId153" Target="https://doi.org/10.1016/j.envsci.2010.10.004" TargetMode="External" /><Relationship Type="http://schemas.openxmlformats.org/officeDocument/2006/relationships/hyperlink" Id="rId127" Target="https://doi.org/10.1016/j.geoforum.2013.01.005" TargetMode="External" /><Relationship Type="http://schemas.openxmlformats.org/officeDocument/2006/relationships/hyperlink" Id="rId143" Target="https://doi.org/10.1016/j.gloenvcha.2022.102527" TargetMode="External" /><Relationship Type="http://schemas.openxmlformats.org/officeDocument/2006/relationships/hyperlink" Id="rId64" Target="https://doi.org/10.1016/j.landusepol.2020.104898" TargetMode="External" /><Relationship Type="http://schemas.openxmlformats.org/officeDocument/2006/relationships/hyperlink" Id="rId170" Target="https://doi.org/10.1016/j.oneear.2020.09.014" TargetMode="External" /><Relationship Type="http://schemas.openxmlformats.org/officeDocument/2006/relationships/hyperlink" Id="rId173" Target="https://doi.org/10.1016/j.worlddev.2019.104683" TargetMode="External" /><Relationship Type="http://schemas.openxmlformats.org/officeDocument/2006/relationships/hyperlink" Id="rId100" Target="https://doi.org/10.1016/j.worlddev.2020.105383" TargetMode="External" /><Relationship Type="http://schemas.openxmlformats.org/officeDocument/2006/relationships/hyperlink" Id="rId90" Target="https://doi.org/10.1080/00141844.2020.1788109" TargetMode="External" /><Relationship Type="http://schemas.openxmlformats.org/officeDocument/2006/relationships/hyperlink" Id="rId134" Target="https://doi.org/10.1080/01436597.2015.1045482" TargetMode="External" /><Relationship Type="http://schemas.openxmlformats.org/officeDocument/2006/relationships/hyperlink" Id="rId164" Target="https://doi.org/10.1080/01621459.2016.1141684" TargetMode="External" /><Relationship Type="http://schemas.openxmlformats.org/officeDocument/2006/relationships/hyperlink" Id="rId96" Target="https://doi.org/10.1080/03066150.2021.1907355" TargetMode="External" /><Relationship Type="http://schemas.openxmlformats.org/officeDocument/2006/relationships/hyperlink" Id="rId81" Target="https://doi.org/10.1080/1177083X.2024.2344497" TargetMode="External" /><Relationship Type="http://schemas.openxmlformats.org/officeDocument/2006/relationships/hyperlink" Id="rId92" Target="https://doi.org/10.1080/13642987.2017.1397633" TargetMode="External" /><Relationship Type="http://schemas.openxmlformats.org/officeDocument/2006/relationships/hyperlink" Id="rId109" Target="https://doi.org/10.1080/1369801X.2013.798140" TargetMode="External" /><Relationship Type="http://schemas.openxmlformats.org/officeDocument/2006/relationships/hyperlink" Id="rId151" Target="https://doi.org/10.1080/14693062.2013.879514" TargetMode="External" /><Relationship Type="http://schemas.openxmlformats.org/officeDocument/2006/relationships/hyperlink" Id="rId129" Target="https://doi.org/10.1080/14693062.2021.1947177" TargetMode="External" /><Relationship Type="http://schemas.openxmlformats.org/officeDocument/2006/relationships/hyperlink" Id="rId140" Target="https://doi.org/10.1080/14693062.2024.2378194" TargetMode="External" /><Relationship Type="http://schemas.openxmlformats.org/officeDocument/2006/relationships/hyperlink" Id="rId106"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2" Target="https://doi.org/10.1080/17565529.2016.1184608" TargetMode="External" /><Relationship Type="http://schemas.openxmlformats.org/officeDocument/2006/relationships/hyperlink" Id="rId145" Target="https://doi.org/10.1080/17565529.2019.1624495" TargetMode="External" /><Relationship Type="http://schemas.openxmlformats.org/officeDocument/2006/relationships/hyperlink" Id="rId147" Target="https://doi.org/10.1080/24694452.2017.1406330" TargetMode="External" /><Relationship Type="http://schemas.openxmlformats.org/officeDocument/2006/relationships/hyperlink" Id="rId119" Target="https://doi.org/10.1086/661274" TargetMode="External" /><Relationship Type="http://schemas.openxmlformats.org/officeDocument/2006/relationships/hyperlink" Id="rId85" Target="https://doi.org/10.1093/cdj/bsab050" TargetMode="External" /><Relationship Type="http://schemas.openxmlformats.org/officeDocument/2006/relationships/hyperlink" Id="rId74" Target="https://doi.org/10.1111/amet.13022" TargetMode="External" /><Relationship Type="http://schemas.openxmlformats.org/officeDocument/2006/relationships/hyperlink" Id="rId149" Target="https://doi.org/10.1111/anti.12421" TargetMode="External" /><Relationship Type="http://schemas.openxmlformats.org/officeDocument/2006/relationships/hyperlink" Id="rId94" Target="https://doi.org/10.1111/apv.12084" TargetMode="External" /><Relationship Type="http://schemas.openxmlformats.org/officeDocument/2006/relationships/hyperlink" Id="rId117" Target="https://doi.org/10.1111/j.1475-4959.2008.00266.x" TargetMode="External" /><Relationship Type="http://schemas.openxmlformats.org/officeDocument/2006/relationships/hyperlink" Id="rId159"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68" Target="https://doi.org/10.1177/03091325251337717" TargetMode="External" /><Relationship Type="http://schemas.openxmlformats.org/officeDocument/2006/relationships/hyperlink" Id="rId115" Target="https://doi.org/10.1177/1354066117725157" TargetMode="External" /><Relationship Type="http://schemas.openxmlformats.org/officeDocument/2006/relationships/hyperlink" Id="rId138" Target="https://doi.org/10.1515/9780822394501" TargetMode="External" /><Relationship Type="http://schemas.openxmlformats.org/officeDocument/2006/relationships/hyperlink" Id="rId70" Target="https://doi.org/10.1515/9781400828654" TargetMode="External" /><Relationship Type="http://schemas.openxmlformats.org/officeDocument/2006/relationships/hyperlink" Id="rId166" Target="https://doi.org/10.18637/jss.v091.i02" TargetMode="External" /><Relationship Type="http://schemas.openxmlformats.org/officeDocument/2006/relationships/hyperlink" Id="rId132"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8" Target="https://doi.org/10.3362/9781780440415.001" TargetMode="External" /><Relationship Type="http://schemas.openxmlformats.org/officeDocument/2006/relationships/hyperlink" Id="rId113" Target="https://doi.org/10.3384/cu.2000.1525.1790615" TargetMode="External" /><Relationship Type="http://schemas.openxmlformats.org/officeDocument/2006/relationships/hyperlink" Id="rId125" Target="https://doi.org/10.3763/cdev.2010.0053" TargetMode="External" /><Relationship Type="http://schemas.openxmlformats.org/officeDocument/2006/relationships/hyperlink" Id="rId168" Target="https://doi.org/10.4324/9781315634876" TargetMode="External" /><Relationship Type="http://schemas.openxmlformats.org/officeDocument/2006/relationships/hyperlink" Id="rId155" Target="https://muse.jhu.edu/pub/4/article/23906" TargetMode="External" /><Relationship Type="http://schemas.openxmlformats.org/officeDocument/2006/relationships/hyperlink" Id="rId79" Target="https://www.climatepolicyinitiative.org/wp-content/uploads/2023/11/GLCF-2023-Methodology.pdf" TargetMode="External" /><Relationship Type="http://schemas.openxmlformats.org/officeDocument/2006/relationships/hyperlink" Id="rId102" Target="https://www.jstor.org/stable/j.ctt7rtgw" TargetMode="External" /><Relationship Type="http://schemas.openxmlformats.org/officeDocument/2006/relationships/hyperlink" Id="rId88" Target="https://www.jstor.org/stable/j.ctv2114fm3" TargetMode="External" /><Relationship Type="http://schemas.openxmlformats.org/officeDocument/2006/relationships/hyperlink" Id="rId17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2025-05-25T15:38:52Z</dcterms:created>
  <dcterms:modified xsi:type="dcterms:W3CDTF">2025-05-25T15:38:52Z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