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F51F3" w14:textId="4C01A986" w:rsidR="006408B5" w:rsidRPr="00043B7A" w:rsidRDefault="006408B5" w:rsidP="006408B5">
      <w:pPr>
        <w:pStyle w:val="Abstract"/>
      </w:pPr>
      <w:r>
        <w:t xml:space="preserve">We </w:t>
      </w:r>
      <w:r w:rsidRPr="00F5113A">
        <w:t>examined how South Indian students construct their social identities from multiple group memberships</w:t>
      </w:r>
      <w:r>
        <w:t>—</w:t>
      </w:r>
      <w:r w:rsidRPr="00F5113A">
        <w:t>and whether contact with caste and religious outgroups fosters more inclusive</w:t>
      </w:r>
      <w:r>
        <w:t xml:space="preserve"> social</w:t>
      </w:r>
      <w:r w:rsidRPr="00F5113A">
        <w:t xml:space="preserve"> identities.</w:t>
      </w:r>
      <w:r>
        <w:t xml:space="preserve"> </w:t>
      </w:r>
      <w:r w:rsidRPr="00043B7A">
        <w:t>Participants (</w:t>
      </w:r>
      <w:r w:rsidRPr="00CF62D0">
        <w:t>N</w:t>
      </w:r>
      <w:r>
        <w:t> </w:t>
      </w:r>
      <w:r w:rsidRPr="00043B7A">
        <w:t>=</w:t>
      </w:r>
      <w:r>
        <w:t> </w:t>
      </w:r>
      <w:r w:rsidRPr="00043B7A">
        <w:t xml:space="preserve">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w:t>
      </w:r>
      <w:r>
        <w:t xml:space="preserve">participants tended to exclude caste and religious minorities, replicating persistent social divides. </w:t>
      </w:r>
      <w:r w:rsidRPr="00043B7A">
        <w:t>Bridging these divides, cross-group friendship was associated with more inclusive identities, while more inclusive identities were associated with more favourable outgroup attitudes. Negative contact was associated with less inclusive identities.</w:t>
      </w:r>
      <w:r>
        <w:t xml:space="preserve"> Contact experiences and identity processes were unrelated to support for affirmative action among advantaged- and disadvantaged-group participants.</w:t>
      </w:r>
      <w:r w:rsidR="00A41B22">
        <w:t xml:space="preserve"> </w:t>
      </w:r>
      <w:commentRangeStart w:id="0"/>
      <w:r>
        <w:t>We discuss implications for caste and ethnoreligious relations in South India.</w:t>
      </w:r>
      <w:commentRangeEnd w:id="0"/>
      <w:r w:rsidR="00E879C6">
        <w:rPr>
          <w:rStyle w:val="CommentReference"/>
          <w:i w:val="0"/>
        </w:rPr>
        <w:commentReference w:id="0"/>
      </w:r>
      <w:r w:rsidR="00A41B22">
        <w:rPr>
          <w:rStyle w:val="CommentReference"/>
          <w:i w:val="0"/>
        </w:rPr>
        <w:commentReference w:id="1"/>
      </w:r>
    </w:p>
    <w:p w14:paraId="20C6E54D" w14:textId="74F3C0AD" w:rsidR="0003654D" w:rsidRDefault="0003654D" w:rsidP="00CD5CAA">
      <w:pPr>
        <w:pStyle w:val="Heading1"/>
      </w:pPr>
      <w:r>
        <w:t>Method</w:t>
      </w:r>
    </w:p>
    <w:p w14:paraId="4633B5F7" w14:textId="6D6921D4"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381332" w:rsidRPr="00381332">
        <w:t>https://osf.io/ekb8z/?view_only=05b6a5c5cf5e43d9a7bba5e192f53f87</w:t>
      </w:r>
      <w:r w:rsidR="006F726D">
        <w:t>)</w:t>
      </w:r>
      <w:commentRangeStart w:id="2"/>
      <w:r w:rsidR="009F6B9F">
        <w:t>.</w:t>
      </w:r>
      <w:commentRangeEnd w:id="2"/>
      <w:r w:rsidR="00C77D7E">
        <w:rPr>
          <w:rStyle w:val="CommentReference"/>
        </w:rPr>
        <w:commentReference w:id="2"/>
      </w:r>
      <w:r w:rsidR="009929B7">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w:t>
      </w:r>
      <w:r w:rsidR="00646248">
        <w:t>validating the categorization task</w:t>
      </w:r>
      <w:r w:rsidR="008A0122">
        <w:t xml:space="preserve"> (Appendix</w:t>
      </w:r>
      <w:r w:rsidR="00CF3E9D">
        <w:t> </w:t>
      </w:r>
      <w:r w:rsidR="008A0122">
        <w:t>X).</w:t>
      </w:r>
    </w:p>
    <w:p w14:paraId="50A7275F" w14:textId="6FF2C5CF" w:rsidR="00F359D6" w:rsidRPr="00F359D6" w:rsidRDefault="00F359D6" w:rsidP="00F359D6">
      <w:pPr>
        <w:pStyle w:val="Heading2"/>
      </w:pPr>
      <w:r>
        <w:t>Participants</w:t>
      </w:r>
    </w:p>
    <w:p w14:paraId="60BB33AC" w14:textId="793B3B32" w:rsidR="0003654D" w:rsidRDefault="00BF3FB9" w:rsidP="00BF3FB9">
      <w:pPr>
        <w:pStyle w:val="FirstParagraph"/>
      </w:pPr>
      <w:r>
        <w:t>Three hundred and fifty-one students at</w:t>
      </w:r>
      <w:bookmarkStart w:id="3" w:name="_GoBack"/>
      <w:bookmarkEnd w:id="3"/>
      <w:r>
        <w:t xml:space="preserve"> Karnatak University (Dharwad, India) participated in exchange for writing materials.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1"/>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1 summarises participants</w:t>
      </w:r>
      <w:r w:rsidR="00750292">
        <w:t>’</w:t>
      </w:r>
      <w:r>
        <w:t xml:space="preserve"> gender, age, nationality, religion, and caste</w:t>
      </w:r>
      <w:commentRangeStart w:id="4"/>
      <w:r>
        <w:t>.</w:t>
      </w:r>
      <w:commentRangeEnd w:id="4"/>
      <w:r w:rsidR="00BC5333">
        <w:rPr>
          <w:rStyle w:val="CommentReference"/>
        </w:rPr>
        <w:commentReference w:id="4"/>
      </w:r>
    </w:p>
    <w:p w14:paraId="47C483A2" w14:textId="42DC2A49" w:rsidR="00F359D6" w:rsidRDefault="009B787A" w:rsidP="009B787A">
      <w:pPr>
        <w:pStyle w:val="Heading2"/>
      </w:pPr>
      <w:r>
        <w:t>Procedure</w:t>
      </w:r>
    </w:p>
    <w:p w14:paraId="134EF7D5" w14:textId="18112573" w:rsidR="00B56ED9" w:rsidRPr="00B56ED9" w:rsidRDefault="00B56ED9" w:rsidP="00B56ED9">
      <w:pPr>
        <w:pStyle w:val="FirstParagraph"/>
      </w:pPr>
      <w:r>
        <w:t>In the first par</w:t>
      </w:r>
      <w:r w:rsidR="005E0359">
        <w:t>t</w:t>
      </w:r>
      <w:r>
        <w:t xml:space="preserve">, </w:t>
      </w:r>
      <w:r w:rsidR="0097484F">
        <w:t xml:space="preserve">… </w:t>
      </w:r>
      <w:r w:rsidR="005674D2">
        <w:t xml:space="preserve">In the second part, </w:t>
      </w:r>
      <w:r w:rsidR="00AA42F3">
        <w:t>…</w:t>
      </w:r>
    </w:p>
    <w:p w14:paraId="23C93307" w14:textId="6F89D195" w:rsidR="009B787A" w:rsidRDefault="009B787A" w:rsidP="009B787A">
      <w:pPr>
        <w:pStyle w:val="Heading2"/>
      </w:pPr>
      <w:r>
        <w:lastRenderedPageBreak/>
        <w:t>Measures</w:t>
      </w:r>
    </w:p>
    <w:p w14:paraId="736E34E5" w14:textId="70C5CC73"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Outgroup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proofErr w:type="spellStart"/>
      <w:r w:rsidRPr="006F069C">
        <w:rPr>
          <w:i/>
        </w:rPr>
        <w:t>rs</w:t>
      </w:r>
      <w:proofErr w:type="spellEnd"/>
      <w:r>
        <w:t xml:space="preserve"> ≤ .58). Participants reported </w:t>
      </w:r>
      <w:r w:rsidR="000F1D48">
        <w:t>contact</w:t>
      </w:r>
      <w:r>
        <w:t xml:space="preserve"> with four groups: Dalits, people from other backward classes, people from general castes, and Muslims.</w:t>
      </w:r>
    </w:p>
    <w:p w14:paraId="65F034A4" w14:textId="67F7BA06"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(SDO</w:t>
      </w:r>
      <w:r w:rsidRPr="00A74213">
        <w:rPr>
          <w:vertAlign w:val="subscript"/>
        </w:rPr>
        <w:t>7(S)</w:t>
      </w:r>
      <w:r w:rsidR="003773E1" w:rsidRPr="003773E1">
        <w:t>;</w:t>
      </w:r>
      <w:r>
        <w:t xml:space="preserve"> Ho et al., 2015). Four items measured to what extent participants supported systems of group-based dominance (</w:t>
      </w:r>
      <w:r w:rsidRPr="000F1D48">
        <w:t>SDO-Dominance</w:t>
      </w:r>
      <w:r>
        <w:t>), for example</w:t>
      </w:r>
      <w:r w:rsidR="005F5740">
        <w:t>,</w:t>
      </w:r>
      <w:r>
        <w:t xml:space="preserve"> “Some groups of people are simply inferior to other groups”. Four items measured to what extent participants opposed egalitarian ideologies (</w:t>
      </w:r>
      <w:r w:rsidRPr="000F1D48">
        <w:t>SDO-Egalitarianism</w:t>
      </w:r>
      <w:r>
        <w:t>), for example</w:t>
      </w:r>
      <w:r w:rsidR="005F5740">
        <w:t>,</w:t>
      </w:r>
      <w:r>
        <w:t xml:space="preserve"> “It is unjust to try to make groups equal”</w:t>
      </w:r>
      <w:commentRangeStart w:id="5"/>
      <w:r>
        <w:t>.</w:t>
      </w:r>
      <w:commentRangeEnd w:id="5"/>
      <w:r w:rsidR="00CE5B2D">
        <w:rPr>
          <w:rStyle w:val="CommentReference"/>
        </w:rPr>
        <w:commentReference w:id="5"/>
      </w:r>
    </w:p>
    <w:p w14:paraId="7FC1BB9D" w14:textId="4E2FCF66"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“The more power [Muslims/Dalits] gain in this country, the more 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.44</w:t>
      </w:r>
      <w:r w:rsidR="00BA6D66">
        <w:t> </w:t>
      </w:r>
      <w:r>
        <w:t>≤</w:t>
      </w:r>
      <w:r w:rsidR="00BA6D66">
        <w:t> </w:t>
      </w:r>
      <w:proofErr w:type="spellStart"/>
      <w:r w:rsidRPr="001D08EA">
        <w:rPr>
          <w:i/>
        </w:rPr>
        <w:t>rs</w:t>
      </w:r>
      <w:proofErr w:type="spellEnd"/>
      <w:r w:rsidR="00BA6D66">
        <w:rPr>
          <w:i/>
        </w:rPr>
        <w:t> </w:t>
      </w:r>
      <w:r>
        <w:t>≤</w:t>
      </w:r>
      <w:r w:rsidR="00BA6D66">
        <w:t> </w:t>
      </w:r>
      <w:r>
        <w:t>.48).</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2E44E822"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 (SC) and Scheduled Tribe (ST) students”</w:t>
      </w:r>
      <w:r w:rsidR="00485A1D">
        <w:t>, and</w:t>
      </w:r>
      <w:r w:rsidR="00745BB3">
        <w:t xml:space="preserve"> that “an additional 27.5% of seats in central-government funded universities are reserved for students from Other Backward Classes (OBC)”</w:t>
      </w:r>
      <w:r w:rsidR="00485A1D">
        <w:t xml:space="preserve">. For each group, participants indicated to what extent they opposed or supported reservation in higher </w:t>
      </w:r>
      <w:r w:rsidR="00485A1D">
        <w:lastRenderedPageBreak/>
        <w:t xml:space="preserve">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proofErr w:type="spellStart"/>
      <w:r w:rsidR="00485A1D" w:rsidRPr="00AB4243">
        <w:rPr>
          <w:i/>
        </w:rPr>
        <w:t>r</w:t>
      </w:r>
      <w:r w:rsidR="00485A1D" w:rsidRPr="00F236A7">
        <w:rPr>
          <w:i/>
          <w:vertAlign w:val="subscript"/>
        </w:rPr>
        <w:t>SC</w:t>
      </w:r>
      <w:proofErr w:type="spellEnd"/>
      <w:r w:rsidR="00485A1D" w:rsidRPr="00F236A7">
        <w:rPr>
          <w:i/>
          <w:vertAlign w:val="subscript"/>
        </w:rPr>
        <w:t>/ST</w:t>
      </w:r>
      <w:r w:rsidR="00485A1D">
        <w:t xml:space="preserve"> = .67, </w:t>
      </w:r>
      <w:proofErr w:type="spellStart"/>
      <w:r w:rsidR="00485A1D" w:rsidRPr="00AB4243">
        <w:rPr>
          <w:i/>
        </w:rPr>
        <w:t>r</w:t>
      </w:r>
      <w:r w:rsidR="00485A1D">
        <w:rPr>
          <w:i/>
          <w:vertAlign w:val="subscript"/>
        </w:rPr>
        <w:t>OBC</w:t>
      </w:r>
      <w:proofErr w:type="spellEnd"/>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students in higher education.</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Third, we tested what</w:t>
      </w:r>
      <w:r w:rsidR="002A0FC1" w:rsidRPr="00B07024">
        <w:t xml:space="preserve"> </w:t>
      </w:r>
      <w:r w:rsidRPr="00B07024">
        <w:t xml:space="preserve">consequences participants’ categorizations had </w:t>
      </w:r>
      <w:r w:rsidR="002A0FC1" w:rsidRPr="00B07024">
        <w:t>on their attitudes and beliefs</w:t>
      </w:r>
      <w:commentRangeStart w:id="6"/>
      <w:r w:rsidRPr="00B07024">
        <w:t>.</w:t>
      </w:r>
      <w:commentRangeEnd w:id="6"/>
      <w:r w:rsidR="00B75094">
        <w:rPr>
          <w:rStyle w:val="CommentReference"/>
        </w:rPr>
        <w:commentReference w:id="6"/>
      </w:r>
    </w:p>
    <w:p w14:paraId="2BBD79E0" w14:textId="44EC3183" w:rsidR="00436137" w:rsidRPr="002A0FC1" w:rsidRDefault="00436137" w:rsidP="002A0FC1">
      <w:pPr>
        <w:pStyle w:val="Heading2"/>
      </w:pPr>
      <w:r w:rsidRPr="002A0FC1">
        <w:t>Group differences</w:t>
      </w:r>
    </w:p>
    <w:p w14:paraId="218DBAD6" w14:textId="6B7288D3"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categorise </w:t>
      </w:r>
      <w:r w:rsidRPr="002A0FC1">
        <w:rPr>
          <w:i/>
        </w:rPr>
        <w:t>which</w:t>
      </w:r>
      <w:r w:rsidRPr="002A0FC1">
        <w:t xml:space="preserve"> target as “us” versus “not us”—and how that probability varied across targets’ and participants’ group memberships.</w:t>
      </w:r>
    </w:p>
    <w:p w14:paraId="4A56080B" w14:textId="201C0A63" w:rsidR="002604C6" w:rsidRDefault="00B96E80" w:rsidP="007A5CC0">
      <w:pPr>
        <w:spacing w:after="240"/>
      </w:pPr>
      <w:r w:rsidRPr="002A0FC1">
        <w:t xml:space="preserve">To that end, we estimated a series of Bayesian multilevel models in RStan (Stan Development Team, 2018) with participants’ target categorisations (1 = “us”, 0 = “not us”) as outcome variable. </w:t>
      </w:r>
      <w:r w:rsidR="00DB3F4B">
        <w:t xml:space="preserve">Models derived the likelihood of the observed proportions of “us” categorisations from the Bernoulli distribution with a logit link function. </w:t>
      </w:r>
      <w:r w:rsidR="00DC2449">
        <w:t xml:space="preserve">Models assigned weakly informative prior </w:t>
      </w:r>
      <w:r w:rsidR="00B8622D">
        <w:t>distributions</w:t>
      </w:r>
      <w:r w:rsidR="00DC2449">
        <w:t xml:space="preserve"> to all fixed intercepts</w:t>
      </w:r>
      <w:r w:rsidR="00CB3E7A">
        <w:t xml:space="preserve"> and </w:t>
      </w:r>
      <w:r w:rsidR="00DC2449">
        <w:t xml:space="preserve">coefficients </w:t>
      </w:r>
      <w:r w:rsidR="00F4301F">
        <w:t>(Gelman, Simpson &amp; Betancourt, 2017)</w:t>
      </w:r>
      <w:r w:rsidR="0078194C">
        <w:t xml:space="preserve">. Models </w:t>
      </w:r>
      <w:r w:rsidR="00D43B46">
        <w:t>used the non-centred parameterisation for all varying intercepts</w:t>
      </w:r>
      <w:r w:rsidR="00A60C86">
        <w:t xml:space="preserve"> </w:t>
      </w:r>
      <w:r w:rsidR="00217478">
        <w:t>(McElreath</w:t>
      </w:r>
      <w:r w:rsidR="0062553E">
        <w:t>, 2016).</w:t>
      </w:r>
      <w:r w:rsidR="00C7006E">
        <w:t xml:space="preserve"> </w:t>
      </w:r>
      <w:r w:rsidR="008463F8">
        <w:t>M</w:t>
      </w:r>
      <w:r w:rsidR="00170BEC">
        <w:t>odel</w:t>
      </w:r>
      <w:r w:rsidR="00E565FB">
        <w:t> </w:t>
      </w:r>
      <w:r w:rsidR="00170BEC">
        <w:t>0, for example, estimated the probability of participants categori</w:t>
      </w:r>
      <w:r w:rsidR="00F01E90">
        <w:t>z</w:t>
      </w:r>
      <w:r w:rsidR="00170BEC">
        <w:t>ing a target as “us” versus “not us” as varying between participants but fixed across target: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proofErr w:type="spellStart"/>
            <w:r w:rsidRPr="00FF0F12">
              <w:rPr>
                <w:rFonts w:asciiTheme="minorHAnsi" w:hAnsiTheme="minorHAnsi"/>
                <w:i/>
              </w:rPr>
              <w:t>y</w:t>
            </w:r>
            <w:r w:rsidRPr="00FF0F12">
              <w:rPr>
                <w:rFonts w:asciiTheme="minorHAnsi" w:hAnsiTheme="minorHAnsi"/>
                <w:i/>
                <w:vertAlign w:val="subscript"/>
              </w:rPr>
              <w:t>ij</w:t>
            </w:r>
            <w:proofErr w:type="spellEnd"/>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t>logit(</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r>
              <w:rPr>
                <w:rFonts w:asciiTheme="minorHAnsi" w:hAnsiTheme="minorHAnsi"/>
              </w:rPr>
              <w:t xml:space="preserve"> = </w:t>
            </w:r>
          </w:p>
        </w:tc>
        <w:tc>
          <w:tcPr>
            <w:tcW w:w="5029" w:type="dxa"/>
            <w:vAlign w:val="center"/>
          </w:tcPr>
          <w:p w14:paraId="641BA5AE" w14:textId="2EFE74F1"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i/>
              </w:rPr>
              <w:t>β</w:t>
            </w:r>
            <w:r w:rsidRPr="00FF0F12">
              <w:rPr>
                <w:rFonts w:asciiTheme="minorHAnsi" w:hAnsiTheme="minorHAnsi"/>
                <w:vertAlign w:val="subscript"/>
              </w:rPr>
              <w:t>0</w:t>
            </w:r>
            <w:r w:rsidRPr="00FF0F12">
              <w:rPr>
                <w:rFonts w:asciiTheme="minorHAnsi" w:hAnsiTheme="minorHAnsi"/>
              </w:rPr>
              <w:t xml:space="preserve"> + </w:t>
            </w:r>
            <w:r w:rsidRPr="007A5CC0">
              <w:rPr>
                <w:rFonts w:asciiTheme="minorHAnsi" w:hAnsiTheme="minorHAnsi"/>
                <w:i/>
              </w:rPr>
              <w:t>σ</w:t>
            </w:r>
            <w:r w:rsidRPr="00FF0F12">
              <w:rPr>
                <w:rFonts w:asciiTheme="minorHAnsi" w:hAnsiTheme="minorHAnsi"/>
                <w:i/>
              </w:rPr>
              <w:t>β</w:t>
            </w:r>
            <w:r w:rsidRPr="00FF0F12">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Student(2.5,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Normal(</w:t>
            </w:r>
            <w:r w:rsidRPr="00FF0F12">
              <w:rPr>
                <w:rFonts w:asciiTheme="minorHAnsi" w:hAnsiTheme="minorHAnsi"/>
              </w:rPr>
              <w:t>0, 1)</w:t>
            </w:r>
          </w:p>
        </w:tc>
      </w:tr>
      <w:tr w:rsidR="002604C6" w14:paraId="5C1E6D9E" w14:textId="77777777" w:rsidTr="002604C6">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lastRenderedPageBreak/>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Cauchy(0, 1)</w:t>
            </w:r>
          </w:p>
        </w:tc>
      </w:tr>
    </w:tbl>
    <w:p w14:paraId="3A5E1E35" w14:textId="3F4629E3" w:rsidR="000C5F5B" w:rsidRDefault="000C5F5B" w:rsidP="007A5CC0">
      <w:pPr>
        <w:pStyle w:val="FirstParagraph"/>
        <w:spacing w:before="240"/>
        <w:rPr>
          <w:rFonts w:asciiTheme="minorHAnsi" w:hAnsiTheme="minorHAnsi"/>
        </w:rPr>
      </w:pPr>
      <w:r>
        <w:t xml:space="preserve">where </w:t>
      </w:r>
      <w:proofErr w:type="spellStart"/>
      <w:r w:rsidR="00B4367D" w:rsidRPr="00FF0F12">
        <w:rPr>
          <w:rFonts w:asciiTheme="minorHAnsi" w:hAnsiTheme="minorHAnsi"/>
          <w:i/>
        </w:rPr>
        <w:t>θ</w:t>
      </w:r>
      <w:r w:rsidR="00B4367D" w:rsidRPr="00FF0F12">
        <w:rPr>
          <w:rFonts w:asciiTheme="minorHAnsi" w:hAnsiTheme="minorHAnsi"/>
          <w:i/>
          <w:vertAlign w:val="subscript"/>
        </w:rPr>
        <w:t>ij</w:t>
      </w:r>
      <w:proofErr w:type="spellEnd"/>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proofErr w:type="spellStart"/>
      <w:r w:rsidR="00B4367D">
        <w:rPr>
          <w:rFonts w:asciiTheme="minorHAnsi" w:hAnsiTheme="minorHAnsi"/>
          <w:i/>
        </w:rPr>
        <w:t>i</w:t>
      </w:r>
      <w:proofErr w:type="spellEnd"/>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2"/>
      </w:r>
    </w:p>
    <w:p w14:paraId="01C1AFAD" w14:textId="633C0C25" w:rsidR="00235F6E" w:rsidRDefault="00235F6E" w:rsidP="00235F6E">
      <w:commentRangeStart w:id="7"/>
      <w:r>
        <w:t>…</w:t>
      </w:r>
      <w:commentRangeEnd w:id="7"/>
      <w:r w:rsidR="00E83724">
        <w:rPr>
          <w:rStyle w:val="CommentReference"/>
        </w:rPr>
        <w:commentReference w:id="7"/>
      </w:r>
    </w:p>
    <w:p w14:paraId="11AACD6C" w14:textId="6834BCA0" w:rsidR="00235F6E" w:rsidRDefault="0044181C" w:rsidP="0036077F">
      <w:r>
        <w:t>Figure</w:t>
      </w:r>
      <w:r w:rsidR="00A64C56">
        <w:t> 1</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 expected, few participants considered Bangladeshi Muslims as part of their ingroup, Pr(“</w:t>
      </w:r>
      <w:proofErr w:type="gramStart"/>
      <w:r w:rsidR="00A966CE">
        <w:t>us”</w:t>
      </w:r>
      <w:r w:rsidR="00A966CE">
        <w:rPr>
          <w:rFonts w:ascii="Cambria Math" w:hAnsi="Cambria Math" w:cs="Cambria Math"/>
        </w:rPr>
        <w:t>∣</w:t>
      </w:r>
      <w:proofErr w:type="gramEnd"/>
      <w:r w:rsidR="00A966CE">
        <w:t>M2) = .17, [.13, .20]. Roughly half of the participants included Sri Lankan and Nepali Hindus in their ingroup, Pr(“</w:t>
      </w:r>
      <w:proofErr w:type="gramStart"/>
      <w:r w:rsidR="00A966CE">
        <w:t>us”</w:t>
      </w:r>
      <w:r w:rsidR="00A966CE">
        <w:rPr>
          <w:rFonts w:ascii="Cambria Math" w:hAnsi="Cambria Math" w:cs="Cambria Math"/>
        </w:rPr>
        <w:t>∣</w:t>
      </w:r>
      <w:proofErr w:type="gramEnd"/>
      <w:r w:rsidR="00A966CE">
        <w:t>M2) = .46, [.40, .52], indicating that participants were more likely to consider foreign targets as “us” when they were Hindu rather than Muslim, ΔPr(“us”</w:t>
      </w:r>
      <w:r w:rsidR="00A966CE">
        <w:rPr>
          <w:rFonts w:ascii="Cambria Math" w:hAnsi="Cambria Math" w:cs="Cambria Math"/>
        </w:rPr>
        <w:t>∣</w:t>
      </w:r>
      <w:r w:rsidR="00A966CE">
        <w:t xml:space="preserve">M2) = .29, [.34, .25]. </w:t>
      </w:r>
      <w:r w:rsidR="0036077F">
        <w:t xml:space="preserve">Still, </w:t>
      </w:r>
      <w:r w:rsidR="002B55F9">
        <w:t xml:space="preserve">GM/OBC and GM </w:t>
      </w:r>
      <w:r w:rsidR="0036077F">
        <w:t>participants were 1.96, [1.75, 2.20] and 1.92, [1.71, 2.16] times more likely to categori</w:t>
      </w:r>
      <w:r w:rsidR="002B55F9">
        <w:t>z</w:t>
      </w:r>
      <w:r w:rsidR="0036077F">
        <w:t>e Indian, Hindu targets as “us” compared to foreign, Hindu targets. Participants thus tended to define their ingroup in terms of nationality, though about half of the participants seemed to endorse more inclusive ingroup construals.</w:t>
      </w:r>
    </w:p>
    <w:p w14:paraId="1F44F090" w14:textId="6328336C"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w:t>
      </w:r>
      <w:proofErr w:type="gramStart"/>
      <w:r w:rsidR="009804AB">
        <w:t>us”</w:t>
      </w:r>
      <w:r w:rsidR="009804AB">
        <w:rPr>
          <w:rFonts w:ascii="Cambria Math" w:hAnsi="Cambria Math" w:cs="Cambria Math"/>
        </w:rPr>
        <w:t>∣</w:t>
      </w:r>
      <w:proofErr w:type="gramEnd"/>
      <w:r w:rsidR="009804AB">
        <w:t>M2) = ., [., .] and Pr(“us”</w:t>
      </w:r>
      <w:r w:rsidR="009804AB">
        <w:rPr>
          <w:rFonts w:ascii="Cambria Math" w:hAnsi="Cambria Math" w:cs="Cambria Math"/>
        </w:rPr>
        <w:t>∣</w:t>
      </w:r>
      <w:r w:rsidR="009804AB">
        <w:t>M2) = ., [., .].</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w:t>
      </w:r>
      <w:proofErr w:type="gramStart"/>
      <w:r w:rsidR="007D470B">
        <w:t>us”</w:t>
      </w:r>
      <w:r w:rsidR="007D470B">
        <w:rPr>
          <w:rFonts w:ascii="Cambria Math" w:hAnsi="Cambria Math" w:cs="Cambria Math"/>
        </w:rPr>
        <w:t>∣</w:t>
      </w:r>
      <w:proofErr w:type="gramEnd"/>
      <w:r w:rsidR="007D470B">
        <w:t>M2) = ., [., .] and Pr(“us”</w:t>
      </w:r>
      <w:r w:rsidR="007D470B">
        <w:rPr>
          <w:rFonts w:ascii="Cambria Math" w:hAnsi="Cambria Math" w:cs="Cambria Math"/>
        </w:rPr>
        <w:t>∣</w:t>
      </w:r>
      <w:r w:rsidR="007D470B">
        <w:t>M2) = ., [.</w:t>
      </w:r>
      <w:r w:rsidR="00C2059F">
        <w:t>,</w:t>
      </w:r>
      <w:r w:rsidR="007D470B">
        <w:t xml:space="preserve"> .].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w:t>
      </w:r>
      <w:proofErr w:type="gramStart"/>
      <w:r w:rsidR="00BE6D76">
        <w:t>us”</w:t>
      </w:r>
      <w:r w:rsidR="00BE6D76">
        <w:rPr>
          <w:rFonts w:ascii="Cambria Math" w:hAnsi="Cambria Math" w:cs="Cambria Math"/>
        </w:rPr>
        <w:t>∣</w:t>
      </w:r>
      <w:proofErr w:type="gramEnd"/>
      <w:r w:rsidR="00BE6D76">
        <w:t>M2) = ., [., .]</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t xml:space="preserve">Hindu, SC/ST targets in their ingroup, </w:t>
      </w:r>
      <w:r w:rsidR="003A7A9B" w:rsidRPr="003A7A9B">
        <w:t>Pr(“</w:t>
      </w:r>
      <w:proofErr w:type="gramStart"/>
      <w:r w:rsidR="003A7A9B" w:rsidRPr="003A7A9B">
        <w:t>us”</w:t>
      </w:r>
      <w:r w:rsidR="003A7A9B" w:rsidRPr="003A7A9B">
        <w:rPr>
          <w:rFonts w:ascii="Cambria Math" w:hAnsi="Cambria Math" w:cs="Cambria Math"/>
        </w:rPr>
        <w:t>∣</w:t>
      </w:r>
      <w:proofErr w:type="gramEnd"/>
      <w:r w:rsidR="003A7A9B" w:rsidRPr="003A7A9B">
        <w:t xml:space="preserve">M2) = ., [., </w:t>
      </w:r>
      <w:r w:rsidR="00852191">
        <w:t>.]. F</w:t>
      </w:r>
      <w:r w:rsidR="00A75307">
        <w:t xml:space="preserve">ewer </w:t>
      </w:r>
      <w:r w:rsidR="002B4D50">
        <w:t>SC/ST participants include</w:t>
      </w:r>
      <w:r w:rsidR="00A75307">
        <w:t>d</w:t>
      </w:r>
      <w:r w:rsidR="002B4D50">
        <w:t xml:space="preserve"> </w:t>
      </w:r>
      <w:r w:rsidR="002B4D50" w:rsidRPr="002B4D50">
        <w:rPr>
          <w:i/>
        </w:rPr>
        <w:t>Hindu, OBC</w:t>
      </w:r>
      <w:r w:rsidR="002B4D50">
        <w:t xml:space="preserve"> and </w:t>
      </w:r>
      <w:r w:rsidR="002B4D50" w:rsidRPr="002B4D50">
        <w:rPr>
          <w:i/>
        </w:rPr>
        <w:t>Hindu, GM</w:t>
      </w:r>
      <w:r w:rsidR="002B4D50">
        <w:t xml:space="preserve"> </w:t>
      </w:r>
      <w:r w:rsidR="00724108">
        <w:t>in their ingroup,</w:t>
      </w:r>
      <w:r w:rsidR="002B4D50">
        <w:t xml:space="preserve"> Pr(“</w:t>
      </w:r>
      <w:proofErr w:type="gramStart"/>
      <w:r w:rsidR="002B4D50">
        <w:t>us”</w:t>
      </w:r>
      <w:r w:rsidR="002B4D50">
        <w:rPr>
          <w:rFonts w:ascii="Cambria Math" w:hAnsi="Cambria Math" w:cs="Cambria Math"/>
        </w:rPr>
        <w:t>∣</w:t>
      </w:r>
      <w:proofErr w:type="gramEnd"/>
      <w:r w:rsidR="002B4D50">
        <w:t>M2) = ., [., .</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 [., .].</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w:t>
      </w:r>
      <w:proofErr w:type="gramStart"/>
      <w:r w:rsidR="002D7E72">
        <w:t>us”</w:t>
      </w:r>
      <w:r w:rsidR="002D7E72">
        <w:rPr>
          <w:rFonts w:ascii="Cambria Math" w:hAnsi="Cambria Math" w:cs="Cambria Math"/>
        </w:rPr>
        <w:t>∣</w:t>
      </w:r>
      <w:proofErr w:type="gramEnd"/>
      <w:r w:rsidR="002D7E72">
        <w:t>M2) = ., [., .], ΔPr(“us”</w:t>
      </w:r>
      <w:r w:rsidR="002D7E72">
        <w:rPr>
          <w:rFonts w:ascii="Cambria Math" w:hAnsi="Cambria Math" w:cs="Cambria Math"/>
        </w:rPr>
        <w:t>∣</w:t>
      </w:r>
      <w:r w:rsidR="002D7E72">
        <w:t xml:space="preserve">M2) = </w:t>
      </w:r>
      <w:r w:rsidR="002D7E72">
        <w:rPr>
          <w:rFonts w:cs="Minion Pro"/>
        </w:rPr>
        <w:t>−</w:t>
      </w:r>
      <w:r w:rsidR="002D7E72">
        <w:t>., [</w:t>
      </w:r>
      <w:r w:rsidR="002D7E72">
        <w:rPr>
          <w:rFonts w:cs="Minion Pro"/>
        </w:rPr>
        <w:t>−</w:t>
      </w:r>
      <w:r w:rsidR="002D7E72">
        <w:t xml:space="preserve">., </w:t>
      </w:r>
      <w:r w:rsidR="002D7E72">
        <w:rPr>
          <w:rFonts w:cs="Minion Pro"/>
        </w:rPr>
        <w:t>−</w:t>
      </w:r>
      <w:r w:rsidR="002D7E72">
        <w:t xml:space="preserve">.]. </w:t>
      </w:r>
      <w:r w:rsidR="00C14A75">
        <w:t xml:space="preserve">Together, these findings showed that participants from </w:t>
      </w:r>
      <w:r w:rsidR="00BD1142">
        <w:t>advantaged</w:t>
      </w:r>
      <w:r w:rsidR="00446CD6">
        <w:t xml:space="preserve"> caste</w:t>
      </w:r>
      <w:r w:rsidR="00BD1142">
        <w:t xml:space="preserve"> backgrounds tended to exclude targets from </w:t>
      </w:r>
      <w:r w:rsidR="00446CD6">
        <w:t>dis</w:t>
      </w:r>
      <w:r w:rsidR="00BD1142">
        <w:t>advantaged backgrounds (and vice versa)</w:t>
      </w:r>
      <w:r w:rsidR="00446CD6">
        <w:t xml:space="preserve">, while all participants </w:t>
      </w:r>
      <w:r w:rsidR="00BE0636">
        <w:t xml:space="preserve">tended to exclude targets from the Muslim minority. </w:t>
      </w:r>
    </w:p>
    <w:p w14:paraId="18499F49" w14:textId="6B2AB360" w:rsidR="002D0494" w:rsidRDefault="00667B41" w:rsidP="00667B41">
      <w:pPr>
        <w:pStyle w:val="Heading2"/>
      </w:pPr>
      <w:r>
        <w:lastRenderedPageBreak/>
        <w:t>Individual differences</w:t>
      </w:r>
    </w:p>
    <w:p w14:paraId="1805D8E9" w14:textId="38EFA7DF"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national, religious</w:t>
      </w:r>
      <w:r w:rsidR="00CF19A7">
        <w:t>,</w:t>
      </w:r>
      <w:r>
        <w:t xml:space="preserve"> and caste outgroups</w:t>
      </w:r>
      <w:r w:rsidR="00CF19A7">
        <w:t>—</w:t>
      </w:r>
      <w:r>
        <w:t>and why others did not.</w:t>
      </w:r>
      <w:r w:rsidR="004F3B9E">
        <w:t xml:space="preserve"> </w:t>
      </w:r>
    </w:p>
    <w:p w14:paraId="60304882" w14:textId="1D379151" w:rsidR="00667B41" w:rsidRDefault="004F3B9E" w:rsidP="00AC290C">
      <w:r>
        <w:t xml:space="preserve">Models 4 to 6 tested whether intergroup contact was associated with </w:t>
      </w:r>
      <w:r w:rsidR="00225CD6">
        <w:t>whether</w:t>
      </w:r>
      <w:r>
        <w:t xml:space="preserve"> participants</w:t>
      </w:r>
      <w:r w:rsidR="00AA7C52">
        <w:t xml:space="preserve"> </w:t>
      </w:r>
      <w:r>
        <w:t>categori</w:t>
      </w:r>
      <w:r w:rsidR="00225CD6">
        <w:t>z</w:t>
      </w:r>
      <w:r>
        <w:t>ed Indian targets of other caste or religious backgrounds</w:t>
      </w:r>
      <w:r w:rsidR="00225CD6">
        <w:t xml:space="preserve"> as “us” versus “not us”</w:t>
      </w:r>
      <w:r w:rsidR="00485ADE">
        <w:t xml:space="preserve"> (see Table)</w:t>
      </w:r>
      <w:r>
        <w:t xml:space="preserve">. </w:t>
      </w:r>
      <w:r w:rsidR="000F5A52">
        <w:t xml:space="preserve">Model 4 included contact quantity, positive contact, negative contact, and outgroup friendship as predictors of participants’ target categorisations. </w:t>
      </w:r>
      <w:r w:rsidR="00414336">
        <w:t>Model 4 made more accurate predictions than Model 2. Looking closer at the model’s predictions, negative contact (</w:t>
      </w:r>
      <w:r w:rsidR="00414336" w:rsidRPr="00414336">
        <w:rPr>
          <w:i/>
        </w:rPr>
        <w:t>e</w:t>
      </w:r>
      <w:r w:rsidR="00414336" w:rsidRPr="00414336">
        <w:rPr>
          <w:i/>
          <w:vertAlign w:val="superscript"/>
        </w:rPr>
        <w:t>β</w:t>
      </w:r>
      <w:r w:rsidR="00414336">
        <w:t xml:space="preserve"> = 0.81, [0.72, 0.91]) and outgroup friendship (</w:t>
      </w:r>
      <w:r w:rsidR="00414336" w:rsidRPr="00414336">
        <w:rPr>
          <w:i/>
        </w:rPr>
        <w:t>e</w:t>
      </w:r>
      <w:r w:rsidR="00414336" w:rsidRPr="00414336">
        <w:rPr>
          <w:i/>
          <w:vertAlign w:val="superscript"/>
        </w:rPr>
        <w:t>β</w:t>
      </w:r>
      <w:r w:rsidR="00414336">
        <w:t xml:space="preserve"> = 1.50, [1.29, 1.74]) were associated with participants’ responses, but neither positive contact (</w:t>
      </w:r>
      <w:r w:rsidR="00414336" w:rsidRPr="000F5A52">
        <w:rPr>
          <w:i/>
        </w:rPr>
        <w:t>e</w:t>
      </w:r>
      <w:r w:rsidR="00414336" w:rsidRPr="000F5A52">
        <w:rPr>
          <w:i/>
          <w:vertAlign w:val="superscript"/>
        </w:rPr>
        <w:t>β</w:t>
      </w:r>
      <w:r w:rsidR="00414336">
        <w:t xml:space="preserve"> = 1.00, [0.87, 1.15]) nor contact quantity (</w:t>
      </w:r>
      <w:r w:rsidR="000F5A52" w:rsidRPr="000F5A52">
        <w:rPr>
          <w:i/>
        </w:rPr>
        <w:t>e</w:t>
      </w:r>
      <w:r w:rsidR="000F5A52" w:rsidRPr="000F5A52">
        <w:rPr>
          <w:i/>
          <w:vertAlign w:val="superscript"/>
        </w:rPr>
        <w:t>β</w:t>
      </w:r>
      <w:r w:rsidR="00414336">
        <w:t xml:space="preserve"> = 0.99, [0.86, 1.13]) </w:t>
      </w:r>
      <w:r w:rsidR="005D3D3B">
        <w:t>were</w:t>
      </w:r>
      <w:r w:rsidR="00414336">
        <w:t>.</w:t>
      </w:r>
      <w:r w:rsidR="00485ADE">
        <w:t xml:space="preserve"> Model 5 included only negative contact and outgroup friendship as predictors of participants’ categorisations</w:t>
      </w:r>
      <w:r w:rsidR="00942ECF">
        <w:t xml:space="preserve">, </w:t>
      </w:r>
      <w:r w:rsidR="00795AD4">
        <w:t>and made more accurate predictions tha</w:t>
      </w:r>
      <w:r w:rsidR="00942ECF">
        <w:t>n</w:t>
      </w:r>
      <w:r w:rsidR="00795AD4">
        <w:t xml:space="preserve"> Model 4. </w:t>
      </w:r>
      <w:r w:rsidR="00AC290C">
        <w:t>Model 6 estimated the relationships between contact and target categorisations as varying across the four combinations of target caste and religion. As Model 6 made less accurate predictions than Model 5, the association between contact and categorisations did not seem to vary across target categories.</w:t>
      </w:r>
    </w:p>
    <w:p w14:paraId="1B30C4AF" w14:textId="0F06AC80" w:rsidR="00881E9D" w:rsidRDefault="00881E9D" w:rsidP="00FF6722">
      <w:r>
        <w:t xml:space="preserve">Figure </w:t>
      </w:r>
      <w:r w:rsidR="00F37B51">
        <w:t>2</w:t>
      </w:r>
      <w:r>
        <w:t xml:space="preserve"> shows the estimated probabilities of participants categori</w:t>
      </w:r>
      <w:r w:rsidR="004C0216">
        <w:t>z</w:t>
      </w:r>
      <w:r>
        <w:t xml:space="preserve">ing targets as “us” versus “not us” as a function of negative contact and outgroup friendship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 1.49, [1.30, 1.68]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0.81, [0.72, 0.91] times lower for each additional standard deviation of negative contact. </w:t>
      </w:r>
      <w:r w:rsidR="00FF6722">
        <w:t>This means, for example, that GM/OBC participants who reported “never” having any negative contact with Muslims were more likely to categorise Indian Muslims as “us” compared to participants who reported “very often” having negative contact, ΔPr(“</w:t>
      </w:r>
      <w:proofErr w:type="gramStart"/>
      <w:r w:rsidR="00FF6722">
        <w:t>us”</w:t>
      </w:r>
      <w:r w:rsidR="00FF6722">
        <w:rPr>
          <w:rFonts w:ascii="Cambria Math" w:hAnsi="Cambria Math" w:cs="Cambria Math"/>
        </w:rPr>
        <w:t>∣</w:t>
      </w:r>
      <w:proofErr w:type="gramEnd"/>
      <w:r w:rsidR="00FF6722">
        <w:t>M</w:t>
      </w:r>
      <w:r w:rsidR="005B3F5C">
        <w:t>5</w:t>
      </w:r>
      <w:r w:rsidR="00FF6722">
        <w:t>) = .12, [.05, .19]. GM/OBC participants who reported no friendships with Muslims were a lot less likely to include Indian Muslims in their ingroup than participants who had 2–5 Muslim friends with whom they “sometimes” spent time, ΔPr(“</w:t>
      </w:r>
      <w:proofErr w:type="gramStart"/>
      <w:r w:rsidR="00FF6722">
        <w:t>us”</w:t>
      </w:r>
      <w:r w:rsidR="00FF6722">
        <w:rPr>
          <w:rFonts w:ascii="Cambria Math" w:hAnsi="Cambria Math" w:cs="Cambria Math"/>
        </w:rPr>
        <w:t>∣</w:t>
      </w:r>
      <w:proofErr w:type="gramEnd"/>
      <w:r w:rsidR="00FF6722">
        <w:t>M</w:t>
      </w:r>
      <w:r w:rsidR="005B3F5C">
        <w:t>5</w:t>
      </w:r>
      <w:r w:rsidR="00FF6722">
        <w:t xml:space="preserve">) = .18, [.12, .24]. Together, these findings </w:t>
      </w:r>
      <w:r w:rsidR="00992DCE">
        <w:t>showed</w:t>
      </w:r>
      <w:r w:rsidR="00FF6722">
        <w:t xml:space="preserve"> that contact experiences were associated with whom participants considered as “us” and “not us”.</w:t>
      </w:r>
    </w:p>
    <w:p w14:paraId="0623F4E3" w14:textId="6E3F9564" w:rsidR="00992DCE" w:rsidRDefault="00E54AD4" w:rsidP="00CF0E41">
      <w:r>
        <w:t>Models 7 tested whether</w:t>
      </w:r>
      <w:r w:rsidR="00325781">
        <w:t xml:space="preserve"> </w:t>
      </w:r>
      <w:r>
        <w:t>social dominance orientation was associated with how participants categorised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w:t>
      </w:r>
      <w:r w:rsidR="00D404E3">
        <w:lastRenderedPageBreak/>
        <w:t xml:space="preserve">dominance </w:t>
      </w:r>
      <w:r w:rsidR="00785A79">
        <w:t>were associated with participants excluding targets of</w:t>
      </w:r>
      <w:r w:rsidR="00D404E3">
        <w:t xml:space="preserve"> </w:t>
      </w:r>
      <w:r w:rsidR="00785A79">
        <w:t>comparably lower status</w:t>
      </w:r>
      <w:r w:rsidR="00C414E7">
        <w:t>. Model 7 model found little evidence for the relationships between participants’ categorisations and their SDO-D scores (</w:t>
      </w:r>
      <w:r w:rsidR="00C414E7" w:rsidRPr="00C414E7">
        <w:rPr>
          <w:i/>
        </w:rPr>
        <w:t>e</w:t>
      </w:r>
      <w:r w:rsidR="00C414E7" w:rsidRPr="00C414E7">
        <w:rPr>
          <w:i/>
          <w:vertAlign w:val="superscript"/>
        </w:rPr>
        <w:t>β</w:t>
      </w:r>
      <w:r w:rsidR="00C414E7">
        <w:t xml:space="preserve"> = 0.88, [0.72, 1.05]) or SDO-E scores (</w:t>
      </w:r>
      <w:r w:rsidR="00C414E7" w:rsidRPr="00C414E7">
        <w:rPr>
          <w:i/>
        </w:rPr>
        <w:t>e</w:t>
      </w:r>
      <w:r w:rsidR="00C414E7" w:rsidRPr="00C414E7">
        <w:rPr>
          <w:i/>
          <w:vertAlign w:val="superscript"/>
        </w:rPr>
        <w:t>β</w:t>
      </w:r>
      <w:r w:rsidR="00C414E7">
        <w:t xml:space="preserve"> = 0.91, [0.71, 1.11]), and did not make more accurate predictions than Model</w:t>
      </w:r>
      <w:r w:rsidR="00CF0E41">
        <w:t> </w:t>
      </w:r>
      <w:r w:rsidR="003F1A17">
        <w:t>2</w:t>
      </w:r>
      <w:r w:rsidR="00CF0E41">
        <w:t xml:space="preserve">. Together, these findings </w:t>
      </w:r>
      <w:r w:rsidR="004F649D">
        <w:t>showed</w:t>
      </w:r>
      <w:r w:rsidR="00CF0E41">
        <w:t xml:space="preserve"> that both group and individual differences explain whom participants included in their ingroup. As expected, past experiences with outgroup members explained why some participants included targets of (objective) caste or religions outgroups in their (subjective) ingroup, when others did not. Other than expected, ideological orientations did not seem to motivate participants to exclude lower-status groups.</w:t>
      </w:r>
    </w:p>
    <w:p w14:paraId="335B6E1A" w14:textId="12B4AFAB" w:rsidR="00740F4C" w:rsidRDefault="00740F4C" w:rsidP="00740F4C">
      <w:pPr>
        <w:pStyle w:val="Heading2"/>
      </w:pPr>
      <w:r>
        <w:t>Consequences</w:t>
      </w:r>
    </w:p>
    <w:p w14:paraId="38C3F8F4" w14:textId="42A86F45"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social distance and warmth ratings for each target in the crossed-categorisation task, to their perceptions of intergroup threat, and to their </w:t>
      </w:r>
      <w:r w:rsidR="00C7349D">
        <w:t xml:space="preserve">perceived life difficulty and </w:t>
      </w:r>
      <w:r w:rsidR="00BD71AA">
        <w:t>policy support.</w:t>
      </w:r>
    </w:p>
    <w:p w14:paraId="15057706" w14:textId="5B8CAB65"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target-wise ratings of social distance and warmth as outcome variables</w:t>
      </w:r>
      <w:r w:rsidR="00A86DD0">
        <w:t xml:space="preserve"> (see Table)</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GM/OBC participants’ (M2) and whether OBC participants’ responses differed from GM participants (M3).</w:t>
      </w:r>
      <w:r w:rsidR="00A86DD0">
        <w:t xml:space="preserve"> Models 1 to 3 improved upon the predictions of preceding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3DB9E71E" w:rsidR="00701095" w:rsidRDefault="00BE03DE" w:rsidP="00701095">
      <w:r>
        <w:t>Models 4 to 6 tested whether participants who categorised a target as “us” rated that target more favourably than participants who categorised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categorised that target as “us” or “not us”, and that the size of this difference depended on the group memberships of that target—but not on the group membershi</w:t>
      </w:r>
      <w:r w:rsidR="00C974D3">
        <w:t>p</w:t>
      </w:r>
      <w:r w:rsidR="00701095">
        <w:t xml:space="preserve"> of the participant.</w:t>
      </w:r>
    </w:p>
    <w:p w14:paraId="51A464DE" w14:textId="351841DF" w:rsidR="001E0BB4" w:rsidRDefault="001A52AF" w:rsidP="007565A3">
      <w:r>
        <w:lastRenderedPageBreak/>
        <w:t xml:space="preserve">Figure </w:t>
      </w:r>
      <w:r w:rsidR="00F37B51">
        <w:t>3</w:t>
      </w:r>
      <w:r>
        <w:t xml:space="preserve"> shows the estimated social distance ratings for all categories as a function of target categorisations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Across participants, this difference was smallest for </w:t>
      </w:r>
      <w:r w:rsidRPr="00EA2C14">
        <w:rPr>
          <w:i/>
        </w:rPr>
        <w:t>Indian, Hindu, GM</w:t>
      </w:r>
      <w:r>
        <w:t xml:space="preserve"> targets (</w:t>
      </w:r>
      <w:r w:rsidRPr="005C5C8B">
        <w:rPr>
          <w:i/>
        </w:rPr>
        <w:t>β</w:t>
      </w:r>
      <w:r>
        <w:t xml:space="preserve"> = 0.46,</w:t>
      </w:r>
      <w:r w:rsidR="00EA2C14">
        <w:t xml:space="preserve"> </w:t>
      </w:r>
      <w:r>
        <w:t xml:space="preserve">[0.08, 0.81]; </w:t>
      </w:r>
      <w:r w:rsidRPr="005C5C8B">
        <w:rPr>
          <w:i/>
        </w:rPr>
        <w:t>d</w:t>
      </w:r>
      <w:r>
        <w:t xml:space="preserve"> = 0.20, [0.03, 0.35]) and </w:t>
      </w:r>
      <w:r w:rsidRPr="00EA2C14">
        <w:rPr>
          <w:i/>
        </w:rPr>
        <w:t>Indian, Hindu, OBC</w:t>
      </w:r>
      <w:r>
        <w:t xml:space="preserve"> targets (</w:t>
      </w:r>
      <w:r w:rsidRPr="005C5C8B">
        <w:rPr>
          <w:i/>
        </w:rPr>
        <w:t>β</w:t>
      </w:r>
      <w:r>
        <w:t xml:space="preserve"> = 0.63, [0.30, 0.94];</w:t>
      </w:r>
      <w:r w:rsidR="00EA2C14">
        <w:t xml:space="preserve"> </w:t>
      </w:r>
      <w:r w:rsidRPr="005C5C8B">
        <w:rPr>
          <w:i/>
        </w:rPr>
        <w:t>d</w:t>
      </w:r>
      <w:r>
        <w:t xml:space="preserve"> = 0.27, [0.13, 0.41]), followed by </w:t>
      </w:r>
      <w:r w:rsidRPr="00EA2C14">
        <w:rPr>
          <w:i/>
        </w:rPr>
        <w:t>Indian, Hindu, SCST</w:t>
      </w:r>
      <w:r>
        <w:t xml:space="preserve"> targets (</w:t>
      </w:r>
      <w:r w:rsidRPr="005C5C8B">
        <w:rPr>
          <w:i/>
        </w:rPr>
        <w:t>β</w:t>
      </w:r>
      <w:r>
        <w:t xml:space="preserve"> = 0.95, [0.65, 1.27];</w:t>
      </w:r>
      <w:r w:rsidR="00EA2C14">
        <w:t xml:space="preserve"> </w:t>
      </w:r>
      <w:r w:rsidRPr="005C5C8B">
        <w:rPr>
          <w:i/>
        </w:rPr>
        <w:t>d</w:t>
      </w:r>
      <w:r>
        <w:t xml:space="preserve"> = 0.41, [0.28, 0.55]) and </w:t>
      </w:r>
      <w:r w:rsidRPr="00EA2C14">
        <w:rPr>
          <w:i/>
        </w:rPr>
        <w:t>Indian, Muslim, OBC</w:t>
      </w:r>
      <w:r>
        <w:t xml:space="preserve"> targets (</w:t>
      </w:r>
      <w:r w:rsidRPr="005C5C8B">
        <w:rPr>
          <w:i/>
        </w:rPr>
        <w:t>β</w:t>
      </w:r>
      <w:r>
        <w:t xml:space="preserve"> = 1.07, [0.82, 1.32]; </w:t>
      </w:r>
      <w:r w:rsidRPr="00EA2C14">
        <w:rPr>
          <w:i/>
        </w:rPr>
        <w:t>d</w:t>
      </w:r>
      <w:r>
        <w:t xml:space="preserve"> = 0.46,</w:t>
      </w:r>
      <w:r w:rsidR="00EA2C14">
        <w:t xml:space="preserve"> </w:t>
      </w:r>
      <w:r>
        <w:t>[0.35, 0.57]).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1.45, [1.22, 1.70]; </w:t>
      </w:r>
      <w:r w:rsidRPr="00EA2C14">
        <w:rPr>
          <w:i/>
        </w:rPr>
        <w:t>d</w:t>
      </w:r>
      <w:r>
        <w:t xml:space="preserve"> = 0.63, [0.53, 0.73])</w:t>
      </w:r>
      <w:r w:rsidR="00C6504C">
        <w:t xml:space="preserve"> </w:t>
      </w:r>
      <w:r w:rsidR="00C6504C" w:rsidRPr="00C6504C">
        <w:t>and foreign, Hindu targets (</w:t>
      </w:r>
      <w:r w:rsidR="00C6504C" w:rsidRPr="00C6504C">
        <w:rPr>
          <w:i/>
        </w:rPr>
        <w:t>β</w:t>
      </w:r>
      <w:r w:rsidR="00C6504C" w:rsidRPr="00C6504C">
        <w:t xml:space="preserve"> = 1.24, [0.97, 1.52]; </w:t>
      </w:r>
      <w:r w:rsidR="00C6504C" w:rsidRPr="00C6504C">
        <w:rPr>
          <w:i/>
        </w:rPr>
        <w:t>d</w:t>
      </w:r>
      <w:r w:rsidR="00C6504C" w:rsidRPr="00C6504C">
        <w:t xml:space="preserve"> = 0.53, [0.42, 0.66]).</w:t>
      </w:r>
      <w:r w:rsidR="00C6504C">
        <w:t xml:space="preserve"> </w:t>
      </w:r>
    </w:p>
    <w:p w14:paraId="4FF869FD" w14:textId="56F13765" w:rsidR="00913601" w:rsidRDefault="00C6504C" w:rsidP="007565A3">
      <w:r w:rsidRPr="00C6504C">
        <w:t>Figure 4</w:t>
      </w:r>
      <w:r>
        <w:t xml:space="preserve"> shows</w:t>
      </w:r>
      <w:r w:rsidR="00C97271">
        <w:t xml:space="preserve"> a similar pattern of results for participants’ warmth ratings. The difference between targets categorised as “us” and targets categorised as “not us” was smallest for </w:t>
      </w:r>
      <w:r w:rsidR="00C97271" w:rsidRPr="00C97271">
        <w:rPr>
          <w:i/>
        </w:rPr>
        <w:t>Indian, Hindu, OBC</w:t>
      </w:r>
      <w:r w:rsidR="00C97271">
        <w:t xml:space="preserve"> targets (</w:t>
      </w:r>
      <w:r w:rsidR="00C97271" w:rsidRPr="00C97271">
        <w:rPr>
          <w:i/>
        </w:rPr>
        <w:t>β</w:t>
      </w:r>
      <w:r w:rsidR="00C97271">
        <w:t xml:space="preserve"> = 6.8, [2.3, 11.1], </w:t>
      </w:r>
      <w:r w:rsidR="00C97271" w:rsidRPr="00C97271">
        <w:rPr>
          <w:i/>
        </w:rPr>
        <w:t>d</w:t>
      </w:r>
      <w:r w:rsidR="00C97271">
        <w:t xml:space="preserve"> = 0.21, [0.07, 0.34]), followed by </w:t>
      </w:r>
      <w:r w:rsidR="00C97271" w:rsidRPr="00C97271">
        <w:rPr>
          <w:i/>
        </w:rPr>
        <w:t>Indian, Hindu, GM</w:t>
      </w:r>
      <w:r w:rsidR="00C97271">
        <w:t xml:space="preserve"> targets (</w:t>
      </w:r>
      <w:r w:rsidR="00C97271" w:rsidRPr="00C97271">
        <w:rPr>
          <w:i/>
        </w:rPr>
        <w:t>β</w:t>
      </w:r>
      <w:r w:rsidR="00C97271">
        <w:t xml:space="preserve"> = 12.4, [7.5, 17.3], </w:t>
      </w:r>
      <w:r w:rsidR="00C97271" w:rsidRPr="00C97271">
        <w:rPr>
          <w:i/>
        </w:rPr>
        <w:t>d</w:t>
      </w:r>
      <w:r w:rsidR="00C97271">
        <w:t xml:space="preserve"> = 0.38, [0.23, 0.53]), </w:t>
      </w:r>
      <w:r w:rsidR="00C97271" w:rsidRPr="00C97271">
        <w:rPr>
          <w:i/>
        </w:rPr>
        <w:t>Indian, Hindu, SCST</w:t>
      </w:r>
      <w:r w:rsidR="00C97271">
        <w:t xml:space="preserve"> targets (</w:t>
      </w:r>
      <w:r w:rsidR="00C97271" w:rsidRPr="00C97271">
        <w:rPr>
          <w:i/>
        </w:rPr>
        <w:t>β</w:t>
      </w:r>
      <w:r w:rsidR="00C97271">
        <w:t xml:space="preserve"> = 12.3, [8.2, 16.4], </w:t>
      </w:r>
      <w:r w:rsidR="00C97271" w:rsidRPr="00C97271">
        <w:rPr>
          <w:i/>
        </w:rPr>
        <w:t>d</w:t>
      </w:r>
      <w:r w:rsidR="00C97271">
        <w:t xml:space="preserve"> = 0.37, [0.25, 0.50]) and </w:t>
      </w:r>
      <w:r w:rsidR="00C97271" w:rsidRPr="00C97271">
        <w:rPr>
          <w:i/>
        </w:rPr>
        <w:t>Indian, Muslim, OBC</w:t>
      </w:r>
      <w:r w:rsidR="00C97271">
        <w:t xml:space="preserve"> targets (</w:t>
      </w:r>
      <w:r w:rsidR="00C97271" w:rsidRPr="00C97271">
        <w:rPr>
          <w:i/>
        </w:rPr>
        <w:t>β</w:t>
      </w:r>
      <w:r w:rsidR="00C97271">
        <w:t xml:space="preserve"> = 13.6, [10.4, 17.3], </w:t>
      </w:r>
      <w:r w:rsidR="00C97271" w:rsidRPr="00C97271">
        <w:rPr>
          <w:i/>
        </w:rPr>
        <w:t>d</w:t>
      </w:r>
      <w:r w:rsidR="00C97271">
        <w:t xml:space="preserve"> = 0.41, [0.32, 0.53]). Again, this difference was greatest for </w:t>
      </w:r>
      <w:r w:rsidR="00C97271" w:rsidRPr="00C97271">
        <w:rPr>
          <w:i/>
        </w:rPr>
        <w:t>foreign, Hindu</w:t>
      </w:r>
      <w:r w:rsidR="00C97271">
        <w:t xml:space="preserve"> (</w:t>
      </w:r>
      <w:r w:rsidR="00C97271" w:rsidRPr="00C97271">
        <w:rPr>
          <w:i/>
        </w:rPr>
        <w:t>β</w:t>
      </w:r>
      <w:r w:rsidR="00C97271">
        <w:t xml:space="preserve"> = 21.9, [18.9, 25.3], </w:t>
      </w:r>
      <w:r w:rsidR="00C97271" w:rsidRPr="00C97271">
        <w:rPr>
          <w:i/>
        </w:rPr>
        <w:t>d</w:t>
      </w:r>
      <w:r w:rsidR="00C97271">
        <w:t xml:space="preserve"> = 0.67, [0.57, 0.77]) and foreign, Muslim (</w:t>
      </w:r>
      <w:r w:rsidR="00C97271" w:rsidRPr="00C97271">
        <w:rPr>
          <w:i/>
        </w:rPr>
        <w:t>β</w:t>
      </w:r>
      <w:r w:rsidR="00C97271">
        <w:t xml:space="preserve"> = 16.8, [12.8, 20.3], </w:t>
      </w:r>
      <w:r w:rsidR="00C97271" w:rsidRPr="00C97271">
        <w:rPr>
          <w:i/>
        </w:rPr>
        <w:t>d</w:t>
      </w:r>
      <w:r w:rsidR="00C97271">
        <w:t xml:space="preserve"> = 0.51, [0.39, 0.62]) targets.</w:t>
      </w:r>
      <w:r w:rsidR="00A21C26">
        <w:t xml:space="preserve"> Ratings of warmth</w:t>
      </w:r>
      <w:r w:rsidR="007565A3">
        <w:t xml:space="preserve"> </w:t>
      </w:r>
      <w:r w:rsidR="009C66D3">
        <w:t xml:space="preserve">and social distance </w:t>
      </w:r>
      <w:r w:rsidR="007565A3">
        <w:t>were highly correlated (</w:t>
      </w:r>
      <w:r w:rsidR="007565A3" w:rsidRPr="007565A3">
        <w:rPr>
          <w:i/>
        </w:rPr>
        <w:t>r</w:t>
      </w:r>
      <w:r w:rsidR="007565A3">
        <w:t xml:space="preserve"> = .58, [.56, .60]). Together, these findings show that </w:t>
      </w:r>
      <w:r w:rsidR="005943A1">
        <w:t>categorizing a target as “us” versus “not us” was associated with more warmth and less social distance to that target.</w:t>
      </w:r>
    </w:p>
    <w:p w14:paraId="18281655" w14:textId="23049240" w:rsidR="00701095" w:rsidRDefault="0096583E" w:rsidP="0089178B">
      <w:r>
        <w:t>Next, we tested whether participants’ perceptions of realistic and symbolic threat differed depending on the inclusiveness of their ingroup construals. Specifically, we examined whether participants reported feeling less threatened by Muslims and Dalits if they categorized more targets from these outgroups as “us” versus “not us”.</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less realistic (</w:t>
      </w:r>
      <w:r w:rsidR="006920E2" w:rsidRPr="006920E2">
        <w:rPr>
          <w:rFonts w:cs="Minion Pro"/>
          <w:i/>
        </w:rPr>
        <w:t>M</w:t>
      </w:r>
      <w:r w:rsidR="0048148C">
        <w:t xml:space="preserve"> = 3.23, [3.06, 3.38]) than symbolic (</w:t>
      </w:r>
      <w:r w:rsidR="006920E2" w:rsidRPr="006920E2">
        <w:rPr>
          <w:i/>
        </w:rPr>
        <w:t>M</w:t>
      </w:r>
      <w:r w:rsidR="0048148C">
        <w:t xml:space="preserve"> = 3.47, [3.34, 3.61]) threat from (different-religion) Muslims. Contrary to predictions, </w:t>
      </w:r>
      <w:r w:rsidR="00BC6189">
        <w:t>we</w:t>
      </w:r>
      <w:r w:rsidR="0089178B">
        <w:t xml:space="preserve"> did not find more inclusive </w:t>
      </w:r>
      <w:r w:rsidR="005A1D30">
        <w:t>categorizations</w:t>
      </w:r>
      <w:r w:rsidR="0089178B">
        <w:t xml:space="preserve"> to be associated with intergroup threa</w:t>
      </w:r>
      <w:r w:rsidR="00110658">
        <w:t>t. For details, see Appendix</w:t>
      </w:r>
      <w:r w:rsidR="005D7B9F">
        <w:t> X</w:t>
      </w:r>
      <w:r w:rsidR="00110658">
        <w:t>.</w:t>
      </w:r>
    </w:p>
    <w:p w14:paraId="49178ED0" w14:textId="7F7A6AD2" w:rsidR="00970F9B" w:rsidRDefault="00970F9B" w:rsidP="0051366A">
      <w:commentRangeStart w:id="8"/>
      <w:r>
        <w:t xml:space="preserve">Finally, </w:t>
      </w:r>
      <w:r w:rsidR="00E20E7B">
        <w:t xml:space="preserve">we examined </w:t>
      </w:r>
      <w:r w:rsidR="0051366A">
        <w:t>…</w:t>
      </w:r>
      <w:commentRangeEnd w:id="8"/>
      <w:r w:rsidR="00E83724">
        <w:rPr>
          <w:rStyle w:val="CommentReference"/>
        </w:rPr>
        <w:commentReference w:id="8"/>
      </w:r>
      <w:r w:rsidR="005D7B9F">
        <w:t xml:space="preserve"> For details, see Appendix X</w:t>
      </w:r>
      <w:r w:rsidR="001266AB">
        <w:t>.</w:t>
      </w:r>
    </w:p>
    <w:p w14:paraId="608762F5" w14:textId="28C69D9C"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not </w:t>
      </w:r>
      <w:r>
        <w:lastRenderedPageBreak/>
        <w:t>related to more general perceptions of intergroup threat</w:t>
      </w:r>
      <w:r w:rsidR="005673E2">
        <w:t xml:space="preserve"> and life difficult</w:t>
      </w:r>
      <w:r w:rsidR="003B205F">
        <w:t>ies</w:t>
      </w:r>
      <w:r w:rsidR="005673E2">
        <w:t xml:space="preserve">, </w:t>
      </w:r>
      <w:r w:rsidR="00C011E9">
        <w:t>or</w:t>
      </w:r>
      <w:r w:rsidR="005673E2">
        <w:t xml:space="preserve"> to </w:t>
      </w:r>
      <w:r w:rsidR="00462CFC">
        <w:t>support for reservation policies</w:t>
      </w:r>
      <w:r>
        <w:t>.</w:t>
      </w:r>
    </w:p>
    <w:p w14:paraId="4316B89D" w14:textId="50B327C8" w:rsidR="00A167C6" w:rsidRPr="00436137" w:rsidRDefault="00A167C6" w:rsidP="00A167C6">
      <w:pPr>
        <w:pStyle w:val="Heading1"/>
      </w:pPr>
      <w:r>
        <w:t>Discussion</w:t>
      </w:r>
    </w:p>
    <w:sectPr w:rsidR="00A167C6" w:rsidRPr="00436137" w:rsidSect="00436137">
      <w:headerReference w:type="default" r:id="rId11"/>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8-02T18:21:00Z" w:initials="NKR">
    <w:p w14:paraId="12A7D41C" w14:textId="2EC0B240" w:rsidR="00E879C6" w:rsidRDefault="00E879C6" w:rsidP="00E879C6">
      <w:pPr>
        <w:pStyle w:val="CommentText"/>
      </w:pPr>
      <w:r>
        <w:rPr>
          <w:rStyle w:val="CommentReference"/>
        </w:rPr>
        <w:annotationRef/>
      </w:r>
      <w:r>
        <w:t xml:space="preserve">Alternative 1: This research shows the promises and perils of more inclusive identities. </w:t>
      </w:r>
    </w:p>
    <w:p w14:paraId="1D141946" w14:textId="7E56CC0E" w:rsidR="00E879C6" w:rsidRDefault="00E879C6" w:rsidP="00E879C6">
      <w:pPr>
        <w:pStyle w:val="CommentText"/>
      </w:pPr>
      <w:r>
        <w:t>Alternative 2: This research show</w:t>
      </w:r>
      <w:r w:rsidR="00FE6062">
        <w:t>s the ongoing relevance of identity processes…</w:t>
      </w:r>
    </w:p>
  </w:comment>
  <w:comment w:id="1" w:author="Nils Reimer" w:date="2018-08-07T10:49:00Z" w:initials="NKR">
    <w:p w14:paraId="33D2BA72" w14:textId="6E0305A1" w:rsidR="00A41B22" w:rsidRDefault="00A41B22">
      <w:pPr>
        <w:pStyle w:val="CommentText"/>
      </w:pPr>
      <w:r>
        <w:rPr>
          <w:rStyle w:val="CommentReference"/>
        </w:rPr>
        <w:annotationRef/>
      </w:r>
      <w:r>
        <w:t xml:space="preserve">These findings illustrate how identification across multiple categories shapes </w:t>
      </w:r>
      <w:r>
        <w:rPr>
          <w:rStyle w:val="CommentReference"/>
          <w:i/>
        </w:rPr>
        <w:annotationRef/>
      </w:r>
      <w:r>
        <w:t>intergroup relations. / We discuss implications for caste and ethnoreligious relations in South India.</w:t>
      </w:r>
      <w:r>
        <w:rPr>
          <w:rStyle w:val="CommentReference"/>
        </w:rPr>
        <w:annotationRef/>
      </w:r>
      <w:r>
        <w:t xml:space="preserve"> / </w:t>
      </w:r>
      <w:r>
        <w:rPr>
          <w:rStyle w:val="CommentReference"/>
          <w:i/>
        </w:rPr>
        <w:annotationRef/>
      </w:r>
      <w:r>
        <w:t>This research shows the promises and perils of more inclusive identities.</w:t>
      </w:r>
    </w:p>
  </w:comment>
  <w:comment w:id="2" w:author="Nils Reimer" w:date="2018-08-02T18:05:00Z" w:initials="NKR">
    <w:p w14:paraId="4495C2A7" w14:textId="33B0A6A9" w:rsidR="00C77D7E" w:rsidRDefault="00C77D7E">
      <w:pPr>
        <w:pStyle w:val="CommentText"/>
      </w:pPr>
      <w:r>
        <w:rPr>
          <w:rStyle w:val="CommentReference"/>
        </w:rPr>
        <w:annotationRef/>
      </w:r>
      <w:r>
        <w:t xml:space="preserve">I should add </w:t>
      </w:r>
      <w:proofErr w:type="spellStart"/>
      <w:r w:rsidRPr="00E86CFE">
        <w:rPr>
          <w:i/>
        </w:rPr>
        <w:t>i</w:t>
      </w:r>
      <w:proofErr w:type="spellEnd"/>
      <w:r>
        <w:t xml:space="preserve">. that not all measures were reported, </w:t>
      </w:r>
      <w:r w:rsidRPr="00E86CFE">
        <w:rPr>
          <w:i/>
        </w:rPr>
        <w:t>ii</w:t>
      </w:r>
      <w:r>
        <w:t xml:space="preserve">. that some of these measures served to replicate prior research unrelated to the current study, </w:t>
      </w:r>
      <w:r w:rsidRPr="00E86CFE">
        <w:rPr>
          <w:i/>
        </w:rPr>
        <w:t>iii</w:t>
      </w:r>
      <w:r>
        <w:t xml:space="preserve">. that other measures served to validate the triple crossed-categorization task (see Appendix X), and </w:t>
      </w:r>
      <w:r w:rsidRPr="00E86CFE">
        <w:rPr>
          <w:i/>
        </w:rPr>
        <w:t>iv</w:t>
      </w:r>
      <w:r>
        <w:t xml:space="preserve">. </w:t>
      </w:r>
      <w:r w:rsidR="00E044A3">
        <w:t>how we determined sample size.</w:t>
      </w:r>
    </w:p>
  </w:comment>
  <w:comment w:id="4" w:author="Nils Reimer" w:date="2018-08-07T15:18:00Z" w:initials="NKR">
    <w:p w14:paraId="34991407" w14:textId="0895CAF6" w:rsidR="00BC5333" w:rsidRDefault="00BC5333">
      <w:pPr>
        <w:pStyle w:val="CommentText"/>
      </w:pPr>
      <w:r>
        <w:rPr>
          <w:rStyle w:val="CommentReference"/>
        </w:rPr>
        <w:annotationRef/>
      </w:r>
      <w:r>
        <w:t>Justify sample size.</w:t>
      </w:r>
    </w:p>
  </w:comment>
  <w:comment w:id="5" w:author="Nils Reimer" w:date="2018-08-08T12:16:00Z" w:initials="NKR">
    <w:p w14:paraId="27F193AD" w14:textId="108FDF88" w:rsidR="00CE5B2D" w:rsidRDefault="00CE5B2D">
      <w:pPr>
        <w:pStyle w:val="CommentText"/>
      </w:pPr>
      <w:r>
        <w:rPr>
          <w:rStyle w:val="CommentReference"/>
        </w:rPr>
        <w:annotationRef/>
      </w:r>
      <w:r>
        <w:t>Add note about factor scores.</w:t>
      </w:r>
    </w:p>
  </w:comment>
  <w:comment w:id="6" w:author="Nils Reimer" w:date="2018-08-01T18:59:00Z" w:initials="NKR">
    <w:p w14:paraId="1962B92D" w14:textId="48EA183A" w:rsidR="00B75094" w:rsidRDefault="00B75094">
      <w:pPr>
        <w:pStyle w:val="CommentText"/>
      </w:pPr>
      <w:r>
        <w:rPr>
          <w:rStyle w:val="CommentReference"/>
        </w:rPr>
        <w:annotationRef/>
      </w:r>
      <w:r>
        <w:t>All data and scripts to reproduce these analyses are available (…).</w:t>
      </w:r>
      <w:r w:rsidR="00647436">
        <w:t xml:space="preserve"> I could move this to beginning of methods, alongside with all materials being available.</w:t>
      </w:r>
    </w:p>
  </w:comment>
  <w:comment w:id="7" w:author="Nils Reimer" w:date="2018-07-31T18:40:00Z" w:initials="NKR">
    <w:p w14:paraId="06F6BD99" w14:textId="77777777" w:rsidR="00E83724" w:rsidRDefault="00E83724">
      <w:pPr>
        <w:pStyle w:val="CommentText"/>
      </w:pPr>
      <w:r>
        <w:rPr>
          <w:rStyle w:val="CommentReference"/>
        </w:rPr>
        <w:annotationRef/>
      </w:r>
      <w:r w:rsidRPr="00E83724">
        <w:t xml:space="preserve">No single model, however, can decide which model parameters are regular or irregular. To find out, we compared various models using </w:t>
      </w:r>
      <w:proofErr w:type="gramStart"/>
      <w:r w:rsidRPr="00E83724">
        <w:t>… .</w:t>
      </w:r>
      <w:proofErr w:type="gramEnd"/>
      <w:r w:rsidRPr="00E83724">
        <w:t xml:space="preserve"> (see Table 1) We prefer a more complex model over a simpler model when </w:t>
      </w:r>
      <w:proofErr w:type="gramStart"/>
      <w:r w:rsidRPr="00E83724">
        <w:t>… .</w:t>
      </w:r>
      <w:proofErr w:type="gramEnd"/>
      <w:r w:rsidRPr="00E83724">
        <w:t xml:space="preserve">  We check posterior predictions against the observed data. We present posterior probabilities with </w:t>
      </w:r>
      <w:proofErr w:type="gramStart"/>
      <w:r w:rsidRPr="00E83724">
        <w:t>… .</w:t>
      </w:r>
      <w:proofErr w:type="gramEnd"/>
    </w:p>
    <w:p w14:paraId="21FB00C7" w14:textId="77777777" w:rsidR="00C549A9" w:rsidRDefault="00C549A9">
      <w:pPr>
        <w:pStyle w:val="CommentText"/>
      </w:pPr>
    </w:p>
    <w:p w14:paraId="1DDD9CE0" w14:textId="0F787BC5" w:rsidR="00C549A9" w:rsidRDefault="00C549A9">
      <w:pPr>
        <w:pStyle w:val="CommentText"/>
      </w:pPr>
      <w:r>
        <w:t xml:space="preserve">Add note about </w:t>
      </w:r>
      <w:proofErr w:type="spellStart"/>
      <w:r>
        <w:t>brms</w:t>
      </w:r>
      <w:proofErr w:type="spellEnd"/>
      <w:r>
        <w:t>.</w:t>
      </w:r>
    </w:p>
  </w:comment>
  <w:comment w:id="8" w:author="Nils Reimer" w:date="2018-07-31T18:41:00Z" w:initials="NKR">
    <w:p w14:paraId="72DAEB7C" w14:textId="7E8994EF" w:rsidR="00E83724" w:rsidRDefault="00E83724">
      <w:pPr>
        <w:pStyle w:val="CommentText"/>
      </w:pPr>
      <w:r>
        <w:rPr>
          <w:rStyle w:val="CommentReference"/>
        </w:rPr>
        <w:annotationRef/>
      </w:r>
      <w:r w:rsidR="00C92104">
        <w:t xml:space="preserve">Refer to Figure for group differences; refer to Appendix for individual differences (i.e. lack of </w:t>
      </w:r>
      <w:r w:rsidR="00483D8B">
        <w:t>an association with ingroup construals).</w:t>
      </w:r>
      <w:r>
        <w:t xml:space="preserve"> </w:t>
      </w:r>
      <w:r w:rsidR="00483D8B">
        <w:t xml:space="preserve">Limit to one sentence on </w:t>
      </w:r>
      <w:r w:rsidR="006476C5">
        <w:t>perceived discrimination, two sentences on policy support (SC/ST to OBC, OBC to SC/ST), and one sentence on consequences.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141946" w15:done="0"/>
  <w15:commentEx w15:paraId="33D2BA72" w15:done="0"/>
  <w15:commentEx w15:paraId="4495C2A7" w15:done="1"/>
  <w15:commentEx w15:paraId="34991407" w15:done="0"/>
  <w15:commentEx w15:paraId="27F193AD" w15:done="0"/>
  <w15:commentEx w15:paraId="1962B92D" w15:done="1"/>
  <w15:commentEx w15:paraId="1DDD9CE0" w15:done="0"/>
  <w15:commentEx w15:paraId="72DAEB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141946" w16cid:durableId="1F0DCA11"/>
  <w16cid:commentId w16cid:paraId="4495C2A7" w16cid:durableId="1F0DC66F"/>
  <w16cid:commentId w16cid:paraId="34991407" w16cid:durableId="1F1436C1"/>
  <w16cid:commentId w16cid:paraId="27F193AD" w16cid:durableId="1F155DB1"/>
  <w16cid:commentId w16cid:paraId="1962B92D" w16cid:durableId="1F0C8192"/>
  <w16cid:commentId w16cid:paraId="1DDD9CE0" w16cid:durableId="1F0B2BB8"/>
  <w16cid:commentId w16cid:paraId="72DAEB7C" w16cid:durableId="1F0B2B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1E5E3" w14:textId="77777777" w:rsidR="002559EE" w:rsidRDefault="002559EE" w:rsidP="00D70BCD">
      <w:r>
        <w:separator/>
      </w:r>
    </w:p>
  </w:endnote>
  <w:endnote w:type="continuationSeparator" w:id="0">
    <w:p w14:paraId="5055DB59" w14:textId="77777777" w:rsidR="002559EE" w:rsidRDefault="002559EE"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4299546B-318C-4230-80EB-BAFFC7E6EED9}"/>
  </w:font>
  <w:font w:name="Cambria Math">
    <w:panose1 w:val="02040503050406030204"/>
    <w:charset w:val="00"/>
    <w:family w:val="roman"/>
    <w:pitch w:val="variable"/>
    <w:sig w:usb0="E00006FF" w:usb1="420024FF" w:usb2="02000000" w:usb3="00000000" w:csb0="0000019F" w:csb1="00000000"/>
    <w:embedRegular r:id="rId2" w:fontKey="{0E7E0A01-F3EA-4B6E-B302-39700B0A79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03868" w14:textId="77777777" w:rsidR="002559EE" w:rsidRDefault="002559EE" w:rsidP="00D70BCD">
      <w:r>
        <w:separator/>
      </w:r>
    </w:p>
  </w:footnote>
  <w:footnote w:type="continuationSeparator" w:id="0">
    <w:p w14:paraId="60967E75" w14:textId="77777777" w:rsidR="002559EE" w:rsidRDefault="002559EE" w:rsidP="00D70BCD">
      <w:r>
        <w:continuationSeparator/>
      </w:r>
    </w:p>
  </w:footnote>
  <w:footnote w:id="1">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2">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w:t>
      </w:r>
      <w:proofErr w:type="gramStart"/>
      <w:r w:rsidR="00DB65FF" w:rsidRPr="00DB65FF">
        <w:t>Student(</w:t>
      </w:r>
      <w:proofErr w:type="gramEnd"/>
      <w:r w:rsidR="00DB65FF" w:rsidRPr="00DB65FF">
        <w: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TrueType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1290"/>
    <w:rsid w:val="0003105E"/>
    <w:rsid w:val="0003301B"/>
    <w:rsid w:val="00035D82"/>
    <w:rsid w:val="00035DF5"/>
    <w:rsid w:val="0003654D"/>
    <w:rsid w:val="00043531"/>
    <w:rsid w:val="00063F7E"/>
    <w:rsid w:val="00064D54"/>
    <w:rsid w:val="00067016"/>
    <w:rsid w:val="00076D83"/>
    <w:rsid w:val="00081082"/>
    <w:rsid w:val="00090B26"/>
    <w:rsid w:val="000A7516"/>
    <w:rsid w:val="000B24F1"/>
    <w:rsid w:val="000B71E1"/>
    <w:rsid w:val="000C5F5B"/>
    <w:rsid w:val="000C6A6B"/>
    <w:rsid w:val="000E168F"/>
    <w:rsid w:val="000F1D48"/>
    <w:rsid w:val="000F5A52"/>
    <w:rsid w:val="00107C8E"/>
    <w:rsid w:val="00110658"/>
    <w:rsid w:val="001245B1"/>
    <w:rsid w:val="001266AB"/>
    <w:rsid w:val="00132E88"/>
    <w:rsid w:val="00133768"/>
    <w:rsid w:val="00134F73"/>
    <w:rsid w:val="00153F6E"/>
    <w:rsid w:val="00160624"/>
    <w:rsid w:val="0016276B"/>
    <w:rsid w:val="00165AC6"/>
    <w:rsid w:val="00170BEC"/>
    <w:rsid w:val="0019052F"/>
    <w:rsid w:val="001A52AF"/>
    <w:rsid w:val="001D08EA"/>
    <w:rsid w:val="001D49CC"/>
    <w:rsid w:val="001E0BB4"/>
    <w:rsid w:val="001E408D"/>
    <w:rsid w:val="00212AAC"/>
    <w:rsid w:val="00215987"/>
    <w:rsid w:val="00217478"/>
    <w:rsid w:val="0022154B"/>
    <w:rsid w:val="00222F6C"/>
    <w:rsid w:val="00225CD6"/>
    <w:rsid w:val="002276BF"/>
    <w:rsid w:val="00235D62"/>
    <w:rsid w:val="00235F6E"/>
    <w:rsid w:val="00243EC6"/>
    <w:rsid w:val="00245BEA"/>
    <w:rsid w:val="00250542"/>
    <w:rsid w:val="002545F9"/>
    <w:rsid w:val="002559EE"/>
    <w:rsid w:val="002604C6"/>
    <w:rsid w:val="00275121"/>
    <w:rsid w:val="002815EB"/>
    <w:rsid w:val="00290254"/>
    <w:rsid w:val="002902B8"/>
    <w:rsid w:val="00295474"/>
    <w:rsid w:val="002966A6"/>
    <w:rsid w:val="002A0FC1"/>
    <w:rsid w:val="002B4D50"/>
    <w:rsid w:val="002B55F9"/>
    <w:rsid w:val="002C1654"/>
    <w:rsid w:val="002D0494"/>
    <w:rsid w:val="002D7E72"/>
    <w:rsid w:val="002F2201"/>
    <w:rsid w:val="00313A76"/>
    <w:rsid w:val="00325781"/>
    <w:rsid w:val="00354B0F"/>
    <w:rsid w:val="0036077F"/>
    <w:rsid w:val="0037367D"/>
    <w:rsid w:val="003773E1"/>
    <w:rsid w:val="00381332"/>
    <w:rsid w:val="003A0E1D"/>
    <w:rsid w:val="003A7A9B"/>
    <w:rsid w:val="003B205F"/>
    <w:rsid w:val="003B3982"/>
    <w:rsid w:val="003B5B40"/>
    <w:rsid w:val="003C3A63"/>
    <w:rsid w:val="003D6DDB"/>
    <w:rsid w:val="003E3522"/>
    <w:rsid w:val="003F1A17"/>
    <w:rsid w:val="003F1D4B"/>
    <w:rsid w:val="0040066B"/>
    <w:rsid w:val="00414336"/>
    <w:rsid w:val="00417D58"/>
    <w:rsid w:val="00426F92"/>
    <w:rsid w:val="00432F21"/>
    <w:rsid w:val="00436137"/>
    <w:rsid w:val="0043717B"/>
    <w:rsid w:val="0044181C"/>
    <w:rsid w:val="00446CD6"/>
    <w:rsid w:val="0045263E"/>
    <w:rsid w:val="00462C20"/>
    <w:rsid w:val="00462CFC"/>
    <w:rsid w:val="0048148C"/>
    <w:rsid w:val="00483BDA"/>
    <w:rsid w:val="00483D8B"/>
    <w:rsid w:val="00485A1D"/>
    <w:rsid w:val="00485ADE"/>
    <w:rsid w:val="004A40EF"/>
    <w:rsid w:val="004A52C0"/>
    <w:rsid w:val="004A7FBB"/>
    <w:rsid w:val="004C0216"/>
    <w:rsid w:val="004C0DF3"/>
    <w:rsid w:val="004C3769"/>
    <w:rsid w:val="004C6BFA"/>
    <w:rsid w:val="004D448F"/>
    <w:rsid w:val="004E7149"/>
    <w:rsid w:val="004E73A3"/>
    <w:rsid w:val="004F053C"/>
    <w:rsid w:val="004F24BC"/>
    <w:rsid w:val="004F3B9E"/>
    <w:rsid w:val="004F4141"/>
    <w:rsid w:val="004F649D"/>
    <w:rsid w:val="00505993"/>
    <w:rsid w:val="00506983"/>
    <w:rsid w:val="0051366A"/>
    <w:rsid w:val="00516691"/>
    <w:rsid w:val="0052260F"/>
    <w:rsid w:val="005323BF"/>
    <w:rsid w:val="00551596"/>
    <w:rsid w:val="0056611D"/>
    <w:rsid w:val="005673E2"/>
    <w:rsid w:val="005674D2"/>
    <w:rsid w:val="00574DA8"/>
    <w:rsid w:val="00591E01"/>
    <w:rsid w:val="005943A1"/>
    <w:rsid w:val="005A197E"/>
    <w:rsid w:val="005A1D30"/>
    <w:rsid w:val="005B3F5C"/>
    <w:rsid w:val="005B4CA0"/>
    <w:rsid w:val="005C335C"/>
    <w:rsid w:val="005C568E"/>
    <w:rsid w:val="005C5C8B"/>
    <w:rsid w:val="005D27A5"/>
    <w:rsid w:val="005D3D3B"/>
    <w:rsid w:val="005D7B9F"/>
    <w:rsid w:val="005E0359"/>
    <w:rsid w:val="005F5740"/>
    <w:rsid w:val="005F6F66"/>
    <w:rsid w:val="00606C01"/>
    <w:rsid w:val="0062553E"/>
    <w:rsid w:val="00634D8F"/>
    <w:rsid w:val="006408B5"/>
    <w:rsid w:val="00646248"/>
    <w:rsid w:val="00646650"/>
    <w:rsid w:val="00647436"/>
    <w:rsid w:val="006476C5"/>
    <w:rsid w:val="006508FF"/>
    <w:rsid w:val="006524A4"/>
    <w:rsid w:val="006535CC"/>
    <w:rsid w:val="00657A09"/>
    <w:rsid w:val="006642A2"/>
    <w:rsid w:val="0066439B"/>
    <w:rsid w:val="00664604"/>
    <w:rsid w:val="00665BA7"/>
    <w:rsid w:val="00667B41"/>
    <w:rsid w:val="00672074"/>
    <w:rsid w:val="0067577F"/>
    <w:rsid w:val="006920E2"/>
    <w:rsid w:val="006B1756"/>
    <w:rsid w:val="006C0A7D"/>
    <w:rsid w:val="006C1625"/>
    <w:rsid w:val="006D0D95"/>
    <w:rsid w:val="006F069C"/>
    <w:rsid w:val="006F5F05"/>
    <w:rsid w:val="006F726D"/>
    <w:rsid w:val="00701095"/>
    <w:rsid w:val="00714C48"/>
    <w:rsid w:val="00717948"/>
    <w:rsid w:val="00724108"/>
    <w:rsid w:val="00740F4C"/>
    <w:rsid w:val="00745BB3"/>
    <w:rsid w:val="00750292"/>
    <w:rsid w:val="00752764"/>
    <w:rsid w:val="007565A3"/>
    <w:rsid w:val="0078194C"/>
    <w:rsid w:val="00785A79"/>
    <w:rsid w:val="0078686C"/>
    <w:rsid w:val="00795AD4"/>
    <w:rsid w:val="007A5CC0"/>
    <w:rsid w:val="007A7B0C"/>
    <w:rsid w:val="007B4102"/>
    <w:rsid w:val="007B632E"/>
    <w:rsid w:val="007B7FF5"/>
    <w:rsid w:val="007D470B"/>
    <w:rsid w:val="007D5E1D"/>
    <w:rsid w:val="007E3929"/>
    <w:rsid w:val="007E3AB5"/>
    <w:rsid w:val="007F008F"/>
    <w:rsid w:val="007F5277"/>
    <w:rsid w:val="00814D91"/>
    <w:rsid w:val="00820F65"/>
    <w:rsid w:val="008267F5"/>
    <w:rsid w:val="008343E5"/>
    <w:rsid w:val="00834819"/>
    <w:rsid w:val="00835169"/>
    <w:rsid w:val="00844D26"/>
    <w:rsid w:val="008463F8"/>
    <w:rsid w:val="00852191"/>
    <w:rsid w:val="00856778"/>
    <w:rsid w:val="00881E9D"/>
    <w:rsid w:val="0089178B"/>
    <w:rsid w:val="00892B8F"/>
    <w:rsid w:val="00896638"/>
    <w:rsid w:val="008A0122"/>
    <w:rsid w:val="008A0B2A"/>
    <w:rsid w:val="008E07C8"/>
    <w:rsid w:val="008E346D"/>
    <w:rsid w:val="008E500A"/>
    <w:rsid w:val="008F37B3"/>
    <w:rsid w:val="00913601"/>
    <w:rsid w:val="009261C8"/>
    <w:rsid w:val="00927DFA"/>
    <w:rsid w:val="00940F79"/>
    <w:rsid w:val="00942ECF"/>
    <w:rsid w:val="0096583E"/>
    <w:rsid w:val="00970630"/>
    <w:rsid w:val="00970F9B"/>
    <w:rsid w:val="00971809"/>
    <w:rsid w:val="0097484F"/>
    <w:rsid w:val="009804AB"/>
    <w:rsid w:val="009878CE"/>
    <w:rsid w:val="009929B7"/>
    <w:rsid w:val="00992DCE"/>
    <w:rsid w:val="009A0039"/>
    <w:rsid w:val="009A2320"/>
    <w:rsid w:val="009A69E5"/>
    <w:rsid w:val="009B6958"/>
    <w:rsid w:val="009B787A"/>
    <w:rsid w:val="009C235C"/>
    <w:rsid w:val="009C66D3"/>
    <w:rsid w:val="009D7DDC"/>
    <w:rsid w:val="009E58C1"/>
    <w:rsid w:val="009F6B9F"/>
    <w:rsid w:val="00A077D0"/>
    <w:rsid w:val="00A167C6"/>
    <w:rsid w:val="00A21C26"/>
    <w:rsid w:val="00A30E8F"/>
    <w:rsid w:val="00A41B22"/>
    <w:rsid w:val="00A448B9"/>
    <w:rsid w:val="00A45EA7"/>
    <w:rsid w:val="00A502E5"/>
    <w:rsid w:val="00A511D3"/>
    <w:rsid w:val="00A60C86"/>
    <w:rsid w:val="00A64C56"/>
    <w:rsid w:val="00A74213"/>
    <w:rsid w:val="00A75307"/>
    <w:rsid w:val="00A86DD0"/>
    <w:rsid w:val="00A962BD"/>
    <w:rsid w:val="00A966CE"/>
    <w:rsid w:val="00A9706A"/>
    <w:rsid w:val="00AA42F3"/>
    <w:rsid w:val="00AA7C52"/>
    <w:rsid w:val="00AB20E5"/>
    <w:rsid w:val="00AB4243"/>
    <w:rsid w:val="00AB53FE"/>
    <w:rsid w:val="00AB5F38"/>
    <w:rsid w:val="00AC05EA"/>
    <w:rsid w:val="00AC2383"/>
    <w:rsid w:val="00AC290C"/>
    <w:rsid w:val="00AC7990"/>
    <w:rsid w:val="00AD5A42"/>
    <w:rsid w:val="00AF0690"/>
    <w:rsid w:val="00B04550"/>
    <w:rsid w:val="00B07024"/>
    <w:rsid w:val="00B108B1"/>
    <w:rsid w:val="00B110FD"/>
    <w:rsid w:val="00B130C3"/>
    <w:rsid w:val="00B15002"/>
    <w:rsid w:val="00B156BB"/>
    <w:rsid w:val="00B2597D"/>
    <w:rsid w:val="00B27805"/>
    <w:rsid w:val="00B34545"/>
    <w:rsid w:val="00B4367D"/>
    <w:rsid w:val="00B56ED9"/>
    <w:rsid w:val="00B678BE"/>
    <w:rsid w:val="00B75094"/>
    <w:rsid w:val="00B77A32"/>
    <w:rsid w:val="00B8622D"/>
    <w:rsid w:val="00B9475B"/>
    <w:rsid w:val="00B94D25"/>
    <w:rsid w:val="00B96E80"/>
    <w:rsid w:val="00BA6D66"/>
    <w:rsid w:val="00BB1A72"/>
    <w:rsid w:val="00BB449D"/>
    <w:rsid w:val="00BC2FA6"/>
    <w:rsid w:val="00BC5333"/>
    <w:rsid w:val="00BC6189"/>
    <w:rsid w:val="00BD1142"/>
    <w:rsid w:val="00BD71AA"/>
    <w:rsid w:val="00BE03DE"/>
    <w:rsid w:val="00BE0542"/>
    <w:rsid w:val="00BE0636"/>
    <w:rsid w:val="00BE0EF4"/>
    <w:rsid w:val="00BE39A0"/>
    <w:rsid w:val="00BE5520"/>
    <w:rsid w:val="00BE6D76"/>
    <w:rsid w:val="00BF26B6"/>
    <w:rsid w:val="00BF3B36"/>
    <w:rsid w:val="00BF3FB9"/>
    <w:rsid w:val="00BF4AC7"/>
    <w:rsid w:val="00C011E9"/>
    <w:rsid w:val="00C01B58"/>
    <w:rsid w:val="00C13AFE"/>
    <w:rsid w:val="00C14A75"/>
    <w:rsid w:val="00C2059F"/>
    <w:rsid w:val="00C3761D"/>
    <w:rsid w:val="00C407D6"/>
    <w:rsid w:val="00C414E7"/>
    <w:rsid w:val="00C44A17"/>
    <w:rsid w:val="00C549A9"/>
    <w:rsid w:val="00C6504C"/>
    <w:rsid w:val="00C7006E"/>
    <w:rsid w:val="00C7349D"/>
    <w:rsid w:val="00C77D7E"/>
    <w:rsid w:val="00C811D6"/>
    <w:rsid w:val="00C81E66"/>
    <w:rsid w:val="00C82854"/>
    <w:rsid w:val="00C8468A"/>
    <w:rsid w:val="00C859A7"/>
    <w:rsid w:val="00C92104"/>
    <w:rsid w:val="00C97271"/>
    <w:rsid w:val="00C974D3"/>
    <w:rsid w:val="00CA3E6C"/>
    <w:rsid w:val="00CA4BE8"/>
    <w:rsid w:val="00CB12EE"/>
    <w:rsid w:val="00CB3E7A"/>
    <w:rsid w:val="00CC58A3"/>
    <w:rsid w:val="00CD5CAA"/>
    <w:rsid w:val="00CE32A2"/>
    <w:rsid w:val="00CE5B2D"/>
    <w:rsid w:val="00CE7CEB"/>
    <w:rsid w:val="00CF0E41"/>
    <w:rsid w:val="00CF188A"/>
    <w:rsid w:val="00CF19A7"/>
    <w:rsid w:val="00CF3E9D"/>
    <w:rsid w:val="00CF6B89"/>
    <w:rsid w:val="00D02B2E"/>
    <w:rsid w:val="00D17B16"/>
    <w:rsid w:val="00D34627"/>
    <w:rsid w:val="00D37009"/>
    <w:rsid w:val="00D404E3"/>
    <w:rsid w:val="00D429CF"/>
    <w:rsid w:val="00D43B46"/>
    <w:rsid w:val="00D530A8"/>
    <w:rsid w:val="00D61B36"/>
    <w:rsid w:val="00D620AF"/>
    <w:rsid w:val="00D70BCD"/>
    <w:rsid w:val="00D75CB3"/>
    <w:rsid w:val="00D9420C"/>
    <w:rsid w:val="00DA49F0"/>
    <w:rsid w:val="00DB3F4B"/>
    <w:rsid w:val="00DB50FD"/>
    <w:rsid w:val="00DB65FF"/>
    <w:rsid w:val="00DC2449"/>
    <w:rsid w:val="00DE5982"/>
    <w:rsid w:val="00DF5283"/>
    <w:rsid w:val="00E02BE0"/>
    <w:rsid w:val="00E044A3"/>
    <w:rsid w:val="00E14F9D"/>
    <w:rsid w:val="00E20E7B"/>
    <w:rsid w:val="00E441D0"/>
    <w:rsid w:val="00E54AD4"/>
    <w:rsid w:val="00E565FB"/>
    <w:rsid w:val="00E76432"/>
    <w:rsid w:val="00E779BC"/>
    <w:rsid w:val="00E83724"/>
    <w:rsid w:val="00E86CFE"/>
    <w:rsid w:val="00E879C6"/>
    <w:rsid w:val="00E95EA9"/>
    <w:rsid w:val="00EA2831"/>
    <w:rsid w:val="00EA2C14"/>
    <w:rsid w:val="00EA43D7"/>
    <w:rsid w:val="00EC2486"/>
    <w:rsid w:val="00EC329E"/>
    <w:rsid w:val="00EE2DE3"/>
    <w:rsid w:val="00EE6A53"/>
    <w:rsid w:val="00EF49AC"/>
    <w:rsid w:val="00EF7075"/>
    <w:rsid w:val="00F01E90"/>
    <w:rsid w:val="00F148D9"/>
    <w:rsid w:val="00F14E7A"/>
    <w:rsid w:val="00F236A7"/>
    <w:rsid w:val="00F25FC5"/>
    <w:rsid w:val="00F319F0"/>
    <w:rsid w:val="00F359D6"/>
    <w:rsid w:val="00F37B51"/>
    <w:rsid w:val="00F4301F"/>
    <w:rsid w:val="00F470E8"/>
    <w:rsid w:val="00F5113A"/>
    <w:rsid w:val="00F61D79"/>
    <w:rsid w:val="00F63234"/>
    <w:rsid w:val="00F70FF5"/>
    <w:rsid w:val="00F94893"/>
    <w:rsid w:val="00FB1D7F"/>
    <w:rsid w:val="00FB3188"/>
    <w:rsid w:val="00FC65FD"/>
    <w:rsid w:val="00FC6AB2"/>
    <w:rsid w:val="00FD0CE2"/>
    <w:rsid w:val="00FD5434"/>
    <w:rsid w:val="00FE4EC1"/>
    <w:rsid w:val="00FE6062"/>
    <w:rsid w:val="00FF0F12"/>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AB53FE"/>
    <w:pPr>
      <w:contextualSpacing/>
    </w:pPr>
    <w:rPr>
      <w:rFonts w:asciiTheme="majorHAnsi" w:eastAsiaTheme="majorEastAsia" w:hAnsiTheme="majorHAnsi" w:cstheme="majorBidi"/>
      <w:spacing w:val="-10"/>
      <w:kern w:val="28"/>
      <w:sz w:val="56"/>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AB53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DD6E3-271E-4907-8330-701ADD1E7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393</cp:revision>
  <dcterms:created xsi:type="dcterms:W3CDTF">2018-07-30T15:56:00Z</dcterms:created>
  <dcterms:modified xsi:type="dcterms:W3CDTF">2018-08-08T11:19:00Z</dcterms:modified>
</cp:coreProperties>
</file>