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61514"/>
          <w:sz w:val="40"/>
          <w:szCs w:val="40"/>
        </w:rPr>
        <w:t xml:space="preserve">Holicruit</w:t>
      </w:r>
    </w:p>
    <w:p>
      <w:pPr>
        <w:pBdr>
          <w:bottom w:val="single" w:color="E0533D" w:sz="12" w:space="6"/>
        </w:pBdr>
        <w:spacing w:after="200"/>
      </w:pPr>
      <w:r>
        <w:rPr>
          <w:rFonts w:ascii="Arial" w:cs="Arial" w:eastAsia="Arial" w:hAnsi="Arial"/>
          <w:b/>
          <w:bCs/>
          <w:color w:val="E0533D"/>
          <w:sz w:val="22"/>
          <w:szCs w:val="22"/>
        </w:rPr>
        <w:t xml:space="preserve">Holistic recruiting, radically transparent · Partner brief</w:t>
      </w:r>
    </w:p>
    <w:p>
      <w:pPr>
        <w:spacing w:after="120"/>
      </w:pPr>
      <w:r>
        <w:rPr>
          <w:rFonts w:ascii="Arial" w:cs="Arial" w:eastAsia="Arial" w:hAnsi="Arial"/>
          <w:color w:val="161514"/>
          <w:sz w:val="20"/>
          <w:szCs w:val="20"/>
        </w:rPr>
        <w:t xml:space="preserve">Hiring runs on two broken defaults: a firehose of cold applications no one can fairly read, and silent rejections that quietly erode employer brands. Holicruit replaces both. </w:t>
      </w:r>
      <w:r>
        <w:rPr>
          <w:rFonts w:ascii="Arial" w:cs="Arial" w:eastAsia="Arial" w:hAnsi="Arial"/>
          <w:color w:val="161514"/>
          <w:sz w:val="20"/>
          <w:szCs w:val="20"/>
        </w:rPr>
        <w:t xml:space="preserve">We weigh the whole person — hard skills, scenario-assessed soft skills, and verified evidence — against the role’s actual bar, match only when both sides opt in, and give every candidate an honest Growth Report showing exactly where they stood and how to close the gap.</w:t>
      </w:r>
    </w:p>
    <w:p>
      <w:pPr>
        <w:spacing w:after="100" w:before="240"/>
      </w:pPr>
      <w:r>
        <w:rPr>
          <w:rFonts w:ascii="Arial" w:cs="Arial" w:eastAsia="Arial" w:hAnsi="Arial"/>
          <w:b/>
          <w:bCs/>
          <w:color w:val="E0533D"/>
          <w:sz w:val="22"/>
          <w:szCs w:val="22"/>
        </w:rPr>
        <w:t xml:space="preserve">WHY PARTNER WITH HOLICRUIT</w:t>
      </w:r>
    </w:p>
    <w:tbl>
      <w:tblPr>
        <w:tblW w:type="dxa" w:w="9360"/>
        <w:tblBorders>
          <w:top w:val="none"/>
          <w:left w:val="none"/>
          <w:bottom w:val="none"/>
          <w:right w:val="none"/>
          <w:insideH w:val="none"/>
          <w:insideV w:val="none"/>
        </w:tblBorders>
      </w:tblPr>
      <w:tblGrid>
        <w:gridCol w:w="4680"/>
        <w:gridCol w:w="4680"/>
      </w:tblGrid>
      <w:tr>
        <w:tc>
          <w:tcPr>
            <w:tcW w:type="dxa" w:w="4680"/>
            <w:tcBorders>
              <w:top w:val="single" w:color="E0D9CC" w:sz="4"/>
              <w:left w:val="single" w:color="E0D9CC" w:sz="4"/>
              <w:bottom w:val="single" w:color="E0D9CC" w:sz="4"/>
              <w:right w:val="single" w:color="E0D9CC" w:sz="4"/>
            </w:tcBorders>
            <w:shd w:fill="F4EFE7" w:val="clear"/>
            <w:tcMar>
              <w:top w:type="dxa" w:w="140"/>
              <w:left w:type="dxa" w:w="160"/>
              <w:bottom w:type="dxa" w:w="140"/>
              <w:right w:type="dxa" w:w="160"/>
            </w:tcMar>
          </w:tcPr>
          <w:p>
            <w:pPr>
              <w:spacing w:after="60"/>
            </w:pPr>
            <w:r>
              <w:rPr>
                <w:rFonts w:ascii="Arial" w:cs="Arial" w:eastAsia="Arial" w:hAnsi="Arial"/>
                <w:b/>
                <w:bCs/>
                <w:color w:val="E0533D"/>
                <w:sz w:val="22"/>
                <w:szCs w:val="22"/>
              </w:rPr>
              <w:t xml:space="preserve">For employers &amp; hiring managers</w:t>
            </w:r>
          </w:p>
          <w:p>
            <w:pPr>
              <w:pStyle w:val="ListParagraph"/>
              <w:numPr>
                <w:ilvl w:val="0"/>
                <w:numId w:val="2"/>
              </w:numPr>
              <w:spacing w:after="40"/>
            </w:pPr>
            <w:r>
              <w:rPr>
                <w:rFonts w:ascii="Arial" w:cs="Arial" w:eastAsia="Arial" w:hAnsi="Arial"/>
                <w:color w:val="161514"/>
                <w:sz w:val="18"/>
                <w:szCs w:val="18"/>
              </w:rPr>
              <w:t xml:space="preserve">Every candidate scored against your bar — hard fit, soft fit, mutual fit.</w:t>
            </w:r>
          </w:p>
          <w:p>
            <w:pPr>
              <w:pStyle w:val="ListParagraph"/>
              <w:numPr>
                <w:ilvl w:val="0"/>
                <w:numId w:val="2"/>
              </w:numPr>
              <w:spacing w:after="40"/>
            </w:pPr>
            <w:r>
              <w:rPr>
                <w:rFonts w:ascii="Arial" w:cs="Arial" w:eastAsia="Arial" w:hAnsi="Arial"/>
                <w:color w:val="161514"/>
                <w:sz w:val="18"/>
                <w:szCs w:val="18"/>
              </w:rPr>
              <w:t xml:space="preserve">Opt-in only: a pipeline, not a pile. No spray-and-pray applications.</w:t>
            </w:r>
          </w:p>
          <w:p>
            <w:pPr>
              <w:pStyle w:val="ListParagraph"/>
              <w:numPr>
                <w:ilvl w:val="0"/>
                <w:numId w:val="2"/>
              </w:numPr>
              <w:spacing w:after="40"/>
            </w:pPr>
            <w:r>
              <w:rPr>
                <w:rFonts w:ascii="Arial" w:cs="Arial" w:eastAsia="Arial" w:hAnsi="Arial"/>
                <w:color w:val="161514"/>
                <w:sz w:val="18"/>
                <w:szCs w:val="18"/>
              </w:rPr>
              <w:t xml:space="preserve">Auto-drafted, honest pass feedback that builds your brand instead of burning it.</w:t>
            </w:r>
          </w:p>
          <w:p>
            <w:pPr>
              <w:pStyle w:val="ListParagraph"/>
              <w:numPr>
                <w:ilvl w:val="0"/>
                <w:numId w:val="2"/>
              </w:numPr>
              <w:spacing w:after="40"/>
            </w:pPr>
            <w:r>
              <w:rPr>
                <w:rFonts w:ascii="Arial" w:cs="Arial" w:eastAsia="Arial" w:hAnsi="Arial"/>
                <w:color w:val="161514"/>
                <w:sz w:val="18"/>
                <w:szCs w:val="18"/>
              </w:rPr>
              <w:t xml:space="preserve">Recruiters paid on outcomes only — incentives stay aligned.</w:t>
            </w:r>
          </w:p>
        </w:tc>
        <w:tc>
          <w:tcPr>
            <w:tcW w:type="dxa" w:w="4680"/>
            <w:tcBorders>
              <w:top w:val="single" w:color="E0D9CC" w:sz="4"/>
              <w:left w:val="single" w:color="E0D9CC" w:sz="4"/>
              <w:bottom w:val="single" w:color="E0D9CC" w:sz="4"/>
              <w:right w:val="single" w:color="E0D9CC" w:sz="4"/>
            </w:tcBorders>
            <w:shd w:fill="F4EFE7" w:val="clear"/>
            <w:tcMar>
              <w:top w:type="dxa" w:w="140"/>
              <w:left w:type="dxa" w:w="160"/>
              <w:bottom w:type="dxa" w:w="140"/>
              <w:right w:type="dxa" w:w="160"/>
            </w:tcMar>
          </w:tcPr>
          <w:p>
            <w:pPr>
              <w:spacing w:after="60"/>
            </w:pPr>
            <w:r>
              <w:rPr>
                <w:rFonts w:ascii="Arial" w:cs="Arial" w:eastAsia="Arial" w:hAnsi="Arial"/>
                <w:b/>
                <w:bCs/>
                <w:color w:val="E0533D"/>
                <w:sz w:val="22"/>
                <w:szCs w:val="22"/>
              </w:rPr>
              <w:t xml:space="preserve">For training &amp; upskilling providers</w:t>
            </w:r>
          </w:p>
          <w:p>
            <w:pPr>
              <w:pStyle w:val="ListParagraph"/>
              <w:numPr>
                <w:ilvl w:val="0"/>
                <w:numId w:val="2"/>
              </w:numPr>
              <w:spacing w:after="40"/>
            </w:pPr>
            <w:r>
              <w:rPr>
                <w:rFonts w:ascii="Arial" w:cs="Arial" w:eastAsia="Arial" w:hAnsi="Arial"/>
                <w:color w:val="161514"/>
                <w:sz w:val="18"/>
                <w:szCs w:val="18"/>
              </w:rPr>
              <w:t xml:space="preserve">Reach candidates at the exact moment they learn which skill to close.</w:t>
            </w:r>
          </w:p>
          <w:p>
            <w:pPr>
              <w:pStyle w:val="ListParagraph"/>
              <w:numPr>
                <w:ilvl w:val="0"/>
                <w:numId w:val="2"/>
              </w:numPr>
              <w:spacing w:after="40"/>
            </w:pPr>
            <w:r>
              <w:rPr>
                <w:rFonts w:ascii="Arial" w:cs="Arial" w:eastAsia="Arial" w:hAnsi="Arial"/>
                <w:color w:val="161514"/>
                <w:sz w:val="18"/>
                <w:szCs w:val="18"/>
              </w:rPr>
              <w:t xml:space="preserve">Placement targeted by named skill gap — never a broad blast.</w:t>
            </w:r>
          </w:p>
          <w:p>
            <w:pPr>
              <w:pStyle w:val="ListParagraph"/>
              <w:numPr>
                <w:ilvl w:val="0"/>
                <w:numId w:val="2"/>
              </w:numPr>
              <w:spacing w:after="40"/>
            </w:pPr>
            <w:r>
              <w:rPr>
                <w:rFonts w:ascii="Arial" w:cs="Arial" w:eastAsia="Arial" w:hAnsi="Arial"/>
                <w:color w:val="161514"/>
                <w:sz w:val="18"/>
                <w:szCs w:val="18"/>
              </w:rPr>
              <w:t xml:space="preserve">Ranked by real outcomes: completions and re-matches, not ad spend.</w:t>
            </w:r>
          </w:p>
          <w:p>
            <w:pPr>
              <w:pStyle w:val="ListParagraph"/>
              <w:numPr>
                <w:ilvl w:val="0"/>
                <w:numId w:val="2"/>
              </w:numPr>
              <w:spacing w:after="40"/>
            </w:pPr>
            <w:r>
              <w:rPr>
                <w:rFonts w:ascii="Arial" w:cs="Arial" w:eastAsia="Arial" w:hAnsi="Arial"/>
                <w:color w:val="161514"/>
                <w:sz w:val="18"/>
                <w:szCs w:val="18"/>
              </w:rPr>
              <w:t xml:space="preserve">Aggregate demand signals show which programs the market needs next.</w:t>
            </w:r>
          </w:p>
        </w:tc>
      </w:tr>
    </w:tbl>
    <w:p>
      <w:pPr>
        <w:spacing w:after="100" w:before="240"/>
      </w:pPr>
      <w:r>
        <w:rPr>
          <w:rFonts w:ascii="Arial" w:cs="Arial" w:eastAsia="Arial" w:hAnsi="Arial"/>
          <w:b/>
          <w:bCs/>
          <w:color w:val="E0533D"/>
          <w:sz w:val="22"/>
          <w:szCs w:val="22"/>
        </w:rPr>
        <w:t xml:space="preserve">HOW THE FLYWHEEL WORKS</w:t>
      </w:r>
    </w:p>
    <w:p>
      <w:pPr>
        <w:pStyle w:val="ListParagraph"/>
        <w:numPr>
          <w:ilvl w:val="0"/>
          <w:numId w:val="2"/>
        </w:numPr>
        <w:spacing w:after="80"/>
      </w:pPr>
      <w:r>
        <w:rPr>
          <w:rFonts w:ascii="Arial" w:cs="Arial" w:eastAsia="Arial" w:hAnsi="Arial"/>
          <w:b/>
          <w:bCs/>
          <w:color w:val="161514"/>
          <w:sz w:val="20"/>
          <w:szCs w:val="20"/>
        </w:rPr>
        <w:t xml:space="preserve">Assess the whole person. </w:t>
      </w:r>
      <w:r>
        <w:rPr>
          <w:rFonts w:ascii="Arial" w:cs="Arial" w:eastAsia="Arial" w:hAnsi="Arial"/>
          <w:color w:val="161514"/>
          <w:sz w:val="20"/>
          <w:szCs w:val="20"/>
        </w:rPr>
        <w:t xml:space="preserve">Hard skills, an objective scenario assessment for soft skills (never self-rated), and peer-verified evidence combine into one fit model.</w:t>
      </w:r>
    </w:p>
    <w:p>
      <w:pPr>
        <w:pStyle w:val="ListParagraph"/>
        <w:numPr>
          <w:ilvl w:val="0"/>
          <w:numId w:val="2"/>
        </w:numPr>
        <w:spacing w:after="80"/>
      </w:pPr>
      <w:r>
        <w:rPr>
          <w:rFonts w:ascii="Arial" w:cs="Arial" w:eastAsia="Arial" w:hAnsi="Arial"/>
          <w:b/>
          <w:bCs/>
          <w:color w:val="161514"/>
          <w:sz w:val="20"/>
          <w:szCs w:val="20"/>
        </w:rPr>
        <w:t xml:space="preserve">Match on mutual fit. </w:t>
      </w:r>
      <w:r>
        <w:rPr>
          <w:rFonts w:ascii="Arial" w:cs="Arial" w:eastAsia="Arial" w:hAnsi="Arial"/>
          <w:color w:val="161514"/>
          <w:sz w:val="20"/>
          <w:szCs w:val="20"/>
        </w:rPr>
        <w:t xml:space="preserve">Candidates and roles are matched only when both opt in — then everyone sees the same transparent hard / soft / mutual sub-scores.</w:t>
      </w:r>
    </w:p>
    <w:p>
      <w:pPr>
        <w:pStyle w:val="ListParagraph"/>
        <w:numPr>
          <w:ilvl w:val="0"/>
          <w:numId w:val="2"/>
        </w:numPr>
        <w:spacing w:after="80"/>
      </w:pPr>
      <w:r>
        <w:rPr>
          <w:rFonts w:ascii="Arial" w:cs="Arial" w:eastAsia="Arial" w:hAnsi="Arial"/>
          <w:b/>
          <w:bCs/>
          <w:color w:val="161514"/>
          <w:sz w:val="20"/>
          <w:szCs w:val="20"/>
        </w:rPr>
        <w:t xml:space="preserve">Turn every “no” into momentum. </w:t>
      </w:r>
      <w:r>
        <w:rPr>
          <w:rFonts w:ascii="Arial" w:cs="Arial" w:eastAsia="Arial" w:hAnsi="Arial"/>
          <w:color w:val="161514"/>
          <w:sz w:val="20"/>
          <w:szCs w:val="20"/>
        </w:rPr>
        <w:t xml:space="preserve">A pass generates a Growth Report: the one gap that made the difference, and the programs that close it — supplied by our provider partners.</w:t>
      </w:r>
    </w:p>
    <w:p>
      <w:pPr>
        <w:pStyle w:val="ListParagraph"/>
        <w:numPr>
          <w:ilvl w:val="0"/>
          <w:numId w:val="2"/>
        </w:numPr>
        <w:spacing w:after="80"/>
      </w:pPr>
      <w:r>
        <w:rPr>
          <w:rFonts w:ascii="Arial" w:cs="Arial" w:eastAsia="Arial" w:hAnsi="Arial"/>
          <w:b/>
          <w:bCs/>
          <w:color w:val="161514"/>
          <w:sz w:val="20"/>
          <w:szCs w:val="20"/>
        </w:rPr>
        <w:t xml:space="preserve">Compound the loop. </w:t>
      </w:r>
      <w:r>
        <w:rPr>
          <w:rFonts w:ascii="Arial" w:cs="Arial" w:eastAsia="Arial" w:hAnsi="Arial"/>
          <w:color w:val="161514"/>
          <w:sz w:val="20"/>
          <w:szCs w:val="20"/>
        </w:rPr>
        <w:t xml:space="preserve">Close a gap, the profile re-runs through matching automatically. Candidates improve, employers see better pipelines, providers prove ROI.</w:t>
      </w:r>
    </w:p>
    <w:p>
      <w:pPr>
        <w:spacing w:after="100" w:before="240"/>
      </w:pPr>
      <w:r>
        <w:rPr>
          <w:rFonts w:ascii="Arial" w:cs="Arial" w:eastAsia="Arial" w:hAnsi="Arial"/>
          <w:b/>
          <w:bCs/>
          <w:color w:val="E0533D"/>
          <w:sz w:val="22"/>
          <w:szCs w:val="22"/>
        </w:rPr>
        <w:t xml:space="preserve">WHAT WE'RE LOOKING FOR NOW</w:t>
      </w:r>
    </w:p>
    <w:p>
      <w:pPr>
        <w:spacing w:after="200"/>
      </w:pPr>
      <w:r>
        <w:rPr>
          <w:rFonts w:ascii="Arial" w:cs="Arial" w:eastAsia="Arial" w:hAnsi="Arial"/>
          <w:color w:val="161514"/>
          <w:sz w:val="20"/>
          <w:szCs w:val="20"/>
        </w:rPr>
        <w:t xml:space="preserve">We’re onboarding a small group of founding partners ahead of our MVP launch: </w:t>
      </w:r>
      <w:r>
        <w:rPr>
          <w:rFonts w:ascii="Arial" w:cs="Arial" w:eastAsia="Arial" w:hAnsi="Arial"/>
          <w:b/>
          <w:bCs/>
          <w:color w:val="161514"/>
          <w:sz w:val="20"/>
          <w:szCs w:val="20"/>
        </w:rPr>
        <w:t xml:space="preserve">design-partner employers</w:t>
      </w:r>
      <w:r>
        <w:rPr>
          <w:rFonts w:ascii="Arial" w:cs="Arial" w:eastAsia="Arial" w:hAnsi="Arial"/>
          <w:color w:val="161514"/>
          <w:sz w:val="20"/>
          <w:szCs w:val="20"/>
        </w:rPr>
        <w:t xml:space="preserve"> who post a live role or two and shape the roadmap, and </w:t>
      </w:r>
      <w:r>
        <w:rPr>
          <w:rFonts w:ascii="Arial" w:cs="Arial" w:eastAsia="Arial" w:hAnsi="Arial"/>
          <w:b/>
          <w:bCs/>
          <w:color w:val="161514"/>
          <w:sz w:val="20"/>
          <w:szCs w:val="20"/>
        </w:rPr>
        <w:t xml:space="preserve">content partners</w:t>
      </w:r>
      <w:r>
        <w:rPr>
          <w:rFonts w:ascii="Arial" w:cs="Arial" w:eastAsia="Arial" w:hAnsi="Arial"/>
          <w:color w:val="161514"/>
          <w:sz w:val="20"/>
          <w:szCs w:val="20"/>
        </w:rPr>
        <w:t xml:space="preserve"> whose programs populate the Growth Paths marketplace. Early partners get hands-on setup, preferential placement, and direct input into what we build.</w:t>
      </w:r>
    </w:p>
    <w:p>
      <w:pPr>
        <w:shd w:fill="161514" w:val="clear"/>
        <w:spacing w:after="180" w:before="180"/>
      </w:pPr>
      <w:r>
        <w:rPr>
          <w:rFonts w:ascii="Arial" w:cs="Arial" w:eastAsia="Arial" w:hAnsi="Arial"/>
          <w:b/>
          <w:bCs/>
          <w:color w:val="F4EFE7"/>
          <w:sz w:val="22"/>
          <w:szCs w:val="22"/>
        </w:rPr>
        <w:t xml:space="preserve">Let’s talk.  </w:t>
      </w:r>
      <w:r>
        <w:rPr>
          <w:rFonts w:ascii="Arial" w:cs="Arial" w:eastAsia="Arial" w:hAnsi="Arial"/>
          <w:color w:val="F4EFE7"/>
          <w:sz w:val="20"/>
          <w:szCs w:val="20"/>
        </w:rPr>
        <w:t xml:space="preserve">Nils Weiler, Founder · nils.weiler@gmail.com · holicruit.com</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151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2026-07-01T18:44:55.156Z</dcterms:created>
  <dcterms:modified xsi:type="dcterms:W3CDTF">2026-07-01T18:44:55.156Z</dcterms:modified>
</cp:coreProperties>
</file>

<file path=docProps/custom.xml><?xml version="1.0" encoding="utf-8"?>
<Properties xmlns="http://schemas.openxmlformats.org/officeDocument/2006/custom-properties" xmlns:vt="http://schemas.openxmlformats.org/officeDocument/2006/docPropsVTypes"/>
</file>