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EB31" w14:textId="77777777" w:rsidR="00764CE0" w:rsidRDefault="00764CE0" w:rsidP="00764CE0">
      <w:pPr>
        <w:spacing w:after="120" w:line="240" w:lineRule="auto"/>
      </w:pPr>
      <w:r>
        <w:rPr>
          <w:sz w:val="28"/>
          <w:szCs w:val="28"/>
        </w:rPr>
        <w:t>Mapa de Resposta a Riscos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17"/>
        <w:gridCol w:w="1478"/>
        <w:gridCol w:w="1559"/>
        <w:gridCol w:w="1418"/>
        <w:gridCol w:w="3422"/>
        <w:gridCol w:w="3720"/>
      </w:tblGrid>
      <w:tr w:rsidR="00764CE0" w:rsidRPr="00764CE0" w14:paraId="42DE7983" w14:textId="77777777" w:rsidTr="00764CE0">
        <w:tc>
          <w:tcPr>
            <w:tcW w:w="4017" w:type="dxa"/>
            <w:vMerge w:val="restart"/>
            <w:shd w:val="clear" w:color="auto" w:fill="C2D69B" w:themeFill="accent3" w:themeFillTint="99"/>
          </w:tcPr>
          <w:p w14:paraId="5D4E9AFA" w14:textId="77777777" w:rsidR="00764CE0" w:rsidRPr="00764CE0" w:rsidRDefault="00764CE0" w:rsidP="00764CE0">
            <w:pPr>
              <w:jc w:val="center"/>
              <w:rPr>
                <w:b/>
                <w:sz w:val="20"/>
                <w:szCs w:val="20"/>
              </w:rPr>
            </w:pPr>
            <w:r w:rsidRPr="00764CE0">
              <w:rPr>
                <w:b/>
                <w:sz w:val="20"/>
                <w:szCs w:val="20"/>
              </w:rPr>
              <w:t>Principais Riscos Identificados</w:t>
            </w:r>
          </w:p>
        </w:tc>
        <w:tc>
          <w:tcPr>
            <w:tcW w:w="4455" w:type="dxa"/>
            <w:gridSpan w:val="3"/>
            <w:tcBorders>
              <w:bottom w:val="single" w:sz="4" w:space="0" w:color="auto"/>
            </w:tcBorders>
            <w:shd w:val="clear" w:color="auto" w:fill="C2D69B" w:themeFill="accent3" w:themeFillTint="99"/>
          </w:tcPr>
          <w:p w14:paraId="2B9C6368" w14:textId="77777777" w:rsidR="00764CE0" w:rsidRPr="00764CE0" w:rsidRDefault="00764CE0" w:rsidP="00764CE0">
            <w:pPr>
              <w:jc w:val="center"/>
              <w:rPr>
                <w:b/>
                <w:sz w:val="20"/>
                <w:szCs w:val="20"/>
              </w:rPr>
            </w:pPr>
            <w:r w:rsidRPr="00764CE0">
              <w:rPr>
                <w:b/>
                <w:sz w:val="20"/>
                <w:szCs w:val="20"/>
              </w:rPr>
              <w:t>Avaliação</w:t>
            </w:r>
          </w:p>
        </w:tc>
        <w:tc>
          <w:tcPr>
            <w:tcW w:w="3422" w:type="dxa"/>
            <w:vMerge w:val="restart"/>
            <w:shd w:val="clear" w:color="auto" w:fill="C2D69B" w:themeFill="accent3" w:themeFillTint="99"/>
          </w:tcPr>
          <w:p w14:paraId="299E468D" w14:textId="77777777" w:rsidR="00764CE0" w:rsidRPr="00764CE0" w:rsidRDefault="00764CE0" w:rsidP="00764CE0">
            <w:pPr>
              <w:jc w:val="center"/>
              <w:rPr>
                <w:b/>
                <w:sz w:val="20"/>
                <w:szCs w:val="20"/>
              </w:rPr>
            </w:pPr>
            <w:r w:rsidRPr="00764CE0">
              <w:rPr>
                <w:b/>
                <w:sz w:val="20"/>
                <w:szCs w:val="20"/>
              </w:rPr>
              <w:t>O que podemos fazer para prevenir?</w:t>
            </w:r>
          </w:p>
        </w:tc>
        <w:tc>
          <w:tcPr>
            <w:tcW w:w="3720" w:type="dxa"/>
            <w:vMerge w:val="restart"/>
            <w:shd w:val="clear" w:color="auto" w:fill="C2D69B" w:themeFill="accent3" w:themeFillTint="99"/>
          </w:tcPr>
          <w:p w14:paraId="38056AC9" w14:textId="77777777" w:rsidR="00764CE0" w:rsidRPr="00764CE0" w:rsidRDefault="00764CE0" w:rsidP="00764CE0">
            <w:pPr>
              <w:jc w:val="center"/>
              <w:rPr>
                <w:b/>
                <w:sz w:val="20"/>
                <w:szCs w:val="20"/>
              </w:rPr>
            </w:pPr>
            <w:r w:rsidRPr="00764CE0">
              <w:rPr>
                <w:b/>
                <w:sz w:val="20"/>
                <w:szCs w:val="20"/>
              </w:rPr>
              <w:t>Se o risco se consumar, qual nossa contingência?</w:t>
            </w:r>
          </w:p>
        </w:tc>
      </w:tr>
      <w:tr w:rsidR="00764CE0" w:rsidRPr="00764CE0" w14:paraId="67A0D434" w14:textId="77777777" w:rsidTr="00764CE0">
        <w:tc>
          <w:tcPr>
            <w:tcW w:w="4017" w:type="dxa"/>
            <w:vMerge/>
          </w:tcPr>
          <w:p w14:paraId="6BE85DEB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  <w:tc>
          <w:tcPr>
            <w:tcW w:w="1478" w:type="dxa"/>
            <w:shd w:val="clear" w:color="auto" w:fill="C2D69B" w:themeFill="accent3" w:themeFillTint="99"/>
          </w:tcPr>
          <w:p w14:paraId="4C67FD93" w14:textId="77777777" w:rsidR="00764CE0" w:rsidRPr="00764CE0" w:rsidRDefault="00764CE0" w:rsidP="00764CE0">
            <w:pPr>
              <w:jc w:val="center"/>
              <w:rPr>
                <w:b/>
                <w:sz w:val="20"/>
                <w:szCs w:val="20"/>
              </w:rPr>
            </w:pPr>
            <w:r w:rsidRPr="00764CE0">
              <w:rPr>
                <w:b/>
                <w:sz w:val="20"/>
                <w:szCs w:val="20"/>
              </w:rPr>
              <w:t>Impacto</w:t>
            </w:r>
          </w:p>
        </w:tc>
        <w:tc>
          <w:tcPr>
            <w:tcW w:w="1559" w:type="dxa"/>
            <w:shd w:val="clear" w:color="auto" w:fill="C2D69B" w:themeFill="accent3" w:themeFillTint="99"/>
          </w:tcPr>
          <w:p w14:paraId="4C77DE52" w14:textId="77777777" w:rsidR="00764CE0" w:rsidRPr="00764CE0" w:rsidRDefault="00764CE0" w:rsidP="00764CE0">
            <w:pPr>
              <w:jc w:val="center"/>
              <w:rPr>
                <w:b/>
                <w:sz w:val="20"/>
                <w:szCs w:val="20"/>
              </w:rPr>
            </w:pPr>
            <w:r w:rsidRPr="00764CE0">
              <w:rPr>
                <w:b/>
                <w:sz w:val="20"/>
                <w:szCs w:val="20"/>
              </w:rPr>
              <w:t>Probabilidade</w:t>
            </w:r>
          </w:p>
        </w:tc>
        <w:tc>
          <w:tcPr>
            <w:tcW w:w="1418" w:type="dxa"/>
            <w:shd w:val="clear" w:color="auto" w:fill="C2D69B" w:themeFill="accent3" w:themeFillTint="99"/>
          </w:tcPr>
          <w:p w14:paraId="2D98DB8A" w14:textId="77777777" w:rsidR="00764CE0" w:rsidRPr="00764CE0" w:rsidRDefault="00764CE0" w:rsidP="00764CE0">
            <w:pPr>
              <w:jc w:val="center"/>
              <w:rPr>
                <w:b/>
                <w:sz w:val="20"/>
                <w:szCs w:val="20"/>
              </w:rPr>
            </w:pPr>
            <w:r w:rsidRPr="00764CE0">
              <w:rPr>
                <w:b/>
                <w:sz w:val="20"/>
                <w:szCs w:val="20"/>
              </w:rPr>
              <w:t>Criticidade</w:t>
            </w:r>
          </w:p>
        </w:tc>
        <w:tc>
          <w:tcPr>
            <w:tcW w:w="3422" w:type="dxa"/>
            <w:vMerge/>
          </w:tcPr>
          <w:p w14:paraId="5C2AF840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  <w:tc>
          <w:tcPr>
            <w:tcW w:w="3720" w:type="dxa"/>
            <w:vMerge/>
          </w:tcPr>
          <w:p w14:paraId="77829526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</w:tr>
      <w:tr w:rsidR="00764CE0" w:rsidRPr="00764CE0" w14:paraId="0B4F7386" w14:textId="77777777" w:rsidTr="00764CE0">
        <w:tc>
          <w:tcPr>
            <w:tcW w:w="4017" w:type="dxa"/>
          </w:tcPr>
          <w:p>
            <w:r>
              <w:rPr>
                <w:sz w:val="18"/>
              </w:rPr>
              <w:t>Prazo de lançamento reduzido</w:t>
            </w:r>
          </w:p>
        </w:tc>
        <w:tc>
          <w:tcPr>
            <w:tcW w:w="1478" w:type="dxa"/>
          </w:tcPr>
          <w:p>
            <w:r>
              <w:rPr>
                <w:sz w:val="18"/>
              </w:rPr>
              <w:t>Alto</w:t>
            </w:r>
          </w:p>
        </w:tc>
        <w:tc>
          <w:tcPr>
            <w:tcW w:w="1559" w:type="dxa"/>
          </w:tcPr>
          <w:p>
            <w:r>
              <w:rPr>
                <w:sz w:val="18"/>
              </w:rPr>
              <w:t>Média</w:t>
            </w:r>
          </w:p>
        </w:tc>
        <w:tc>
          <w:tcPr>
            <w:tcW w:w="1418" w:type="dxa"/>
          </w:tcPr>
          <w:p>
            <w:r>
              <w:rPr>
                <w:sz w:val="18"/>
              </w:rPr>
              <w:t>Alta</w:t>
            </w:r>
          </w:p>
        </w:tc>
        <w:tc>
          <w:tcPr>
            <w:tcW w:w="3422" w:type="dxa"/>
          </w:tcPr>
          <w:p>
            <w:r>
              <w:rPr>
                <w:sz w:val="18"/>
              </w:rPr>
              <w:t>Definir um MVP com escopo priorizado, focando nas funcionalidades essenciais; estabelecer cronograma com marcos e margem para imprevistos; acompanhar semanalmente o progresso e antecipar bloqueios.</w:t>
            </w:r>
          </w:p>
        </w:tc>
        <w:tc>
          <w:tcPr>
            <w:tcW w:w="3720" w:type="dxa"/>
          </w:tcPr>
          <w:p>
            <w:r>
              <w:rPr>
                <w:sz w:val="18"/>
              </w:rPr>
              <w:t>Priorizar funcionalidades indispensáveis para o lançamento e postergar recursos de menor prioridade para versões posteriores; ajustar o cronograma de entregas sem comprometer a qualidade mínima do MVP.</w:t>
            </w:r>
          </w:p>
        </w:tc>
      </w:tr>
      <w:tr w:rsidR="00764CE0" w:rsidRPr="00764CE0" w14:paraId="79FD4FF3" w14:textId="77777777" w:rsidTr="00764CE0">
        <w:tc>
          <w:tcPr>
            <w:tcW w:w="4017" w:type="dxa"/>
          </w:tcPr>
          <w:p>
            <w:r>
              <w:rPr>
                <w:sz w:val="18"/>
              </w:rPr>
              <w:t>Baixa retenção e fator usabilidade</w:t>
            </w:r>
          </w:p>
        </w:tc>
        <w:tc>
          <w:tcPr>
            <w:tcW w:w="1478" w:type="dxa"/>
          </w:tcPr>
          <w:p>
            <w:r>
              <w:rPr>
                <w:sz w:val="18"/>
              </w:rPr>
              <w:t>Alto</w:t>
            </w:r>
          </w:p>
        </w:tc>
        <w:tc>
          <w:tcPr>
            <w:tcW w:w="1559" w:type="dxa"/>
          </w:tcPr>
          <w:p>
            <w:r>
              <w:rPr>
                <w:sz w:val="18"/>
              </w:rPr>
              <w:t>Média</w:t>
            </w:r>
          </w:p>
        </w:tc>
        <w:tc>
          <w:tcPr>
            <w:tcW w:w="1418" w:type="dxa"/>
          </w:tcPr>
          <w:p>
            <w:r>
              <w:rPr>
                <w:sz w:val="18"/>
              </w:rPr>
              <w:t>Alta</w:t>
            </w:r>
          </w:p>
        </w:tc>
        <w:tc>
          <w:tcPr>
            <w:tcW w:w="3422" w:type="dxa"/>
          </w:tcPr>
          <w:p>
            <w:r>
              <w:rPr>
                <w:sz w:val="18"/>
              </w:rPr>
              <w:t>Projetar o fluxo de treino com foco em rapidez e poucos toques; simplificar o registro de cargas e séries; realizar testes de usabilidade com usuários e incorporar feedback antes do lançamento.</w:t>
            </w:r>
          </w:p>
        </w:tc>
        <w:tc>
          <w:tcPr>
            <w:tcW w:w="3720" w:type="dxa"/>
          </w:tcPr>
          <w:p>
            <w:r>
              <w:rPr>
                <w:sz w:val="18"/>
              </w:rPr>
              <w:t>Simplificar imediatamente os fluxos que apresentarem maior abandono; priorizar correções de usabilidade e realizar ciclos rápidos de melhoria com base no comportamento e feedback dos usuários.</w:t>
            </w:r>
          </w:p>
        </w:tc>
      </w:tr>
      <w:tr w:rsidR="00764CE0" w:rsidRPr="00764CE0" w14:paraId="49F78CDB" w14:textId="77777777" w:rsidTr="00764CE0">
        <w:tc>
          <w:tcPr>
            <w:tcW w:w="4017" w:type="dxa"/>
          </w:tcPr>
          <w:p>
            <w:r>
              <w:rPr>
                <w:sz w:val="18"/>
              </w:rPr>
              <w:t>Processo de homologação nas lojas</w:t>
            </w:r>
          </w:p>
        </w:tc>
        <w:tc>
          <w:tcPr>
            <w:tcW w:w="1478" w:type="dxa"/>
          </w:tcPr>
          <w:p>
            <w:r>
              <w:rPr>
                <w:sz w:val="18"/>
              </w:rPr>
              <w:t>Alto</w:t>
            </w:r>
          </w:p>
        </w:tc>
        <w:tc>
          <w:tcPr>
            <w:tcW w:w="1559" w:type="dxa"/>
          </w:tcPr>
          <w:p>
            <w:r>
              <w:rPr>
                <w:sz w:val="18"/>
              </w:rPr>
              <w:t>Média</w:t>
            </w:r>
          </w:p>
        </w:tc>
        <w:tc>
          <w:tcPr>
            <w:tcW w:w="1418" w:type="dxa"/>
          </w:tcPr>
          <w:p>
            <w:r>
              <w:rPr>
                <w:sz w:val="18"/>
              </w:rPr>
              <w:t>Alta</w:t>
            </w:r>
          </w:p>
        </w:tc>
        <w:tc>
          <w:tcPr>
            <w:tcW w:w="3422" w:type="dxa"/>
          </w:tcPr>
          <w:p>
            <w:r>
              <w:rPr>
                <w:sz w:val="18"/>
              </w:rPr>
              <w:t>Antecipar os requisitos de publicação da App Store e demais lojas; preparar certificados, contas e materiais com antecedência; realizar testes de compilação e submissão antes da data-alvo; prever acesso a um dispositivo/ambiente macOS para a compilação necessária.</w:t>
            </w:r>
          </w:p>
        </w:tc>
        <w:tc>
          <w:tcPr>
            <w:tcW w:w="3720" w:type="dxa"/>
          </w:tcPr>
          <w:p>
            <w:r>
              <w:rPr>
                <w:sz w:val="18"/>
              </w:rPr>
              <w:t>Corrigir rapidamente eventuais rejeições e reenviar o aplicativo; utilizar o ambiente macOS disponível para gerar novas versões; caso haja atraso, comunicar a mudança de prazo e priorizar a disponibilização nas lojas assim que a aprovação ocorrer.</w:t>
            </w:r>
          </w:p>
        </w:tc>
      </w:tr>
      <w:tr w:rsidR="00764CE0" w:rsidRPr="00764CE0" w14:paraId="26309BDB" w14:textId="77777777" w:rsidTr="00764CE0">
        <w:tc>
          <w:tcPr>
            <w:tcW w:w="4017" w:type="dxa"/>
          </w:tcPr>
          <w:p>
            <w:r>
              <w:rPr>
                <w:sz w:val="18"/>
              </w:rPr>
              <w:t>Resistência à troca de método</w:t>
            </w:r>
          </w:p>
        </w:tc>
        <w:tc>
          <w:tcPr>
            <w:tcW w:w="1478" w:type="dxa"/>
          </w:tcPr>
          <w:p>
            <w:r>
              <w:rPr>
                <w:sz w:val="18"/>
              </w:rPr>
              <w:t>Médio</w:t>
            </w:r>
          </w:p>
        </w:tc>
        <w:tc>
          <w:tcPr>
            <w:tcW w:w="1559" w:type="dxa"/>
          </w:tcPr>
          <w:p>
            <w:r>
              <w:rPr>
                <w:sz w:val="18"/>
              </w:rPr>
              <w:t>Alta</w:t>
            </w:r>
          </w:p>
        </w:tc>
        <w:tc>
          <w:tcPr>
            <w:tcW w:w="1418" w:type="dxa"/>
          </w:tcPr>
          <w:p>
            <w:r>
              <w:rPr>
                <w:sz w:val="18"/>
              </w:rPr>
              <w:t>Alta</w:t>
            </w:r>
          </w:p>
        </w:tc>
        <w:tc>
          <w:tcPr>
            <w:tcW w:w="3422" w:type="dxa"/>
          </w:tcPr>
          <w:p>
            <w:r>
              <w:rPr>
                <w:sz w:val="18"/>
              </w:rPr>
              <w:t>Destacar benefícios claros em relação ao papel, bloco de notas e apps concorrentes; tornar a migração simples, com cadastro rápido e experiência intuitiva; coletar feedback dos primeiros usuários e comunicar ganhos de praticidade.</w:t>
            </w:r>
          </w:p>
        </w:tc>
        <w:tc>
          <w:tcPr>
            <w:tcW w:w="3720" w:type="dxa"/>
          </w:tcPr>
          <w:p>
            <w:r>
              <w:rPr>
                <w:sz w:val="18"/>
              </w:rPr>
              <w:t>Oferecer onboarding mais simples e orientado ao valor; ajustar funcionalidades que dificultem a migração; usar feedback dos usuários para remover barreiras e priorizar recursos que aumentem a percepção de utilidade.</w:t>
            </w:r>
          </w:p>
        </w:tc>
      </w:tr>
      <w:tr w:rsidR="00764CE0" w:rsidRPr="00764CE0" w14:paraId="747A3B28" w14:textId="77777777" w:rsidTr="00764CE0">
        <w:tc>
          <w:tcPr>
            <w:tcW w:w="4017" w:type="dxa"/>
          </w:tcPr>
          <w:p w14:paraId="31D7E0C6" w14:textId="77777777" w:rsidR="00764CE0" w:rsidRDefault="00764CE0">
            <w:pPr>
              <w:rPr>
                <w:sz w:val="20"/>
                <w:szCs w:val="20"/>
              </w:rPr>
            </w:pPr>
          </w:p>
          <w:p w14:paraId="41D6D8F5" w14:textId="77777777" w:rsidR="00764CE0" w:rsidRDefault="00764CE0">
            <w:pPr>
              <w:rPr>
                <w:sz w:val="20"/>
                <w:szCs w:val="20"/>
              </w:rPr>
            </w:pPr>
          </w:p>
          <w:p w14:paraId="6A4DFE5A" w14:textId="77777777" w:rsidR="00764CE0" w:rsidRDefault="00764CE0">
            <w:pPr>
              <w:rPr>
                <w:sz w:val="20"/>
                <w:szCs w:val="20"/>
              </w:rPr>
            </w:pPr>
          </w:p>
          <w:p w14:paraId="4D23AA3F" w14:textId="77777777" w:rsidR="00764CE0" w:rsidRDefault="00764CE0">
            <w:pPr>
              <w:rPr>
                <w:sz w:val="20"/>
                <w:szCs w:val="20"/>
              </w:rPr>
            </w:pPr>
          </w:p>
          <w:p w14:paraId="6C470DC6" w14:textId="77777777" w:rsidR="00764CE0" w:rsidRDefault="00764CE0">
            <w:pPr>
              <w:rPr>
                <w:sz w:val="20"/>
                <w:szCs w:val="20"/>
              </w:rPr>
            </w:pPr>
          </w:p>
          <w:p w14:paraId="7CE84B6E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  <w:tc>
          <w:tcPr>
            <w:tcW w:w="1478" w:type="dxa"/>
          </w:tcPr>
          <w:p w14:paraId="76A2A761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8FC2E25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D832FA9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  <w:tc>
          <w:tcPr>
            <w:tcW w:w="3422" w:type="dxa"/>
          </w:tcPr>
          <w:p w14:paraId="0CC847A8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  <w:tc>
          <w:tcPr>
            <w:tcW w:w="3720" w:type="dxa"/>
          </w:tcPr>
          <w:p w14:paraId="7A71A2AA" w14:textId="77777777" w:rsidR="00764CE0" w:rsidRPr="00764CE0" w:rsidRDefault="00764CE0">
            <w:pPr>
              <w:rPr>
                <w:sz w:val="20"/>
                <w:szCs w:val="20"/>
              </w:rPr>
            </w:pPr>
          </w:p>
        </w:tc>
      </w:tr>
    </w:tbl>
    <w:p w14:paraId="103C60D9" w14:textId="77777777" w:rsidR="00FE3FD7" w:rsidRDefault="00FE3FD7"/>
    <w:sectPr w:rsidR="00FE3FD7" w:rsidSect="00764CE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4CE0"/>
    <w:rsid w:val="00720EE4"/>
    <w:rsid w:val="00764CE0"/>
    <w:rsid w:val="00FE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23C29"/>
  <w15:docId w15:val="{92073127-A352-4A4B-A74A-9E6B5ABC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6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11E6FEE41C6845BD8B4FF2C68A9285" ma:contentTypeVersion="10" ma:contentTypeDescription="Crie um novo documento." ma:contentTypeScope="" ma:versionID="a7426d62f869f71bb4d8ede60da94dbf">
  <xsd:schema xmlns:xsd="http://www.w3.org/2001/XMLSchema" xmlns:xs="http://www.w3.org/2001/XMLSchema" xmlns:p="http://schemas.microsoft.com/office/2006/metadata/properties" xmlns:ns2="d51f3a0b-e5c6-4c77-883e-4c61a4bc7a30" xmlns:ns3="bf55bb95-0e2d-49eb-8730-bda5c0a73d75" targetNamespace="http://schemas.microsoft.com/office/2006/metadata/properties" ma:root="true" ma:fieldsID="a63888d8d50edebeb2ac73f6c8f45b76" ns2:_="" ns3:_="">
    <xsd:import namespace="d51f3a0b-e5c6-4c77-883e-4c61a4bc7a30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f3a0b-e5c6-4c77-883e-4c61a4bc7a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992c7e0-d738-465f-a5ac-76c5ba9dd83d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1f3a0b-e5c6-4c77-883e-4c61a4bc7a30" xsi:nil="true"/>
    <TaxCatchAll xmlns="bf55bb95-0e2d-49eb-8730-bda5c0a73d75" xsi:nil="true"/>
    <lcf76f155ced4ddcb4097134ff3c332f xmlns="d51f3a0b-e5c6-4c77-883e-4c61a4bc7a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0E362-97BF-4F09-90B0-8C751929701D}"/>
</file>

<file path=customXml/itemProps2.xml><?xml version="1.0" encoding="utf-8"?>
<ds:datastoreItem xmlns:ds="http://schemas.openxmlformats.org/officeDocument/2006/customXml" ds:itemID="{504672F2-191B-4C5B-A6B8-705B8F94D221}"/>
</file>

<file path=customXml/itemProps3.xml><?xml version="1.0" encoding="utf-8"?>
<ds:datastoreItem xmlns:ds="http://schemas.openxmlformats.org/officeDocument/2006/customXml" ds:itemID="{0E0D28A5-D453-49A0-AFC7-269E41A427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212</Characters>
  <Application>Microsoft Office Word</Application>
  <DocSecurity>0</DocSecurity>
  <Lines>1</Lines>
  <Paragraphs>1</Paragraphs>
  <ScaleCrop>false</ScaleCrop>
  <Company>Elektro Eletridade e Serviços S/A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303088</dc:creator>
  <cp:keywords/>
  <dc:description/>
  <cp:lastModifiedBy>LEANDRO ARTHUR PINTO</cp:lastModifiedBy>
  <cp:revision>2</cp:revision>
  <dcterms:created xsi:type="dcterms:W3CDTF">2011-07-26T19:54:00Z</dcterms:created>
  <dcterms:modified xsi:type="dcterms:W3CDTF">2022-03-10T23:58:00Z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0x010100A211E6FEE41C6845BD8B4FF2C68A9285</vt:lpwstr>
  </property>
</Properties>
</file>