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A967F" w14:textId="77777777" w:rsidR="003B5D66" w:rsidRDefault="00000000">
      <w:pPr>
        <w:pStyle w:val="Ttulo1"/>
        <w:rPr>
          <w:color w:val="FF0000"/>
          <w:sz w:val="20"/>
          <w:szCs w:val="20"/>
        </w:rPr>
      </w:pPr>
      <w:bookmarkStart w:id="0" w:name="_heading=h.oiim62kv8y77" w:colFirst="0" w:colLast="0"/>
      <w:bookmarkEnd w:id="0"/>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rPr>
        <w:t>ESTUDO DE SITUAÇÃO Nº 019/2026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4B9C44ED"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450D068C"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1FC1098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4B96F2E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78F27677"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8B7A38D"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80A167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60D911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518373AC"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7E5D820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w:t>
      </w:r>
    </w:p>
    <w:p w14:paraId="3AF96B4C"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Registro de 382 (trezentas e oitenta e duas) ocorrências de violência doméstica e familiar contra a mulher em 2024, 404 (quatrocentas e quatro) em 2025 e 314 (trezentas e quatorze) em 2026 (até 12/10/2026, conforme SIGESPOL);</w:t>
      </w:r>
    </w:p>
    <w:p w14:paraId="0D9605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Acompanhamento, pela RMP, de 192 (cento e noventa e duas) Medidas Protetivas de Urgência ativas em 2025 e de 202 (duzentas e duas) ativas em 2026 (até a presente data);</w:t>
      </w:r>
    </w:p>
    <w:p w14:paraId="4F6FE03F"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
    <w:p w14:paraId="11FAB2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
    <w:p w14:paraId="59B0A504"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
    <w:p w14:paraId="68B76AE2" w14:textId="0145D239"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w:t>
      </w:r>
    </w:p>
    <w:p w14:paraId="5F8C5789" w14:textId="77777777" w:rsid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
    <w:p w14:paraId="50434E1E" w14:textId="77777777" w:rsidR="004B380D" w:rsidRDefault="004B380D" w:rsidP="004B380D">
      <w:pPr>
        <w:spacing w:line="360" w:lineRule="auto"/>
        <w:ind w:left="720"/>
        <w:jc w:val="both"/>
        <w:rPr>
          <w:rFonts w:ascii="Verdana" w:eastAsia="Verdana" w:hAnsi="Verdana" w:cs="Verdana"/>
          <w:sz w:val="20"/>
          <w:szCs w:val="20"/>
        </w:rPr>
      </w:pPr>
    </w:p>
    <w:p w14:paraId="35200E7F" w14:textId="77777777" w:rsidR="004B380D" w:rsidRDefault="004B380D" w:rsidP="004B380D">
      <w:pPr>
        <w:spacing w:line="360" w:lineRule="auto"/>
        <w:jc w:val="both"/>
        <w:rPr>
          <w:rFonts w:ascii="Verdana" w:eastAsia="Verdana" w:hAnsi="Verdana" w:cs="Verdana"/>
          <w:sz w:val="20"/>
          <w:szCs w:val="20"/>
        </w:rPr>
      </w:pPr>
    </w:p>
    <w:p w14:paraId="01359FF3" w14:textId="77777777" w:rsidR="004B380D" w:rsidRPr="0057602B" w:rsidRDefault="004B380D" w:rsidP="004B380D">
      <w:pPr>
        <w:spacing w:line="360" w:lineRule="auto"/>
        <w:jc w:val="both"/>
        <w:rPr>
          <w:rFonts w:ascii="Verdana" w:eastAsia="Verdana" w:hAnsi="Verdana" w:cs="Verdana"/>
          <w:sz w:val="20"/>
          <w:szCs w:val="20"/>
        </w:rPr>
      </w:pPr>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1A0400DC" w14:textId="77777777" w:rsidR="00420B39" w:rsidRDefault="00420B39"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26071124" w14:textId="611E3167" w:rsidR="00E9123F" w:rsidRPr="00420B39" w:rsidRDefault="00E9123F" w:rsidP="00420B39">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420B39">
        <w:rPr>
          <w:rFonts w:ascii="Verdana" w:eastAsia="Verdana" w:hAnsi="Verdana" w:cs="Verdana"/>
          <w:color w:val="000000"/>
          <w:sz w:val="20"/>
          <w:szCs w:val="20"/>
        </w:rPr>
        <w:t>Contextualização do território</w:t>
      </w:r>
    </w:p>
    <w:p w14:paraId="78295AE8"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6FE02576" w14:textId="77777777" w:rsidR="000638BB" w:rsidRDefault="000638BB"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15EBE248" w14:textId="5183CAA8" w:rsidR="00E9123F" w:rsidRPr="000638BB" w:rsidRDefault="00E9123F" w:rsidP="000638BB">
      <w:pPr>
        <w:pStyle w:val="PargrafodaLista"/>
        <w:numPr>
          <w:ilvl w:val="0"/>
          <w:numId w:val="15"/>
        </w:numPr>
        <w:pBdr>
          <w:top w:val="nil"/>
          <w:left w:val="nil"/>
          <w:bottom w:val="nil"/>
          <w:right w:val="nil"/>
          <w:between w:val="nil"/>
        </w:pBdr>
        <w:tabs>
          <w:tab w:val="left" w:pos="1276"/>
        </w:tabs>
        <w:spacing w:line="360" w:lineRule="auto"/>
        <w:ind w:left="0" w:firstLine="709"/>
        <w:jc w:val="both"/>
        <w:rPr>
          <w:rFonts w:ascii="Verdana" w:eastAsia="Verdana" w:hAnsi="Verdana" w:cs="Verdana"/>
          <w:color w:val="000000"/>
          <w:sz w:val="20"/>
          <w:szCs w:val="20"/>
        </w:rPr>
      </w:pPr>
      <w:r w:rsidRPr="000638BB">
        <w:rPr>
          <w:rFonts w:ascii="Verdana" w:eastAsia="Verdana" w:hAnsi="Verdana" w:cs="Verdana"/>
          <w:color w:val="000000"/>
          <w:sz w:val="20"/>
          <w:szCs w:val="20"/>
        </w:rPr>
        <w:t>Rede de proteção e enfrentamento à violência contra a mulher</w:t>
      </w:r>
    </w:p>
    <w:p w14:paraId="1554B109"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Delegacia de Polícia de Luís Eduardo Magalhães – (77) 99929-1570;</w:t>
      </w:r>
    </w:p>
    <w:p w14:paraId="6D1867A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Poder Judiciário – Fórum da Comarca de Luís Eduardo Magalhães – (77) 3628-8213 / (77) 3628-8214;</w:t>
      </w:r>
    </w:p>
    <w:p w14:paraId="5C4E6E01"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Ministério Público – Promotoria de Justiça de Luís Eduardo Magalhães – (77) 3628-0513 / (77) 3628-0153;</w:t>
      </w:r>
    </w:p>
    <w:p w14:paraId="47DEF68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Defensoria Pública – (77) 3628-8997;</w:t>
      </w:r>
    </w:p>
    <w:p w14:paraId="4FA37A0B"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Subseção da OAB – (77) 99839-1520;</w:t>
      </w:r>
    </w:p>
    <w:p w14:paraId="57EDEB6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Centro de Atendimento à Mulher (CAM) – (77) 99933-8740;</w:t>
      </w:r>
    </w:p>
    <w:p w14:paraId="5D6D98A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Guarda Municipal – (77) 99934-4109;</w:t>
      </w:r>
    </w:p>
    <w:p w14:paraId="50851EC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Conselho Municipal dos Direitos da Mulher / ONGs – (77) 99932-2032.</w:t>
      </w:r>
    </w:p>
    <w:p w14:paraId="67F0B163" w14:textId="77777777" w:rsidR="007025A6" w:rsidRDefault="007025A6"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51A42C83" w14:textId="0AB8AF24" w:rsidR="007025A6" w:rsidRPr="007025A6" w:rsidRDefault="00E9123F" w:rsidP="007025A6">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7025A6">
        <w:rPr>
          <w:rFonts w:ascii="Verdana" w:eastAsia="Verdana" w:hAnsi="Verdana" w:cs="Verdana"/>
          <w:color w:val="000000"/>
          <w:sz w:val="20"/>
          <w:szCs w:val="20"/>
        </w:rPr>
        <w:t>Dados estatísticos de violência doméstica (últimos três anos – fonte: SIGESPOL)</w:t>
      </w:r>
    </w:p>
    <w:p w14:paraId="27731F5E" w14:textId="7606E7D8"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análise das ocorrências registradas de 2024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foram registradas 382 ocorrências em 2024 e 404 em 2025, aumento de aproximadamente 6%. Mantida a média diária de 2026 (cerca de 1,1 ocorrência por dia), a projeção para o ano </w:t>
      </w:r>
      <w:r w:rsidRPr="00E9123F">
        <w:rPr>
          <w:rFonts w:ascii="Verdana" w:eastAsia="Verdana" w:hAnsi="Verdana" w:cs="Verdana"/>
          <w:color w:val="000000"/>
          <w:sz w:val="20"/>
          <w:szCs w:val="20"/>
        </w:rPr>
        <w:lastRenderedPageBreak/>
        <w:t xml:space="preserve">é de aproximadamente 400 ocorrências, confirmando o patamar elevado e constante da demanda. Observa-se maior concentração de ocorrências no bairro Santa Cruz. </w:t>
      </w:r>
    </w:p>
    <w:p w14:paraId="06871253"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ocorrências de 2024 a 2026 – ver Anexo B)</w:t>
      </w:r>
    </w:p>
    <w:p w14:paraId="7277063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4. Medidas Protetivas de Urgência (últimos três anos)</w:t>
      </w:r>
    </w:p>
    <w:p w14:paraId="5B354A22"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acompanhava 192 (cento e noventa e duas) MPUs ativas em 2025 e acompanha, atualmente, 202 (duzentas e duas) MPUs ativas em 2026, aumento de aproximadamente 5%. Os registros de MPUs de períodos anteriores não estão disponíveis no 27º BPM, pois eram realizados pela Unidade da RMP da 83ª CIPM/Barreiras, o que reforça a necessidade de gestão própria. A fiscalização regular desse universo já é realizada pelo efetivo do 27º BPM, sendo necessária a sua formalização para garantir gestão, controle e planejamento próprios.</w:t>
      </w:r>
    </w:p>
    <w:p w14:paraId="2669ED5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MPUs ativas em 2025 e 2026 – ver Anexo C)</w:t>
      </w:r>
    </w:p>
    <w:p w14:paraId="48C4020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5. Local de funcionamento</w:t>
      </w:r>
    </w:p>
    <w:p w14:paraId="228E4F9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funciona na sede do 27º BPM, à Rua Xique-Xique, n.º 530, Loteamento Santa Cruz, Luís Eduardo Magalhães/BA, em espaço compartilhado com a Coordenação de Apoio Administrativo (CAA), dispondo de ambiente reservado para o acolhimento das mulheres, garantindo privacidade no atendimento.</w:t>
      </w:r>
    </w:p>
    <w:p w14:paraId="4890ECB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(Fotos das instalações da RMP – ver Anexo D)</w:t>
      </w:r>
    </w:p>
    <w:p w14:paraId="7AD4EDA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6. Recursos humanos e materiais exclusivos</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Em atendimento ao art. 4º, §2º, e art. 7º, §2º, da Portaria n.º 042-CG/2024, a RMP já conta com 05 (cinco) policiais militares do 27º BPM, efetivo mínimo exigido, sendo 01 (um) Oficial (Tenente PM), comandante da RMP, 01 (um) Sargento, 01 (um) Cabo e 02 (dois) Soldados, dos quais 02 (duas) são policiais femininas (relação nominal no Anexo A, de acesso restrito), empregados em guarnição tipo “B”, em regime de escala ordinário, empregados exclusivamente na atividade da RMP, estando a capacitação em enfrentamento à violência contra a mulher (art. 4º, §5º) já agendada junto ao BPPM. A RMP já dispõe de viatura exclusiva, prefixo 8.2732, Renault/Duster, placa TGX 2E57, com cota de combustível sob gestão da Unidade.</w:t>
      </w:r>
    </w:p>
    <w:p w14:paraId="3D41C51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 da viatura da RMP – ver Anexo E)</w:t>
      </w:r>
    </w:p>
    <w:p w14:paraId="1F326A5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7. Outras informações</w:t>
      </w:r>
    </w:p>
    <w:p w14:paraId="6C25FF17"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atuação já desenvolvida na área do 27º BPM (fiscalização de MPU, atendimento pós-ocorrência, palestras e Sala Lilás) demonstra a viabilidade da formalização. Registra-se, </w:t>
      </w:r>
      <w:r w:rsidRPr="00E9123F">
        <w:rPr>
          <w:rFonts w:ascii="Verdana" w:eastAsia="Verdana" w:hAnsi="Verdana" w:cs="Verdana"/>
          <w:color w:val="000000"/>
          <w:sz w:val="20"/>
          <w:szCs w:val="20"/>
        </w:rPr>
        <w:lastRenderedPageBreak/>
        <w:t>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8B808C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(Registros fotográficos de palestras e ações da RMP – ver Anexo F)</w:t>
      </w:r>
    </w:p>
    <w:p w14:paraId="173456B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4DF051D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1780CCB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433A955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39803D64"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07BFF8CD"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AB8914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45AA7BEE"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8612E35"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Relação do efetivo da RMP, por posto/graduação e capacitação (documento de acesso restrito);</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Gráfico das ocorrências de violência doméstica (2024–2026), fonte SIGESPOL;</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Gráfico das MPUs ativas (2025–2026);</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D – Fotos das instalações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E – Foto da viatura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F – Registros fotográficos de palestras e ações da RMP.</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64591651"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ANEXO – A (ACESSO RESTRITO – LGPD)</w:t>
      </w:r>
    </w:p>
    <w:p w14:paraId="48BA0D79"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RELAÇÃO NOMINAL DO EFETIVO DA RMP/27º BPM</w:t>
      </w:r>
    </w:p>
    <w:p w14:paraId="24A3B1F3"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Comandante da RMP: TEN PM LUIS HENRIQUE SANTOS SOUSA</w:t>
      </w:r>
    </w:p>
    <w:p w14:paraId="36EE8CB2"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SGT PM FLAVIO DE SOUZA SARDEIRO</w:t>
      </w:r>
    </w:p>
    <w:p w14:paraId="78986533"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CB PM LIVIA MACIEL SANTIAGO DOS SANTOS</w:t>
      </w:r>
    </w:p>
    <w:p w14:paraId="096F3BE2"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DAVI ALVES DA SILVA</w:t>
      </w:r>
    </w:p>
    <w:p w14:paraId="0B590560"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JEOVANA ALVES CIRIACO DOS SANTOS</w:t>
      </w:r>
    </w:p>
    <w:p w14:paraId="712FF728"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Capacitação: agendada junto ao BPPM.</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B</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OCORRÊNCIAS DE VIOLÊNCIA DOMÉSTICA (2024–2026)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9" name="Picture 9"/>
            <wp:cNvGraphicFramePr>
              <a:graphicFrameLocks noChangeAspect="1"/>
            </wp:cNvGraphicFramePr>
            <a:graphic>
              <a:graphicData uri="http://schemas.openxmlformats.org/drawingml/2006/picture">
                <pic:pic>
                  <pic:nvPicPr>
                    <pic:cNvPr id="0" name="graf_ocorrencias.png"/>
                    <pic:cNvPicPr/>
                  </pic:nvPicPr>
                  <pic:blipFill>
                    <a:blip r:embed="rId16"/>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C</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MPUs ATIVAS (2025–2026)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10" name="Picture 10"/>
            <wp:cNvGraphicFramePr>
              <a:graphicFrameLocks noChangeAspect="1"/>
            </wp:cNvGraphicFramePr>
            <a:graphic>
              <a:graphicData uri="http://schemas.openxmlformats.org/drawingml/2006/picture">
                <pic:pic>
                  <pic:nvPicPr>
                    <pic:cNvPr id="0" name="graf_mpu.png"/>
                    <pic:cNvPicPr/>
                  </pic:nvPicPr>
                  <pic:blipFill>
                    <a:blip r:embed="rId17"/>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D</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INSTALAÇÕES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2700000" cy="3600000"/>
            <wp:docPr id="17" name="Picture 17"/>
            <wp:cNvGraphicFramePr>
              <a:graphicFrameLocks noChangeAspect="1"/>
            </wp:cNvGraphicFramePr>
            <a:graphic>
              <a:graphicData uri="http://schemas.openxmlformats.org/drawingml/2006/picture">
                <pic:pic>
                  <pic:nvPicPr>
                    <pic:cNvPr id="0" name="16.jpg"/>
                    <pic:cNvPicPr/>
                  </pic:nvPicPr>
                  <pic:blipFill>
                    <a:blip r:embed="rId26"/>
                    <a:stretch>
                      <a:fillRect/>
                    </a:stretch>
                  </pic:blipFill>
                  <pic:spPr>
                    <a:xfrm>
                      <a:off x="0" y="0"/>
                      <a:ext cx="2700000" cy="3600000"/>
                    </a:xfrm>
                    <a:prstGeom prst="rect"/>
                  </pic:spPr>
                </pic:pic>
              </a:graphicData>
            </a:graphic>
          </wp:inline>
        </w:drawing>
        <w:br/>
        <w:drawing>
          <wp:inline xmlns:a="http://schemas.openxmlformats.org/drawingml/2006/main" xmlns:pic="http://schemas.openxmlformats.org/drawingml/2006/picture">
            <wp:extent cx="2700000" cy="3600000"/>
            <wp:docPr id="18" name="Picture 18"/>
            <wp:cNvGraphicFramePr>
              <a:graphicFrameLocks noChangeAspect="1"/>
            </wp:cNvGraphicFramePr>
            <a:graphic>
              <a:graphicData uri="http://schemas.openxmlformats.org/drawingml/2006/picture">
                <pic:pic>
                  <pic:nvPicPr>
                    <pic:cNvPr id="0" name="17.jpg"/>
                    <pic:cNvPicPr/>
                  </pic:nvPicPr>
                  <pic:blipFill>
                    <a:blip r:embed="rId27"/>
                    <a:stretch>
                      <a:fillRect/>
                    </a:stretch>
                  </pic:blipFill>
                  <pic:spPr>
                    <a:xfrm>
                      <a:off x="0" y="0"/>
                      <a:ext cx="2700000" cy="3600000"/>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E</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VIATURA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400000" cy="3037500"/>
            <wp:docPr id="15" name="Picture 15"/>
            <wp:cNvGraphicFramePr>
              <a:graphicFrameLocks noChangeAspect="1"/>
            </wp:cNvGraphicFramePr>
            <a:graphic>
              <a:graphicData uri="http://schemas.openxmlformats.org/drawingml/2006/picture">
                <pic:pic>
                  <pic:nvPicPr>
                    <pic:cNvPr id="0" name="14.jpg"/>
                    <pic:cNvPicPr/>
                  </pic:nvPicPr>
                  <pic:blipFill>
                    <a:blip r:embed="rId24"/>
                    <a:stretch>
                      <a:fillRect/>
                    </a:stretch>
                  </pic:blipFill>
                  <pic:spPr>
                    <a:xfrm>
                      <a:off x="0" y="0"/>
                      <a:ext cx="5400000" cy="3037500"/>
                    </a:xfrm>
                    <a:prstGeom prst="rect"/>
                  </pic:spPr>
                </pic:pic>
              </a:graphicData>
            </a:graphic>
          </wp:inline>
        </w:drawing>
        <w:br/>
        <w:drawing>
          <wp:inline xmlns:a="http://schemas.openxmlformats.org/drawingml/2006/main" xmlns:pic="http://schemas.openxmlformats.org/drawingml/2006/picture">
            <wp:extent cx="2227500" cy="3960000"/>
            <wp:docPr id="16" name="Picture 16"/>
            <wp:cNvGraphicFramePr>
              <a:graphicFrameLocks noChangeAspect="1"/>
            </wp:cNvGraphicFramePr>
            <a:graphic>
              <a:graphicData uri="http://schemas.openxmlformats.org/drawingml/2006/picture">
                <pic:pic>
                  <pic:nvPicPr>
                    <pic:cNvPr id="0" name="15.jpg"/>
                    <pic:cNvPicPr/>
                  </pic:nvPicPr>
                  <pic:blipFill>
                    <a:blip r:embed="rId25"/>
                    <a:stretch>
                      <a:fillRect/>
                    </a:stretch>
                  </pic:blipFill>
                  <pic:spPr>
                    <a:xfrm>
                      <a:off x="0" y="0"/>
                      <a:ext cx="2227500" cy="3960000"/>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F</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PALESTRAS E 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2025000" cy="3600000"/>
            <wp:docPr id="11" name="Picture 11"/>
            <wp:cNvGraphicFramePr>
              <a:graphicFrameLocks noChangeAspect="1"/>
            </wp:cNvGraphicFramePr>
            <a:graphic>
              <a:graphicData uri="http://schemas.openxmlformats.org/drawingml/2006/picture">
                <pic:pic>
                  <pic:nvPicPr>
                    <pic:cNvPr id="0" name="13.jpg"/>
                    <pic:cNvPicPr/>
                  </pic:nvPicPr>
                  <pic:blipFill>
                    <a:blip r:embed="rId20"/>
                    <a:stretch>
                      <a:fillRect/>
                    </a:stretch>
                  </pic:blipFill>
                  <pic:spPr>
                    <a:xfrm>
                      <a:off x="0" y="0"/>
                      <a:ext cx="2025000" cy="3600000"/>
                    </a:xfrm>
                    <a:prstGeom prst="rect"/>
                  </pic:spPr>
                </pic:pic>
              </a:graphicData>
            </a:graphic>
          </wp:inline>
        </w:drawing>
        <w:t xml:space="preserve">  </w:t>
        <w:drawing>
          <wp:inline xmlns:a="http://schemas.openxmlformats.org/drawingml/2006/main" xmlns:pic="http://schemas.openxmlformats.org/drawingml/2006/picture">
            <wp:extent cx="2700000" cy="3600000"/>
            <wp:docPr id="12" name="Picture 12"/>
            <wp:cNvGraphicFramePr>
              <a:graphicFrameLocks noChangeAspect="1"/>
            </wp:cNvGraphicFramePr>
            <a:graphic>
              <a:graphicData uri="http://schemas.openxmlformats.org/drawingml/2006/picture">
                <pic:pic>
                  <pic:nvPicPr>
                    <pic:cNvPr id="0" name="12.jpg"/>
                    <pic:cNvPicPr/>
                  </pic:nvPicPr>
                  <pic:blipFill>
                    <a:blip r:embed="rId21"/>
                    <a:stretch>
                      <a:fillRect/>
                    </a:stretch>
                  </pic:blipFill>
                  <pic:spPr>
                    <a:xfrm>
                      <a:off x="0" y="0"/>
                      <a:ext cx="2700000" cy="3600000"/>
                    </a:xfrm>
                    <a:prstGeom prst="rect"/>
                  </pic:spPr>
                </pic:pic>
              </a:graphicData>
            </a:graphic>
          </wp:inline>
        </w:drawing>
        <w:br/>
        <w:drawing>
          <wp:inline xmlns:a="http://schemas.openxmlformats.org/drawingml/2006/main" xmlns:pic="http://schemas.openxmlformats.org/drawingml/2006/picture">
            <wp:extent cx="5040000" cy="3780000"/>
            <wp:docPr id="13" name="Picture 13"/>
            <wp:cNvGraphicFramePr>
              <a:graphicFrameLocks noChangeAspect="1"/>
            </wp:cNvGraphicFramePr>
            <a:graphic>
              <a:graphicData uri="http://schemas.openxmlformats.org/drawingml/2006/picture">
                <pic:pic>
                  <pic:nvPicPr>
                    <pic:cNvPr id="0" name="11.jpg"/>
                    <pic:cNvPicPr/>
                  </pic:nvPicPr>
                  <pic:blipFill>
                    <a:blip r:embed="rId22"/>
                    <a:stretch>
                      <a:fillRect/>
                    </a:stretch>
                  </pic:blipFill>
                  <pic:spPr>
                    <a:xfrm>
                      <a:off x="0" y="0"/>
                      <a:ext cx="5040000" cy="3780000"/>
                    </a:xfrm>
                    <a:prstGeom prst="rect"/>
                  </pic:spPr>
                </pic:pic>
              </a:graphicData>
            </a:graphic>
          </wp:inline>
        </w:drawing>
        <w:b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10.jpg"/>
                    <pic:cNvPicPr/>
                  </pic:nvPicPr>
                  <pic:blipFill>
                    <a:blip r:embed="rId23"/>
                    <a:stretch>
                      <a:fillRect/>
                    </a:stretch>
                  </pic:blipFill>
                  <pic:spPr>
                    <a:xfrm>
                      <a:off x="0" y="0"/>
                      <a:ext cx="5040000" cy="3780000"/>
                    </a:xfrm>
                    <a:prstGeom prst="rect"/>
                  </pic:spPr>
                </pic:pic>
              </a:graphicData>
            </a:graphic>
          </wp:inline>
        </w:drawing>
      </w:r>
    </w:p>
    <w:p w14:paraId="5829BE14" w14:textId="77777777" w:rsidR="00E9123F" w:rsidRDefault="00E9123F" w:rsidP="00E9123F">
      <w:pPr>
        <w:spacing w:line="360" w:lineRule="auto"/>
        <w:ind w:firstLine="720"/>
        <w:jc w:val="both"/>
        <w:rPr>
          <w:rFonts w:ascii="Verdana" w:eastAsia="Verdana" w:hAnsi="Verdana" w:cs="Verdana"/>
          <w:sz w:val="20"/>
          <w:szCs w:val="20"/>
        </w:rPr>
      </w:pP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B5170" w14:textId="77777777" w:rsidR="009C2378" w:rsidRDefault="009C2378">
      <w:r>
        <w:separator/>
      </w:r>
    </w:p>
  </w:endnote>
  <w:endnote w:type="continuationSeparator" w:id="0">
    <w:p w14:paraId="4ADC0DDA" w14:textId="77777777" w:rsidR="009C2378" w:rsidRDefault="009C2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998F1DE-35BE-4D8C-90C7-BD7FF1ABFB22}"/>
  </w:font>
  <w:font w:name="Verdana">
    <w:panose1 w:val="020B0604030504040204"/>
    <w:charset w:val="00"/>
    <w:family w:val="swiss"/>
    <w:pitch w:val="variable"/>
    <w:sig w:usb0="A00006FF" w:usb1="4000205B" w:usb2="00000010" w:usb3="00000000" w:csb0="0000019F" w:csb1="00000000"/>
    <w:embedRegular r:id="rId2" w:fontKey="{53D21723-8B57-4162-B0EB-8FA872A3CB49}"/>
    <w:embedBold r:id="rId3" w:fontKey="{57674900-277C-4B2F-9098-E8AEF1A49B3B}"/>
    <w:embedItalic r:id="rId4" w:fontKey="{7965BA9B-F6E2-45BD-8276-E949131ED319}"/>
    <w:embedBoldItalic r:id="rId5" w:fontKey="{571C57E9-8908-4093-974C-74BBDDFC50F6}"/>
  </w:font>
  <w:font w:name="Georgia">
    <w:panose1 w:val="02040502050405020303"/>
    <w:charset w:val="00"/>
    <w:family w:val="roman"/>
    <w:pitch w:val="variable"/>
    <w:sig w:usb0="00000287" w:usb1="00000000" w:usb2="00000000" w:usb3="00000000" w:csb0="0000009F" w:csb1="00000000"/>
    <w:embedItalic r:id="rId6" w:fontKey="{83A82CFB-7A66-4947-BDC1-3D62018BD503}"/>
  </w:font>
  <w:font w:name="Calibri">
    <w:panose1 w:val="020F0502020204030204"/>
    <w:charset w:val="00"/>
    <w:family w:val="swiss"/>
    <w:pitch w:val="variable"/>
    <w:sig w:usb0="E4002EFF" w:usb1="C000247B" w:usb2="00000009" w:usb3="00000000" w:csb0="000001FF" w:csb1="00000000"/>
    <w:embedRegular r:id="rId7" w:fontKey="{34A64ABF-FFAA-41F2-8B67-A23504364B73}"/>
  </w:font>
  <w:font w:name="Cambria">
    <w:panose1 w:val="02040503050406030204"/>
    <w:charset w:val="00"/>
    <w:family w:val="roman"/>
    <w:pitch w:val="variable"/>
    <w:sig w:usb0="E00006FF" w:usb1="420024FF" w:usb2="02000000" w:usb3="00000000" w:csb0="0000019F" w:csb1="00000000"/>
    <w:embedRegular r:id="rId8" w:fontKey="{DCB4A276-A79F-41AE-AD8B-C4EAAA1F43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6BE05" w14:textId="77777777" w:rsidR="009C2378" w:rsidRDefault="009C2378">
      <w:r>
        <w:separator/>
      </w:r>
    </w:p>
  </w:footnote>
  <w:footnote w:type="continuationSeparator" w:id="0">
    <w:p w14:paraId="46471802" w14:textId="77777777" w:rsidR="009C2378" w:rsidRDefault="009C23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85529C"/>
    <w:multiLevelType w:val="hybridMultilevel"/>
    <w:tmpl w:val="B694C2B4"/>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10"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8"/>
  </w:num>
  <w:num w:numId="2" w16cid:durableId="371686843">
    <w:abstractNumId w:val="10"/>
  </w:num>
  <w:num w:numId="3" w16cid:durableId="1034189520">
    <w:abstractNumId w:val="1"/>
  </w:num>
  <w:num w:numId="4" w16cid:durableId="1392999402">
    <w:abstractNumId w:val="4"/>
  </w:num>
  <w:num w:numId="5" w16cid:durableId="2009944936">
    <w:abstractNumId w:val="11"/>
  </w:num>
  <w:num w:numId="6" w16cid:durableId="761535456">
    <w:abstractNumId w:val="2"/>
  </w:num>
  <w:num w:numId="7" w16cid:durableId="1765225165">
    <w:abstractNumId w:val="14"/>
  </w:num>
  <w:num w:numId="8" w16cid:durableId="402148737">
    <w:abstractNumId w:val="13"/>
  </w:num>
  <w:num w:numId="9" w16cid:durableId="655765296">
    <w:abstractNumId w:val="9"/>
  </w:num>
  <w:num w:numId="10" w16cid:durableId="435565807">
    <w:abstractNumId w:val="3"/>
  </w:num>
  <w:num w:numId="11" w16cid:durableId="2123766281">
    <w:abstractNumId w:val="0"/>
  </w:num>
  <w:num w:numId="12" w16cid:durableId="1923371892">
    <w:abstractNumId w:val="7"/>
  </w:num>
  <w:num w:numId="13" w16cid:durableId="132454707">
    <w:abstractNumId w:val="12"/>
  </w:num>
  <w:num w:numId="14" w16cid:durableId="437023632">
    <w:abstractNumId w:val="6"/>
  </w:num>
  <w:num w:numId="15" w16cid:durableId="1607045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638BB"/>
    <w:rsid w:val="000E7B66"/>
    <w:rsid w:val="0012540F"/>
    <w:rsid w:val="0029349F"/>
    <w:rsid w:val="003B5D66"/>
    <w:rsid w:val="00420B39"/>
    <w:rsid w:val="00440234"/>
    <w:rsid w:val="0044026F"/>
    <w:rsid w:val="004B380D"/>
    <w:rsid w:val="004D3354"/>
    <w:rsid w:val="0057602B"/>
    <w:rsid w:val="005C5259"/>
    <w:rsid w:val="00630B2D"/>
    <w:rsid w:val="00656AC3"/>
    <w:rsid w:val="00666C47"/>
    <w:rsid w:val="00671E9B"/>
    <w:rsid w:val="007025A6"/>
    <w:rsid w:val="007B4A96"/>
    <w:rsid w:val="007B4CE4"/>
    <w:rsid w:val="008C2C51"/>
    <w:rsid w:val="008D1412"/>
    <w:rsid w:val="009233E2"/>
    <w:rsid w:val="009C2378"/>
    <w:rsid w:val="00A36DDB"/>
    <w:rsid w:val="00A60B14"/>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8</Pages>
  <Words>1819</Words>
  <Characters>9827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14</cp:revision>
  <cp:lastPrinted>2026-08-27T20:25:00Z</cp:lastPrinted>
  <dcterms:created xsi:type="dcterms:W3CDTF">2026-08-06T20:17:00Z</dcterms:created>
  <dcterms:modified xsi:type="dcterms:W3CDTF">2026-10-15T12:58:00Z</dcterms:modified>
</cp:coreProperties>
</file>