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ENFERMAGEM MATERNO-INFANTIL: PRÉ-NATAL, PARTO, PUERPÉRIO, ALEITAMENTO MATERNO E PROGRAMA NACIONAL DE IMUNIZAÇÕES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6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6.1 Assistência pré-natal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pré-natal deve ser iniciado </w:t>
      </w:r>
      <w:r>
        <w:rPr>
          <w:b/>
          <w:i w:val="0"/>
          <w:color w:val="111111"/>
          <w:sz w:val="21"/>
        </w:rPr>
        <w:t>até a 12ª semana</w:t>
      </w:r>
      <w:r>
        <w:rPr>
          <w:b w:val="0"/>
          <w:i w:val="0"/>
          <w:color w:val="1F2933"/>
          <w:sz w:val="21"/>
        </w:rPr>
        <w:t xml:space="preserve"> de gestação (captação precoce). O Ministério da Saúde preconiza </w:t>
      </w:r>
      <w:r>
        <w:rPr>
          <w:b/>
          <w:i w:val="0"/>
          <w:color w:val="111111"/>
          <w:sz w:val="21"/>
        </w:rPr>
        <w:t>no mínimo 6 consultas</w:t>
      </w:r>
      <w:r>
        <w:rPr>
          <w:b w:val="0"/>
          <w:i w:val="0"/>
          <w:color w:val="1F2933"/>
          <w:sz w:val="21"/>
        </w:rPr>
        <w:t xml:space="preserve"> (a Rede Alyne, que sucedeu a Rede Cegonha em 2024, recomenda 7 ou mais), com calendário: mensais até a 28ª semana, quinzenais da 28ª à 36ª e semanais a partir da 36ª semana até o parto. Não existe "alta do pré-natal".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Cálculos obstétricos: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Regra de Naegele (DPP):</w:t>
      </w:r>
      <w:r>
        <w:rPr>
          <w:b w:val="0"/>
          <w:i w:val="0"/>
          <w:color w:val="1F2933"/>
          <w:sz w:val="21"/>
        </w:rPr>
        <w:t xml:space="preserve"> data da última menstruação (DUM) + 7 dias e – 3 meses (ou + 9 meses). Ex.: DUM 10/05 → DPP 17/02.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Idade gestacional (IG):</w:t>
      </w:r>
      <w:r>
        <w:rPr>
          <w:b w:val="0"/>
          <w:i w:val="0"/>
          <w:color w:val="1F2933"/>
          <w:sz w:val="21"/>
        </w:rPr>
        <w:t xml:space="preserve"> soma dos dias desde a DUM dividida por 7.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Altura uterina:</w:t>
      </w:r>
      <w:r>
        <w:rPr>
          <w:b w:val="0"/>
          <w:i w:val="0"/>
          <w:color w:val="1F2933"/>
          <w:sz w:val="21"/>
        </w:rPr>
        <w:t xml:space="preserve"> útero palpável na sínfise púbica por volta da 12ª semana, na cicatriz umbilical por volta da 20ª semana; entre 18 e 30 semanas, a altura uterina em cm aproxima-se da IG.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Exames do 1º trimestre:</w:t>
      </w:r>
      <w:r>
        <w:rPr>
          <w:b w:val="0"/>
          <w:i w:val="0"/>
          <w:color w:val="1F2933"/>
          <w:sz w:val="21"/>
        </w:rPr>
        <w:t xml:space="preserve"> tipagem sanguínea e fator Rh, Coombs indireto (se Rh negativo), hemograma, glicemia de jejum, testes rápidos (HIV, sífilis, hepatites B e C), urina tipo I e urocultura, toxoplasmose, ultrassonografia. Testes rápidos de HIV e sífilis repetidos no 3º trimestre e no parto.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Vacinas na gestação:</w:t>
      </w:r>
      <w:r>
        <w:rPr>
          <w:b w:val="0"/>
          <w:i w:val="0"/>
          <w:color w:val="1F2933"/>
          <w:sz w:val="21"/>
        </w:rPr>
        <w:t xml:space="preserve"> </w:t>
      </w:r>
      <w:r>
        <w:rPr>
          <w:b/>
          <w:i w:val="0"/>
          <w:color w:val="111111"/>
          <w:sz w:val="21"/>
        </w:rPr>
        <w:t>dTpa</w:t>
      </w:r>
      <w:r>
        <w:rPr>
          <w:b w:val="0"/>
          <w:i w:val="0"/>
          <w:color w:val="1F2933"/>
          <w:sz w:val="21"/>
        </w:rPr>
        <w:t xml:space="preserve"> a partir da </w:t>
      </w:r>
      <w:r>
        <w:rPr>
          <w:b/>
          <w:i w:val="0"/>
          <w:color w:val="111111"/>
          <w:sz w:val="21"/>
        </w:rPr>
        <w:t>20ª semana</w:t>
      </w:r>
      <w:r>
        <w:rPr>
          <w:b w:val="0"/>
          <w:i w:val="0"/>
          <w:color w:val="1F2933"/>
          <w:sz w:val="21"/>
        </w:rPr>
        <w:t xml:space="preserve"> em cada gestação (protege o RN contra coqueluche), </w:t>
      </w:r>
      <w:r>
        <w:rPr>
          <w:b/>
          <w:i w:val="0"/>
          <w:color w:val="111111"/>
          <w:sz w:val="21"/>
        </w:rPr>
        <w:t>hepatite B</w:t>
      </w:r>
      <w:r>
        <w:rPr>
          <w:b w:val="0"/>
          <w:i w:val="0"/>
          <w:color w:val="1F2933"/>
          <w:sz w:val="21"/>
        </w:rPr>
        <w:t xml:space="preserve"> (conforme situação vacinal), </w:t>
      </w:r>
      <w:r>
        <w:rPr>
          <w:b/>
          <w:i w:val="0"/>
          <w:color w:val="111111"/>
          <w:sz w:val="21"/>
        </w:rPr>
        <w:t>influenza</w:t>
      </w:r>
      <w:r>
        <w:rPr>
          <w:b w:val="0"/>
          <w:i w:val="0"/>
          <w:color w:val="1F2933"/>
          <w:sz w:val="21"/>
        </w:rPr>
        <w:t xml:space="preserve"> (em qualquer idade gestacional) e </w:t>
      </w:r>
      <w:r>
        <w:rPr>
          <w:b/>
          <w:i w:val="0"/>
          <w:color w:val="111111"/>
          <w:sz w:val="21"/>
        </w:rPr>
        <w:t>covid-19</w:t>
      </w:r>
      <w:r>
        <w:rPr>
          <w:b w:val="0"/>
          <w:i w:val="0"/>
          <w:color w:val="1F2933"/>
          <w:sz w:val="21"/>
        </w:rPr>
        <w:t xml:space="preserve">. Vacinas de vírus vivos atenuados (tríplice viral, febre amarela, varicela) são </w:t>
      </w:r>
      <w:r>
        <w:rPr>
          <w:b/>
          <w:i w:val="0"/>
          <w:color w:val="111111"/>
          <w:sz w:val="21"/>
        </w:rPr>
        <w:t>contraindicadas</w:t>
      </w:r>
      <w:r>
        <w:rPr>
          <w:b w:val="0"/>
          <w:i w:val="0"/>
          <w:color w:val="1F2933"/>
          <w:sz w:val="21"/>
        </w:rPr>
        <w:t xml:space="preserve"> na gestação, salvo situações específicas avaliadas (febre amarela em surto).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Suplementação:</w:t>
      </w:r>
      <w:r>
        <w:rPr>
          <w:b w:val="0"/>
          <w:i w:val="0"/>
          <w:color w:val="1F2933"/>
          <w:sz w:val="21"/>
        </w:rPr>
        <w:t xml:space="preserve"> ácido fólico (idealmente 30 dias antes da concepção até a 12ª semana – previne defeitos do tubo neural) e sulfato ferroso (a partir da 20ª semana até 3 meses pós-parto).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Sinais de alerta:</w:t>
      </w:r>
      <w:r>
        <w:rPr>
          <w:b w:val="0"/>
          <w:i w:val="0"/>
          <w:color w:val="1F2933"/>
          <w:sz w:val="21"/>
        </w:rPr>
        <w:t xml:space="preserve"> sangramento vaginal, perda de líquido, cefaleia intensa, escotomas visuais, edema súbito de face e mãos, ausência de movimentos fetais, febre, contrações regulares antes de 37 semanas. </w:t>
      </w:r>
      <w:r>
        <w:rPr>
          <w:b/>
          <w:i w:val="0"/>
          <w:color w:val="111111"/>
          <w:sz w:val="21"/>
        </w:rPr>
        <w:t>Pré-eclâmpsia</w:t>
      </w:r>
      <w:r>
        <w:rPr>
          <w:b w:val="0"/>
          <w:i w:val="0"/>
          <w:color w:val="1F2933"/>
          <w:sz w:val="21"/>
        </w:rPr>
        <w:t xml:space="preserve">: PA ≥ 140/90 mmHg após a 20ª semana com proteinúria ou lesão de órgão-alvo; </w:t>
      </w:r>
      <w:r>
        <w:rPr>
          <w:b/>
          <w:i w:val="0"/>
          <w:color w:val="111111"/>
          <w:sz w:val="21"/>
        </w:rPr>
        <w:t>eclâmpsia</w:t>
      </w:r>
      <w:r>
        <w:rPr>
          <w:b w:val="0"/>
          <w:i w:val="0"/>
          <w:color w:val="1F2933"/>
          <w:sz w:val="21"/>
        </w:rPr>
        <w:t xml:space="preserve"> é a ocorrência de convulsão; o sulfato de magnésio é a droga de escolha (antídoto: </w:t>
      </w:r>
      <w:r>
        <w:rPr>
          <w:b/>
          <w:i w:val="0"/>
          <w:color w:val="111111"/>
          <w:sz w:val="21"/>
        </w:rPr>
        <w:t>gluconato de cálcio</w:t>
      </w:r>
      <w:r>
        <w:rPr>
          <w:b w:val="0"/>
          <w:i w:val="0"/>
          <w:color w:val="1F2933"/>
          <w:sz w:val="21"/>
        </w:rPr>
        <w:t>; observar reflexo patelar, FR e diurese).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6.2 Parto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Períodos clínicos do parto: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Período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Início e fim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Características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1º – Dilatação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Início das contrações regulares até a dilatação total (10 cm)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Fase mais longa; fase ativa a partir de 5 a 6 cm (diretriz MS 2017)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2º – Expulsivo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Dilatação total até a saída do feto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Puxos; ausculta frequente do BCF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3º – Dequitação (secundamento)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Saída do feto até a saída da placenta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Até 30 minutos; ocitocina 10 UI IM logo após o nascimento (manejo ativo)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4º – Greenberg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1ª hora após a saída da placenta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Maior risco de </w:t>
            </w:r>
            <w:r>
              <w:rPr>
                <w:b/>
                <w:i w:val="0"/>
                <w:color w:val="111111"/>
                <w:sz w:val="19"/>
              </w:rPr>
              <w:t>hemorragia pós-parto</w:t>
            </w:r>
            <w:r>
              <w:rPr>
                <w:b w:val="0"/>
                <w:i w:val="0"/>
                <w:color w:val="1F2933"/>
                <w:sz w:val="19"/>
              </w:rPr>
              <w:t>; observar globo de segurança de Pinard (útero contraído)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Boas práticas (Diretriz Nacional de Assistência ao Parto Normal):</w:t>
      </w:r>
      <w:r>
        <w:rPr>
          <w:b w:val="0"/>
          <w:i w:val="0"/>
          <w:color w:val="1F2933"/>
          <w:sz w:val="21"/>
        </w:rPr>
        <w:t xml:space="preserve"> acompanhante de livre escolha durante todo o trabalho de parto, parto e pós-parto (</w:t>
      </w:r>
      <w:r>
        <w:rPr>
          <w:b/>
          <w:i w:val="0"/>
          <w:color w:val="111111"/>
          <w:sz w:val="21"/>
        </w:rPr>
        <w:t>Lei nº 11.108/2005</w:t>
      </w:r>
      <w:r>
        <w:rPr>
          <w:b w:val="0"/>
          <w:i w:val="0"/>
          <w:color w:val="1F2933"/>
          <w:sz w:val="21"/>
        </w:rPr>
        <w:t>), liberdade de posição e movimentação, oferta de líquidos, métodos não farmacológicos de alívio da dor (banho morno, massagem, bola), contato pele a pele imediato, clampeamento oportuno do cordão (1 a 3 minutos no RN vigoroso). Não recomendados como rotina: tricotomia, enema, episiotomia, manobra de Kristeller (proibida), amniotomia de rotina.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Frequência cardíaca fetal (BCF) normal: </w:t>
      </w:r>
      <w:r>
        <w:rPr>
          <w:b/>
          <w:i w:val="0"/>
          <w:color w:val="111111"/>
          <w:sz w:val="21"/>
        </w:rPr>
        <w:t>110 a 160 bpm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6.3 Cuidados imediatos ao recém-nascido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Contato pele a pele e amamentação </w:t>
      </w:r>
      <w:r>
        <w:rPr>
          <w:b/>
          <w:i w:val="0"/>
          <w:color w:val="111111"/>
          <w:sz w:val="21"/>
        </w:rPr>
        <w:t>na primeira hora de vida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Índice de Apgar</w:t>
      </w:r>
      <w:r>
        <w:rPr>
          <w:b w:val="0"/>
          <w:i w:val="0"/>
          <w:color w:val="1F2933"/>
          <w:sz w:val="21"/>
        </w:rPr>
        <w:t xml:space="preserve"> no 1º e no 5º minuto: frequência cardíaca, esforço respiratório, tônus muscular, irritabilidade reflexa e cor (0 a 2 cada; 7 a 10 = boa vitalidade).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Vitamina K</w:t>
      </w:r>
      <w:r>
        <w:rPr>
          <w:b w:val="0"/>
          <w:i w:val="0"/>
          <w:color w:val="1F2933"/>
          <w:sz w:val="21"/>
        </w:rPr>
        <w:t xml:space="preserve"> 1 mg IM (prevenção da doença hemorrágica do RN).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Credé/profilaxia ocular</w:t>
      </w:r>
      <w:r>
        <w:rPr>
          <w:b w:val="0"/>
          <w:i w:val="0"/>
          <w:color w:val="1F2933"/>
          <w:sz w:val="21"/>
        </w:rPr>
        <w:t xml:space="preserve"> (atualmente com eritromicina, tetraciclina ou iodopovidona) na 1ª hora.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Vacina de </w:t>
      </w:r>
      <w:r>
        <w:rPr>
          <w:b/>
          <w:i w:val="0"/>
          <w:color w:val="111111"/>
          <w:sz w:val="21"/>
        </w:rPr>
        <w:t>hepatite B nas primeiras 12 a 24 horas</w:t>
      </w:r>
      <w:r>
        <w:rPr>
          <w:b w:val="0"/>
          <w:i w:val="0"/>
          <w:color w:val="1F2933"/>
          <w:sz w:val="21"/>
        </w:rPr>
        <w:t xml:space="preserve"> (preferencialmente nas primeiras 12 h) e </w:t>
      </w:r>
      <w:r>
        <w:rPr>
          <w:b/>
          <w:i w:val="0"/>
          <w:color w:val="111111"/>
          <w:sz w:val="21"/>
        </w:rPr>
        <w:t>BCG</w:t>
      </w:r>
      <w:r>
        <w:rPr>
          <w:b w:val="0"/>
          <w:i w:val="0"/>
          <w:color w:val="1F2933"/>
          <w:sz w:val="21"/>
        </w:rPr>
        <w:t xml:space="preserve"> o mais precoce possível.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Testes de triagem neonatal: teste do pezinho (entre o </w:t>
      </w:r>
      <w:r>
        <w:rPr>
          <w:b/>
          <w:i w:val="0"/>
          <w:color w:val="111111"/>
          <w:sz w:val="21"/>
        </w:rPr>
        <w:t>3º e o 5º dia</w:t>
      </w:r>
      <w:r>
        <w:rPr>
          <w:b w:val="0"/>
          <w:i w:val="0"/>
          <w:color w:val="1F2933"/>
          <w:sz w:val="21"/>
        </w:rPr>
        <w:t xml:space="preserve"> de vida), do olhinho, da orelhinha, do coraçãozinho (oximetria entre 24 e 48 h) e da linguinha.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6.4 Puerpério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Divide-se em </w:t>
      </w:r>
      <w:r>
        <w:rPr>
          <w:b/>
          <w:i w:val="0"/>
          <w:color w:val="111111"/>
          <w:sz w:val="21"/>
        </w:rPr>
        <w:t>imediato</w:t>
      </w:r>
      <w:r>
        <w:rPr>
          <w:b w:val="0"/>
          <w:i w:val="0"/>
          <w:color w:val="1F2933"/>
          <w:sz w:val="21"/>
        </w:rPr>
        <w:t xml:space="preserve"> (1º ao 10º dia), </w:t>
      </w:r>
      <w:r>
        <w:rPr>
          <w:b/>
          <w:i w:val="0"/>
          <w:color w:val="111111"/>
          <w:sz w:val="21"/>
        </w:rPr>
        <w:t>tardio</w:t>
      </w:r>
      <w:r>
        <w:rPr>
          <w:b w:val="0"/>
          <w:i w:val="0"/>
          <w:color w:val="1F2933"/>
          <w:sz w:val="21"/>
        </w:rPr>
        <w:t xml:space="preserve"> (11º ao 42º dia) e </w:t>
      </w:r>
      <w:r>
        <w:rPr>
          <w:b/>
          <w:i w:val="0"/>
          <w:color w:val="111111"/>
          <w:sz w:val="21"/>
        </w:rPr>
        <w:t>remoto</w:t>
      </w:r>
      <w:r>
        <w:rPr>
          <w:b w:val="0"/>
          <w:i w:val="0"/>
          <w:color w:val="1F2933"/>
          <w:sz w:val="21"/>
        </w:rPr>
        <w:t xml:space="preserve"> (após o 42º dia). Os </w:t>
      </w:r>
      <w:r>
        <w:rPr>
          <w:b/>
          <w:i w:val="0"/>
          <w:color w:val="111111"/>
          <w:sz w:val="21"/>
        </w:rPr>
        <w:t>lóquios</w:t>
      </w:r>
      <w:r>
        <w:rPr>
          <w:b w:val="0"/>
          <w:i w:val="0"/>
          <w:color w:val="1F2933"/>
          <w:sz w:val="21"/>
        </w:rPr>
        <w:t xml:space="preserve"> evoluem de </w:t>
      </w:r>
      <w:r>
        <w:rPr>
          <w:b/>
          <w:i w:val="0"/>
          <w:color w:val="111111"/>
          <w:sz w:val="21"/>
        </w:rPr>
        <w:t>rubros</w:t>
      </w:r>
      <w:r>
        <w:rPr>
          <w:b w:val="0"/>
          <w:i w:val="0"/>
          <w:color w:val="1F2933"/>
          <w:sz w:val="21"/>
        </w:rPr>
        <w:t xml:space="preserve"> (vermelhos, primeiros 3 a 4 dias) para </w:t>
      </w:r>
      <w:r>
        <w:rPr>
          <w:b/>
          <w:i w:val="0"/>
          <w:color w:val="111111"/>
          <w:sz w:val="21"/>
        </w:rPr>
        <w:t>serosos</w:t>
      </w:r>
      <w:r>
        <w:rPr>
          <w:b w:val="0"/>
          <w:i w:val="0"/>
          <w:color w:val="1F2933"/>
          <w:sz w:val="21"/>
        </w:rPr>
        <w:t xml:space="preserve"> (rosados/acastanhados) e </w:t>
      </w:r>
      <w:r>
        <w:rPr>
          <w:b/>
          <w:i w:val="0"/>
          <w:color w:val="111111"/>
          <w:sz w:val="21"/>
        </w:rPr>
        <w:t>alvos</w:t>
      </w:r>
      <w:r>
        <w:rPr>
          <w:b w:val="0"/>
          <w:i w:val="0"/>
          <w:color w:val="1F2933"/>
          <w:sz w:val="21"/>
        </w:rPr>
        <w:t xml:space="preserve"> (esbranquiçados, a partir do 10º dia). A involução uterina é de cerca de 1 cm por dia. Primeira consulta puerperal: </w:t>
      </w:r>
      <w:r>
        <w:rPr>
          <w:b/>
          <w:i w:val="0"/>
          <w:color w:val="111111"/>
          <w:sz w:val="21"/>
        </w:rPr>
        <w:t>até o 7º–10º dia</w:t>
      </w:r>
      <w:r>
        <w:rPr>
          <w:b w:val="0"/>
          <w:i w:val="0"/>
          <w:color w:val="1F2933"/>
          <w:sz w:val="21"/>
        </w:rPr>
        <w:t xml:space="preserve"> (Primeira Semana de Saúde Integral). Sinais de alerta: febre, lóquios fétidos, sangramento aumentado (hemorragia pós-parto – perda ≥ 500 mL no parto vaginal ou ≥ 1.000 mL na cesárea), dor e calor nas mamas, tristeza intensa (depressão pós-parto).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6.5 Aleitamento materno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Recomendação: </w:t>
      </w:r>
      <w:r>
        <w:rPr>
          <w:b/>
          <w:i w:val="0"/>
          <w:color w:val="111111"/>
          <w:sz w:val="21"/>
        </w:rPr>
        <w:t>aleitamento materno exclusivo até os 6 meses</w:t>
      </w:r>
      <w:r>
        <w:rPr>
          <w:b w:val="0"/>
          <w:i w:val="0"/>
          <w:color w:val="1F2933"/>
          <w:sz w:val="21"/>
        </w:rPr>
        <w:t xml:space="preserve"> e complementado até </w:t>
      </w:r>
      <w:r>
        <w:rPr>
          <w:b/>
          <w:i w:val="0"/>
          <w:color w:val="111111"/>
          <w:sz w:val="21"/>
        </w:rPr>
        <w:t>2 anos ou mais</w:t>
      </w:r>
      <w:r>
        <w:rPr>
          <w:b w:val="0"/>
          <w:i w:val="0"/>
          <w:color w:val="1F2933"/>
          <w:sz w:val="21"/>
        </w:rPr>
        <w:t>. Livre demanda, sem horários rígidos. Não oferecer chupetas, mamadeiras nem chás.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Sinais de </w:t>
      </w:r>
      <w:r>
        <w:rPr>
          <w:b/>
          <w:i w:val="0"/>
          <w:color w:val="111111"/>
          <w:sz w:val="21"/>
        </w:rPr>
        <w:t>pega correta</w:t>
      </w:r>
      <w:r>
        <w:rPr>
          <w:b w:val="0"/>
          <w:i w:val="0"/>
          <w:color w:val="1F2933"/>
          <w:sz w:val="21"/>
        </w:rPr>
        <w:t>: boca bem aberta, lábio inferior virado para fora, queixo tocando a mama, mais aréola visível acima da boca do que abaixo, bochechas arredondadas (não encovadas). Sinais de boa posição: corpo do bebê voltado para a mãe, barriga com barriga, cabeça e corpo alinhados, bebê bem apoiado.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colostro</w:t>
      </w:r>
      <w:r>
        <w:rPr>
          <w:b w:val="0"/>
          <w:i w:val="0"/>
          <w:color w:val="1F2933"/>
          <w:sz w:val="21"/>
        </w:rPr>
        <w:t xml:space="preserve"> (primeiros dias) é rico em proteínas e anticorpos (IgA). O leite do início da mamada é rico em água; o do final, rico em </w:t>
      </w:r>
      <w:r>
        <w:rPr>
          <w:b/>
          <w:i w:val="0"/>
          <w:color w:val="111111"/>
          <w:sz w:val="21"/>
        </w:rPr>
        <w:t>gordura</w:t>
      </w:r>
      <w:r>
        <w:rPr>
          <w:b w:val="0"/>
          <w:i w:val="0"/>
          <w:color w:val="1F2933"/>
          <w:sz w:val="21"/>
        </w:rPr>
        <w:t xml:space="preserve"> (saciedade e ganho de peso) – por isso a criança deve esvaziar uma mama antes de passar à outra.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Contraindicações ao aleitamento: mãe com </w:t>
      </w:r>
      <w:r>
        <w:rPr>
          <w:b/>
          <w:i w:val="0"/>
          <w:color w:val="111111"/>
          <w:sz w:val="21"/>
        </w:rPr>
        <w:t>HIV</w:t>
      </w:r>
      <w:r>
        <w:rPr>
          <w:b w:val="0"/>
          <w:i w:val="0"/>
          <w:color w:val="1F2933"/>
          <w:sz w:val="21"/>
        </w:rPr>
        <w:t xml:space="preserve"> (no Brasil), HTLV 1 e 2, uso de algumas drogas e medicamentos (antineoplásicos), criança com galactosemia. Hepatite B </w:t>
      </w:r>
      <w:r>
        <w:rPr>
          <w:b/>
          <w:i w:val="0"/>
          <w:color w:val="111111"/>
          <w:sz w:val="21"/>
        </w:rPr>
        <w:t>não</w:t>
      </w:r>
      <w:r>
        <w:rPr>
          <w:b w:val="0"/>
          <w:i w:val="0"/>
          <w:color w:val="1F2933"/>
          <w:sz w:val="21"/>
        </w:rPr>
        <w:t xml:space="preserve"> contraindica (RN recebe vacina e imunoglobulina).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6.6 Programa Nacional de Imunizações (PNI)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Criado em </w:t>
      </w:r>
      <w:r>
        <w:rPr>
          <w:b/>
          <w:i w:val="0"/>
          <w:color w:val="111111"/>
          <w:sz w:val="21"/>
        </w:rPr>
        <w:t>1973</w:t>
      </w:r>
      <w:r>
        <w:rPr>
          <w:b w:val="0"/>
          <w:i w:val="0"/>
          <w:color w:val="1F2933"/>
          <w:sz w:val="21"/>
        </w:rPr>
        <w:t>. Calendário básico da criança (Calendário Nacional de Vacinação – principais vacinas):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Idade</w:t>
            </w:r>
          </w:p>
        </w:tc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Vacinas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Ao nascer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BCG (dose única) e hepatite B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2 meses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Pentavalente (DTP + Hib + hepatite B), VIP (poliomielite inativada), pneumocócica 10-valente, rotavírus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3 meses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Meningocócica C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4 meses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Pentavalente, VIP, pneumocócica 10, rotavírus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5 meses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Meningocócica C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6 meses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Pentavalente, VIP; covid-19 (esquema conforme vigência)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9 meses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Febre amarela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12 meses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Tríplice viral, pneumocócica 10 (reforço), meningocócica C (reforço)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15 meses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DTP (1º reforço), VIP (reforço, substituindo a VOP desde 2024), hepatite A, tetraviral (ou tríplice viral + varicela)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4 anos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DTP (2º reforço), febre amarela (reforço), varicela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9 a 14 anos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HPV (dose única desde 2024), meningocócica ACWY (11 a 14 anos)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Vias de administração:</w:t>
      </w:r>
      <w:r>
        <w:rPr>
          <w:b w:val="0"/>
          <w:i w:val="0"/>
          <w:color w:val="1F2933"/>
          <w:sz w:val="21"/>
        </w:rPr>
        <w:t xml:space="preserve"> BCG – intradérmica (0,1 mL, inserção inferior do deltoide direito); rotavírus – oral (não repetir se a criança regurgitar); tríplice viral, febre amarela e varicela – subcutânea; pentavalente, VIP, pneumocócica e meningocócica – intramuscular (vasto lateral da coxa em menores de 2 anos).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evolução da BCG</w:t>
      </w:r>
      <w:r>
        <w:rPr>
          <w:b w:val="0"/>
          <w:i w:val="0"/>
          <w:color w:val="1F2933"/>
          <w:sz w:val="21"/>
        </w:rPr>
        <w:t xml:space="preserve"> é normal: mácula → pápula → pústula → úlcera → crosta → cicatriz, em cerca de 6 a 12 semanas (até 3 meses); não se faz curativo nem se espreme a lesão. Desde 2019, a ausência de cicatriz </w:t>
      </w:r>
      <w:r>
        <w:rPr>
          <w:b/>
          <w:i w:val="0"/>
          <w:color w:val="111111"/>
          <w:sz w:val="21"/>
        </w:rPr>
        <w:t>não</w:t>
      </w:r>
      <w:r>
        <w:rPr>
          <w:b w:val="0"/>
          <w:i w:val="0"/>
          <w:color w:val="1F2933"/>
          <w:sz w:val="21"/>
        </w:rPr>
        <w:t xml:space="preserve"> indica revacinação.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Rotavírus:</w:t>
      </w:r>
      <w:r>
        <w:rPr>
          <w:b w:val="0"/>
          <w:i w:val="0"/>
          <w:color w:val="1F2933"/>
          <w:sz w:val="21"/>
        </w:rPr>
        <w:t xml:space="preserve"> 1ª dose até 3 meses e 15 dias; 2ª dose até 7 meses e 29 dias.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Regra de Naegele e cálculo da IG.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Calendário e número mínimo de consultas; início até a 12ª semana.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dTpa a partir da 20ª semana; vacinas de vírus vivo contraindicadas na gestação.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Períodos do parto e o 4º período (Greenberg) como de maior risco hemorrágico.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Boas práticas: acompanhante (Lei 11.108/2005), Kristeller proibida, episiotomia não rotineira.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Apgar, vitamina K, hepatite B nas primeiras 12–24 h, teste do pezinho do 3º ao 5º dia.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Lóquios rubros → serosos → alvos.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Aleitamento exclusivo até 6 meses; pega correta; HIV contraindica.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Calendário vacinal, vias e idades; evolução da BCG; idades-limite do rotavírus.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Naegele: "mais 7, menos 3"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"Doze-vinte"</w:t>
      </w:r>
      <w:r>
        <w:rPr>
          <w:b w:val="0"/>
          <w:i w:val="0"/>
          <w:color w:val="1F2933"/>
          <w:sz w:val="21"/>
        </w:rPr>
        <w:t>: útero na sínfise com 12 semanas, no umbigo com 20.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"Vinte é dTpa"</w:t>
      </w:r>
      <w:r>
        <w:rPr>
          <w:b w:val="0"/>
          <w:i w:val="0"/>
          <w:color w:val="1F2933"/>
          <w:sz w:val="21"/>
        </w:rPr>
        <w:t>: a partir da 20ª semana em toda gestação.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"Vivo não entra na barriga"</w:t>
      </w:r>
      <w:r>
        <w:rPr>
          <w:b w:val="0"/>
          <w:i w:val="0"/>
          <w:color w:val="1F2933"/>
          <w:sz w:val="21"/>
        </w:rPr>
        <w:t>: vacinas atenuadas contraindicadas na gestação.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"Dilata, expulsa, dequita, Greenberg"</w:t>
      </w:r>
      <w:r>
        <w:rPr>
          <w:b w:val="0"/>
          <w:i w:val="0"/>
          <w:color w:val="1F2933"/>
          <w:sz w:val="21"/>
        </w:rPr>
        <w:t>: os 4 períodos.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Lóquios: "RSA – Rubro, Seroso, Alvo"</w:t>
      </w:r>
      <w:r>
        <w:rPr>
          <w:b w:val="0"/>
          <w:i w:val="0"/>
          <w:color w:val="1F2933"/>
          <w:sz w:val="21"/>
        </w:rPr>
        <w:t xml:space="preserve"> (vermelho, rosado, branco).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"Boca de peixinho"</w:t>
      </w:r>
      <w:r>
        <w:rPr>
          <w:b w:val="0"/>
          <w:i w:val="0"/>
          <w:color w:val="1F2933"/>
          <w:sz w:val="21"/>
        </w:rPr>
        <w:t>: lábio inferior virado para fora na pega correta.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"BCG no braço direito, intradérmica"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Gestante informa que a data da sua última menstruação foi 20 de março. Pela regra de Naegele, a data provável do parto será: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13 de dezembro.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27 de dezembro.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20 de dezembro.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27 de novembro.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13 de janeiro.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foram subtraídos 7 dias em vez de somados.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20 + 7 = 27; março (3) – 3 meses = dezembro (12). DPP: 27 de dezembro.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esqueceu-se de somar os 7 dias.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foram subtraídos 4 meses.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cálculo sem fundamento na regra.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O período do parto que compreende a primeira hora após a saída da placenta, caracterizado pelo maior risco de hemorragia, é chamado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período de dilatação.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período expulsivo.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dequitação.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quarto período ou período de Greenberg.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puerpério remoto.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D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dilatação é o 1º período, até 10 cm.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expulsivo vai da dilatação total ao nascimento.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dequitação é a saída da placenta.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4º período (Greenberg) é a 1ª hora pós-dequitação, quando se forma o globo de segurança de Pinard.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puerpério remoto começa após o 42º dia.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Durante a avaliação da mamada, constitui sinal de pega correta: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bochechas encovadas durante a sucção.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lábio inferior voltado para dentro.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boca bem aberta, lábio inferior virado para fora e queixo tocando a mama.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maior parte da aréola visível abaixo da boca do bebê.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ruídos de estalo durante a sucção.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bochechas encovadas indicam pega inadequada.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lábio inferior deve estar evertido ("boca de peixinho").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são sinais clássicos de pega adequada.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deve haver mais aréola visível acima da boca do que abaixo.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estalos sugerem que o bebê perde a pega.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Sobre a vacina BCG, é correto afirmar: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é administrada por via subcutânea no braço esquerdo.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lesão vacinal deve ser coberta com curativo oclusivo até cicatrizar.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é aplicada por via intradérmica, na inserção inferior do músculo deltoide direito, e a ausência de cicatriz não indica revacinação.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deve ser adiada para os 2 meses de idade junto com a pentavalente.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é contraindicada para todos os recém-nascidos com menos de 3 kg.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via é intradérmica e o local é o braço direito.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lesão não deve ser coberta nem manipulada.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via ID, deltoide direito; desde 2019 não se revacina pela ausência de cicatriz.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BCG é dada ao nascer, o mais precocemente possível.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adia-se a BCG em RN com peso inferior a 2.000 g.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Em relação à vacinação da gestante, assinale a alternativa correta.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 tríplice viral deve ser aplicada no 3º trimestre.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dTpa é indicada a partir da 20ª semana em cada gestação, para proteger o recém-nascido contra a coqueluche.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 vacina influenza é contraindicada na gestação.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vacina contra hepatite B é proibida durante a gestação.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dTpa deve ser feita apenas na primeira gestação.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tríplice viral é de vírus vivo atenuado, contraindicada na gestação.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dTpa é feita a partir da 20ª semana em toda gestação, transferindo anticorpos ao feto.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influenza é recomendada em qualquer idade gestacional.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hepatite B é indicada conforme a situação vacinal.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deve ser repetida em cada gestação.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pré-natal (início, consultas, exames, vacinas, suplementos, sinais de alerta, pré-eclâmpsia); parto (períodos, boas práticas); cuidados ao RN (Apgar, vitamina K, vacinas, triagens); puerpério (lóquios); aleitamento (pega, composição, contraindicações); PNI e calendário.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DPP = DUM + 7 dias – 3 meses; BCF 110–160 bpm; mínimo de 6 consultas; teste do pezinho 3º–5º dia; AME até 6 meses; dTpa a partir de 20 semanas; BCG ID 0,1 mL.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aplicar tríplice viral na gestante; aceitar a manobra de Kristeller (proibida); revacinar BCG sem cicatriz; hepatite B contraindicando amamentação.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confundir dequitação com período de Greenberg; esquecer o limite de idade do rotavírus; achar que o leite do início da mamada é o mais gorduroso.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