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PROGRAMAS DE ATENÇÃO À SAÚDE DA CRIANÇA, DO ADOLESCENTE, DA MULHER, DO ADULTO E DA PESSOA IDOSA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7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7.1 Saúde da criança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Política Nacional de Atenção Integral à Saúde da Criança (PNAISC)</w:t>
      </w:r>
      <w:r>
        <w:rPr>
          <w:b w:val="0"/>
          <w:i w:val="0"/>
          <w:color w:val="1F2933"/>
          <w:sz w:val="21"/>
        </w:rPr>
        <w:t xml:space="preserve">, instituída pela </w:t>
      </w:r>
      <w:r>
        <w:rPr>
          <w:b/>
          <w:i w:val="0"/>
          <w:color w:val="111111"/>
          <w:sz w:val="21"/>
        </w:rPr>
        <w:t>Portaria GM/MS nº 1.130/2015</w:t>
      </w:r>
      <w:r>
        <w:rPr>
          <w:b w:val="0"/>
          <w:i w:val="0"/>
          <w:color w:val="1F2933"/>
          <w:sz w:val="21"/>
        </w:rPr>
        <w:t xml:space="preserve">, abrange crianças de 0 a 9 anos e é organizada em </w:t>
      </w:r>
      <w:r>
        <w:rPr>
          <w:b/>
          <w:i w:val="0"/>
          <w:color w:val="111111"/>
          <w:sz w:val="21"/>
        </w:rPr>
        <w:t>7 eixos estratégicos</w:t>
      </w:r>
      <w:r>
        <w:rPr>
          <w:b w:val="0"/>
          <w:i w:val="0"/>
          <w:color w:val="1F2933"/>
          <w:sz w:val="21"/>
        </w:rPr>
        <w:t>: atenção humanizada à gestação, parto, nascimento e RN; aleitamento materno e alimentação complementar saudável; promoção e acompanhamento do crescimento e do desenvolvimento integral; atenção a agravos prevalentes e doenças crônicas; atenção à criança em situação de violência e promoção da cultura de paz; atenção à criança com deficiência ou em situações específicas e de vulnerabilidade; vigilância e prevenção do óbito infantil, fetal e materno.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Caderneta da Criança:</w:t>
      </w:r>
      <w:r>
        <w:rPr>
          <w:b w:val="0"/>
          <w:i w:val="0"/>
          <w:color w:val="1F2933"/>
          <w:sz w:val="21"/>
        </w:rPr>
        <w:t xml:space="preserve"> instrumento de acompanhamento com gráficos de crescimento (peso, estatura, IMC e perímetro cefálico por idade), marcos do desenvolvimento e registro vacinal.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Calendário mínimo de consultas de puericultura (MS):</w:t>
      </w:r>
      <w:r>
        <w:rPr>
          <w:b w:val="0"/>
          <w:i w:val="0"/>
          <w:color w:val="1F2933"/>
          <w:sz w:val="21"/>
        </w:rPr>
        <w:t xml:space="preserve"> 1ª semana, 1º mês, 2º, 4º, 6º, 9º, 12º, 18º e 24º meses; depois, anualmente.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Crescimento:</w:t>
      </w:r>
      <w:r>
        <w:rPr>
          <w:b w:val="0"/>
          <w:i w:val="0"/>
          <w:color w:val="1F2933"/>
          <w:sz w:val="21"/>
        </w:rPr>
        <w:t xml:space="preserve"> o RN pode perder até </w:t>
      </w:r>
      <w:r>
        <w:rPr>
          <w:b/>
          <w:i w:val="0"/>
          <w:color w:val="111111"/>
          <w:sz w:val="21"/>
        </w:rPr>
        <w:t>10% do peso</w:t>
      </w:r>
      <w:r>
        <w:rPr>
          <w:b w:val="0"/>
          <w:i w:val="0"/>
          <w:color w:val="1F2933"/>
          <w:sz w:val="21"/>
        </w:rPr>
        <w:t xml:space="preserve"> nos primeiros dias, recuperando-o até o </w:t>
      </w:r>
      <w:r>
        <w:rPr>
          <w:b/>
          <w:i w:val="0"/>
          <w:color w:val="111111"/>
          <w:sz w:val="21"/>
        </w:rPr>
        <w:t>10º a 15º dia</w:t>
      </w:r>
      <w:r>
        <w:rPr>
          <w:b w:val="0"/>
          <w:i w:val="0"/>
          <w:color w:val="1F2933"/>
          <w:sz w:val="21"/>
        </w:rPr>
        <w:t xml:space="preserve">. A criança dobra o peso de nascimento por volta dos </w:t>
      </w:r>
      <w:r>
        <w:rPr>
          <w:b/>
          <w:i w:val="0"/>
          <w:color w:val="111111"/>
          <w:sz w:val="21"/>
        </w:rPr>
        <w:t>4 a 5 meses</w:t>
      </w:r>
      <w:r>
        <w:rPr>
          <w:b w:val="0"/>
          <w:i w:val="0"/>
          <w:color w:val="1F2933"/>
          <w:sz w:val="21"/>
        </w:rPr>
        <w:t xml:space="preserve"> e o triplica com </w:t>
      </w:r>
      <w:r>
        <w:rPr>
          <w:b/>
          <w:i w:val="0"/>
          <w:color w:val="111111"/>
          <w:sz w:val="21"/>
        </w:rPr>
        <w:t>1 ano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AIDPI (Atenção Integrada às Doenças Prevalentes na Infância):</w:t>
      </w:r>
      <w:r>
        <w:rPr>
          <w:b w:val="0"/>
          <w:i w:val="0"/>
          <w:color w:val="1F2933"/>
          <w:sz w:val="21"/>
        </w:rPr>
        <w:t xml:space="preserve"> estratégia para avaliar sinais de perigo (não consegue beber ou mamar, vomita tudo, convulsões, letargia/inconsciência). A desidratação por diarreia é tratada com </w:t>
      </w:r>
      <w:r>
        <w:rPr>
          <w:b/>
          <w:i w:val="0"/>
          <w:color w:val="111111"/>
          <w:sz w:val="21"/>
        </w:rPr>
        <w:t>Terapia de Reidratação Oral</w:t>
      </w:r>
      <w:r>
        <w:rPr>
          <w:b w:val="0"/>
          <w:i w:val="0"/>
          <w:color w:val="1F2933"/>
          <w:sz w:val="21"/>
        </w:rPr>
        <w:t xml:space="preserve"> – Plano A (sem desidratação, tratamento em casa), Plano B (com desidratação, SRO na unidade) e Plano C (desidratação grave, hidratação venosa).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7.2 Saúde do adolescente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Pelo </w:t>
      </w:r>
      <w:r>
        <w:rPr>
          <w:b/>
          <w:i w:val="0"/>
          <w:color w:val="111111"/>
          <w:sz w:val="21"/>
        </w:rPr>
        <w:t>ECA (Lei nº 8.069/1990)</w:t>
      </w:r>
      <w:r>
        <w:rPr>
          <w:b w:val="0"/>
          <w:i w:val="0"/>
          <w:color w:val="1F2933"/>
          <w:sz w:val="21"/>
        </w:rPr>
        <w:t xml:space="preserve">, adolescente é a pessoa entre </w:t>
      </w:r>
      <w:r>
        <w:rPr>
          <w:b/>
          <w:i w:val="0"/>
          <w:color w:val="111111"/>
          <w:sz w:val="21"/>
        </w:rPr>
        <w:t>12 e 18 anos</w:t>
      </w:r>
      <w:r>
        <w:rPr>
          <w:b w:val="0"/>
          <w:i w:val="0"/>
          <w:color w:val="1F2933"/>
          <w:sz w:val="21"/>
        </w:rPr>
        <w:t xml:space="preserve"> incompletos; para a OMS e o Ministério da Saúde, a adolescência vai dos </w:t>
      </w:r>
      <w:r>
        <w:rPr>
          <w:b/>
          <w:i w:val="0"/>
          <w:color w:val="111111"/>
          <w:sz w:val="21"/>
        </w:rPr>
        <w:t>10 aos 19 anos</w:t>
      </w:r>
      <w:r>
        <w:rPr>
          <w:b w:val="0"/>
          <w:i w:val="0"/>
          <w:color w:val="1F2933"/>
          <w:sz w:val="21"/>
        </w:rPr>
        <w:t xml:space="preserve">. Temas prioritários: crescimento e desenvolvimento puberal, saúde sexual e reprodutiva, prevenção de gravidez e IST, uso de álcool e drogas, violência e saúde mental. </w:t>
      </w:r>
      <w:r>
        <w:rPr>
          <w:b/>
          <w:i w:val="0"/>
          <w:color w:val="111111"/>
          <w:sz w:val="21"/>
        </w:rPr>
        <w:t>Caderneta de Saúde do Adolescente</w:t>
      </w:r>
      <w:r>
        <w:rPr>
          <w:b w:val="0"/>
          <w:i w:val="0"/>
          <w:color w:val="1F2933"/>
          <w:sz w:val="21"/>
        </w:rPr>
        <w:t xml:space="preserve"> (versões masculina e feminina). O adolescente tem direito a ser atendido </w:t>
      </w:r>
      <w:r>
        <w:rPr>
          <w:b/>
          <w:i w:val="0"/>
          <w:color w:val="111111"/>
          <w:sz w:val="21"/>
        </w:rPr>
        <w:t>sem a presença dos pais</w:t>
      </w:r>
      <w:r>
        <w:rPr>
          <w:b w:val="0"/>
          <w:i w:val="0"/>
          <w:color w:val="1F2933"/>
          <w:sz w:val="21"/>
        </w:rPr>
        <w:t xml:space="preserve">, com sigilo, salvo situações de risco à vida ou a terceiros. Programa </w:t>
      </w:r>
      <w:r>
        <w:rPr>
          <w:b/>
          <w:i w:val="0"/>
          <w:color w:val="111111"/>
          <w:sz w:val="21"/>
        </w:rPr>
        <w:t>Saúde na Escola (PSE)</w:t>
      </w:r>
      <w:r>
        <w:rPr>
          <w:b w:val="0"/>
          <w:i w:val="0"/>
          <w:color w:val="1F2933"/>
          <w:sz w:val="21"/>
        </w:rPr>
        <w:t xml:space="preserve"> – Decreto nº 6.286/2007.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7.3 Saúde da mulher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Política Nacional de Atenção Integral à Saúde da Mulher (PNAISM, 2004)</w:t>
      </w:r>
      <w:r>
        <w:rPr>
          <w:b w:val="0"/>
          <w:i w:val="0"/>
          <w:color w:val="1F2933"/>
          <w:sz w:val="21"/>
        </w:rPr>
        <w:t>: ações em saúde sexual e reprodutiva, planejamento familiar (Lei nº 9.263/1996), atenção obstétrica, climatério, violência, câncer de colo do útero e de mama.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Rastreamento do câncer do colo do útero:</w:t>
      </w:r>
      <w:r>
        <w:rPr>
          <w:b w:val="0"/>
          <w:i w:val="0"/>
          <w:color w:val="1F2933"/>
          <w:sz w:val="21"/>
        </w:rPr>
        <w:t xml:space="preserve"> exame citopatológico (Papanicolau) em mulheres de </w:t>
      </w:r>
      <w:r>
        <w:rPr>
          <w:b/>
          <w:i w:val="0"/>
          <w:color w:val="111111"/>
          <w:sz w:val="21"/>
        </w:rPr>
        <w:t>25 a 64 anos</w:t>
      </w:r>
      <w:r>
        <w:rPr>
          <w:b w:val="0"/>
          <w:i w:val="0"/>
          <w:color w:val="1F2933"/>
          <w:sz w:val="21"/>
        </w:rPr>
        <w:t xml:space="preserve"> que já iniciaram atividade sexual; os dois primeiros exames com intervalo </w:t>
      </w:r>
      <w:r>
        <w:rPr>
          <w:b/>
          <w:i w:val="0"/>
          <w:color w:val="111111"/>
          <w:sz w:val="21"/>
        </w:rPr>
        <w:t>anual</w:t>
      </w:r>
      <w:r>
        <w:rPr>
          <w:b w:val="0"/>
          <w:i w:val="0"/>
          <w:color w:val="1F2933"/>
          <w:sz w:val="21"/>
        </w:rPr>
        <w:t xml:space="preserve"> e, se ambos normais, a cada </w:t>
      </w:r>
      <w:r>
        <w:rPr>
          <w:b/>
          <w:i w:val="0"/>
          <w:color w:val="111111"/>
          <w:sz w:val="21"/>
        </w:rPr>
        <w:t>3 anos</w:t>
      </w:r>
      <w:r>
        <w:rPr>
          <w:b w:val="0"/>
          <w:i w:val="0"/>
          <w:color w:val="1F2933"/>
          <w:sz w:val="21"/>
        </w:rPr>
        <w:t xml:space="preserve">. Desde 2024 o MS incorporou o </w:t>
      </w:r>
      <w:r>
        <w:rPr>
          <w:b/>
          <w:i w:val="0"/>
          <w:color w:val="111111"/>
          <w:sz w:val="21"/>
        </w:rPr>
        <w:t>teste de DNA-HPV</w:t>
      </w:r>
      <w:r>
        <w:rPr>
          <w:b w:val="0"/>
          <w:i w:val="0"/>
          <w:color w:val="1F2933"/>
          <w:sz w:val="21"/>
        </w:rPr>
        <w:t xml:space="preserve"> como método de rastreamento, com intervalo de </w:t>
      </w:r>
      <w:r>
        <w:rPr>
          <w:b/>
          <w:i w:val="0"/>
          <w:color w:val="111111"/>
          <w:sz w:val="21"/>
        </w:rPr>
        <w:t>5 anos</w:t>
      </w:r>
      <w:r>
        <w:rPr>
          <w:b w:val="0"/>
          <w:i w:val="0"/>
          <w:color w:val="1F2933"/>
          <w:sz w:val="21"/>
        </w:rPr>
        <w:t xml:space="preserve"> se negativo, em implantação gradual. Orientações para coleta: não ter relação sexual nem usar duchas ou cremes vaginais nas 48 h anteriores e não estar menstruada.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Rastreamento do câncer de mama:</w:t>
      </w:r>
      <w:r>
        <w:rPr>
          <w:b w:val="0"/>
          <w:i w:val="0"/>
          <w:color w:val="1F2933"/>
          <w:sz w:val="21"/>
        </w:rPr>
        <w:t xml:space="preserve"> mamografia bienal para mulheres de </w:t>
      </w:r>
      <w:r>
        <w:rPr>
          <w:b/>
          <w:i w:val="0"/>
          <w:color w:val="111111"/>
          <w:sz w:val="21"/>
        </w:rPr>
        <w:t>50 a 69 anos</w:t>
      </w:r>
      <w:r>
        <w:rPr>
          <w:b w:val="0"/>
          <w:i w:val="0"/>
          <w:color w:val="1F2933"/>
          <w:sz w:val="21"/>
        </w:rPr>
        <w:t xml:space="preserve"> (Diretriz do INCA; desde 2025 o MS ampliou o acesso à mamografia para mulheres de 40 a 49 anos mediante decisão compartilhada, e para 70 a 74 anos). O exame clínico das mamas faz parte da consulta; o autoexame é estimulado como parte do autoconhecimento, não como método de rastreamento.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Métodos contraceptivos:</w:t>
      </w:r>
      <w:r>
        <w:rPr>
          <w:b w:val="0"/>
          <w:i w:val="0"/>
          <w:color w:val="1F2933"/>
          <w:sz w:val="21"/>
        </w:rPr>
        <w:t xml:space="preserve"> comportamentais (tabelinha, muco cervical), de barreira (preservativo masculino e feminino – únicos que protegem contra IST, diafragma), hormonais (pílula combinada, minipílula, injetável mensal e trimestral, implante), DIU (de cobre e hormonal) e definitivos (laqueadura e vasectomia – Lei 14.443/2022: idade mínima de </w:t>
      </w:r>
      <w:r>
        <w:rPr>
          <w:b/>
          <w:i w:val="0"/>
          <w:color w:val="111111"/>
          <w:sz w:val="21"/>
        </w:rPr>
        <w:t>21 anos</w:t>
      </w:r>
      <w:r>
        <w:rPr>
          <w:b w:val="0"/>
          <w:i w:val="0"/>
          <w:color w:val="1F2933"/>
          <w:sz w:val="21"/>
        </w:rPr>
        <w:t xml:space="preserve"> ou ao menos 2 filhos vivos, </w:t>
      </w:r>
      <w:r>
        <w:rPr>
          <w:b/>
          <w:i w:val="0"/>
          <w:color w:val="111111"/>
          <w:sz w:val="21"/>
        </w:rPr>
        <w:t>sem necessidade de consentimento do cônjuge</w:t>
      </w:r>
      <w:r>
        <w:rPr>
          <w:b w:val="0"/>
          <w:i w:val="0"/>
          <w:color w:val="1F2933"/>
          <w:sz w:val="21"/>
        </w:rPr>
        <w:t>, prazo mínimo de 60 dias entre a manifestação da vontade e o procedimento).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Climatério:</w:t>
      </w:r>
      <w:r>
        <w:rPr>
          <w:b w:val="0"/>
          <w:i w:val="0"/>
          <w:color w:val="1F2933"/>
          <w:sz w:val="21"/>
        </w:rPr>
        <w:t xml:space="preserve"> transição do período reprodutivo para o não reprodutivo (em geral 40 a 65 anos); </w:t>
      </w:r>
      <w:r>
        <w:rPr>
          <w:b/>
          <w:i w:val="0"/>
          <w:color w:val="111111"/>
          <w:sz w:val="21"/>
        </w:rPr>
        <w:t>menopausa</w:t>
      </w:r>
      <w:r>
        <w:rPr>
          <w:b w:val="0"/>
          <w:i w:val="0"/>
          <w:color w:val="1F2933"/>
          <w:sz w:val="21"/>
        </w:rPr>
        <w:t xml:space="preserve"> é a última menstruação, reconhecida após 12 meses de amenorreia.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7.4 Saúde do adulto e do homem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Política Nacional de Atenção Integral à Saúde do Homem (PNAISH, Portaria nº 1.944/2009)</w:t>
      </w:r>
      <w:r>
        <w:rPr>
          <w:b w:val="0"/>
          <w:i w:val="0"/>
          <w:color w:val="1F2933"/>
          <w:sz w:val="21"/>
        </w:rPr>
        <w:t xml:space="preserve">, voltada a homens de </w:t>
      </w:r>
      <w:r>
        <w:rPr>
          <w:b/>
          <w:i w:val="0"/>
          <w:color w:val="111111"/>
          <w:sz w:val="21"/>
        </w:rPr>
        <w:t>20 a 59 anos</w:t>
      </w:r>
      <w:r>
        <w:rPr>
          <w:b w:val="0"/>
          <w:i w:val="0"/>
          <w:color w:val="1F2933"/>
          <w:sz w:val="21"/>
        </w:rPr>
        <w:t xml:space="preserve">, com cinco eixos: acesso e acolhimento, saúde sexual e reprodutiva, paternidade e cuidado (pré-natal do parceiro), doenças prevalentes na população masculina, prevenção de violências e acidentes. Na saúde do adulto, destacam-se as </w:t>
      </w:r>
      <w:r>
        <w:rPr>
          <w:b/>
          <w:i w:val="0"/>
          <w:color w:val="111111"/>
          <w:sz w:val="21"/>
        </w:rPr>
        <w:t>doenças crônicas não transmissíveis</w:t>
      </w:r>
      <w:r>
        <w:rPr>
          <w:b w:val="0"/>
          <w:i w:val="0"/>
          <w:color w:val="1F2933"/>
          <w:sz w:val="21"/>
        </w:rPr>
        <w:t xml:space="preserve"> (hipertensão, diabetes, câncer, doenças respiratórias crônicas), o tabagismo, o etilismo, a obesidade e o sedentarismo (ver Assunto 9).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7.5 Saúde da pessoa idosa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Estatuto da Pessoa Idosa (Lei nº 10.741/2003)</w:t>
      </w:r>
      <w:r>
        <w:rPr>
          <w:b w:val="0"/>
          <w:i w:val="0"/>
          <w:color w:val="1F2933"/>
          <w:sz w:val="21"/>
        </w:rPr>
        <w:t xml:space="preserve"> considera idosa a pessoa com </w:t>
      </w:r>
      <w:r>
        <w:rPr>
          <w:b/>
          <w:i w:val="0"/>
          <w:color w:val="111111"/>
          <w:sz w:val="21"/>
        </w:rPr>
        <w:t>60 anos ou mais</w:t>
      </w:r>
      <w:r>
        <w:rPr>
          <w:b w:val="0"/>
          <w:i w:val="0"/>
          <w:color w:val="1F2933"/>
          <w:sz w:val="21"/>
        </w:rPr>
        <w:t xml:space="preserve">. Garante prioridade no atendimento (prioridade especial aos maiores de </w:t>
      </w:r>
      <w:r>
        <w:rPr>
          <w:b/>
          <w:i w:val="0"/>
          <w:color w:val="111111"/>
          <w:sz w:val="21"/>
        </w:rPr>
        <w:t>80 anos</w:t>
      </w:r>
      <w:r>
        <w:rPr>
          <w:b w:val="0"/>
          <w:i w:val="0"/>
          <w:color w:val="1F2933"/>
          <w:sz w:val="21"/>
        </w:rPr>
        <w:t xml:space="preserve">), direito a </w:t>
      </w:r>
      <w:r>
        <w:rPr>
          <w:b/>
          <w:i w:val="0"/>
          <w:color w:val="111111"/>
          <w:sz w:val="21"/>
        </w:rPr>
        <w:t>acompanhante</w:t>
      </w:r>
      <w:r>
        <w:rPr>
          <w:b w:val="0"/>
          <w:i w:val="0"/>
          <w:color w:val="1F2933"/>
          <w:sz w:val="21"/>
        </w:rPr>
        <w:t xml:space="preserve"> em internação ou observação, atendimento domiciliar e fornecimento gratuito de medicamentos de uso continuado. A </w:t>
      </w:r>
      <w:r>
        <w:rPr>
          <w:b/>
          <w:i w:val="0"/>
          <w:color w:val="111111"/>
          <w:sz w:val="21"/>
        </w:rPr>
        <w:t>Política Nacional de Saúde da Pessoa Idosa (Portaria nº 2.528/2006)</w:t>
      </w:r>
      <w:r>
        <w:rPr>
          <w:b w:val="0"/>
          <w:i w:val="0"/>
          <w:color w:val="1F2933"/>
          <w:sz w:val="21"/>
        </w:rPr>
        <w:t xml:space="preserve"> tem como foco a manutenção da </w:t>
      </w:r>
      <w:r>
        <w:rPr>
          <w:b/>
          <w:i w:val="0"/>
          <w:color w:val="111111"/>
          <w:sz w:val="21"/>
        </w:rPr>
        <w:t>capacidade funcional</w:t>
      </w:r>
      <w:r>
        <w:rPr>
          <w:b w:val="0"/>
          <w:i w:val="0"/>
          <w:color w:val="1F2933"/>
          <w:sz w:val="21"/>
        </w:rPr>
        <w:t xml:space="preserve"> e da autonomia.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Caderneta de Saúde da Pessoa Idosa</w:t>
      </w:r>
      <w:r>
        <w:rPr>
          <w:b w:val="0"/>
          <w:i w:val="0"/>
          <w:color w:val="1F2933"/>
          <w:sz w:val="21"/>
        </w:rPr>
        <w:t xml:space="preserve"> e principais síndromes geriátricas ("gigantes da geriatria"): </w:t>
      </w:r>
      <w:r>
        <w:rPr>
          <w:b/>
          <w:i w:val="0"/>
          <w:color w:val="111111"/>
          <w:sz w:val="21"/>
        </w:rPr>
        <w:t>instabilidade postural e quedas, incontinência urinária, imobilidade, insuficiência cognitiva (demências) e iatrogenia</w:t>
      </w:r>
      <w:r>
        <w:rPr>
          <w:b w:val="0"/>
          <w:i w:val="0"/>
          <w:color w:val="1F2933"/>
          <w:sz w:val="21"/>
        </w:rPr>
        <w:t xml:space="preserve"> (inclusive a polifarmácia). Avaliação funcional: atividades básicas de vida diária (escala de </w:t>
      </w:r>
      <w:r>
        <w:rPr>
          <w:b/>
          <w:i w:val="0"/>
          <w:color w:val="111111"/>
          <w:sz w:val="21"/>
        </w:rPr>
        <w:t>Katz</w:t>
      </w:r>
      <w:r>
        <w:rPr>
          <w:b w:val="0"/>
          <w:i w:val="0"/>
          <w:color w:val="1F2933"/>
          <w:sz w:val="21"/>
        </w:rPr>
        <w:t xml:space="preserve"> – banho, vestir, higiene, transferência, continência, alimentação) e instrumentais (escala de </w:t>
      </w:r>
      <w:r>
        <w:rPr>
          <w:b/>
          <w:i w:val="0"/>
          <w:color w:val="111111"/>
          <w:sz w:val="21"/>
        </w:rPr>
        <w:t>Lawton</w:t>
      </w:r>
      <w:r>
        <w:rPr>
          <w:b w:val="0"/>
          <w:i w:val="0"/>
          <w:color w:val="1F2933"/>
          <w:sz w:val="21"/>
        </w:rPr>
        <w:t xml:space="preserve"> – telefone, compras, finanças, medicação).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Prevenção de quedas:</w:t>
      </w:r>
      <w:r>
        <w:rPr>
          <w:b w:val="0"/>
          <w:i w:val="0"/>
          <w:color w:val="1F2933"/>
          <w:sz w:val="21"/>
        </w:rPr>
        <w:t xml:space="preserve"> iluminação adequada, retirada de tapetes soltos, barras de apoio no banheiro, calçados fechados e antiderrapantes, revisão de medicamentos (sedativos, anti-hipertensivos), atividade física.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Violência contra a pessoa idosa</w:t>
      </w:r>
      <w:r>
        <w:rPr>
          <w:b w:val="0"/>
          <w:i w:val="0"/>
          <w:color w:val="1F2933"/>
          <w:sz w:val="21"/>
        </w:rPr>
        <w:t xml:space="preserve"> é de notificação compulsória e deve ser comunicada também à autoridade policial, ao Ministério Público ou aos Conselhos da Pessoa Idosa.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PNAISC (0 a 9 anos, 7 eixos) e Caderneta da Criança.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Perda fisiológica de peso do RN (até 10%) e recuperação até o 10º–15º dia.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Planos A, B e C de reidratação.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Faixas etárias: adolescente 12–18 (ECA) × 10–19 (OMS/MS); idoso ≥ 60 anos; homem 20–59 anos.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Papanicolau 25–64 anos, dois anuais e depois trienal; DNA-HPV a cada 5 anos.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Mamografia bienal de 50 a 69 anos.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Laqueadura/vasectomia: 21 anos ou 2 filhos, sem consentimento do cônjuge.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Estatuto da Pessoa Idosa: acompanhante, prioridade especial aos 80+.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Gigantes da geriatria; escalas de Katz e Lawton.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"25–64, 1-1-3"</w:t>
      </w:r>
      <w:r>
        <w:rPr>
          <w:b w:val="0"/>
          <w:i w:val="0"/>
          <w:color w:val="1F2933"/>
          <w:sz w:val="21"/>
        </w:rPr>
        <w:t>: Papanicolau dos 25 aos 64, dois exames anuais e depois a cada 3 anos.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"50–69 de 2 em 2"</w:t>
      </w:r>
      <w:r>
        <w:rPr>
          <w:b w:val="0"/>
          <w:i w:val="0"/>
          <w:color w:val="1F2933"/>
          <w:sz w:val="21"/>
        </w:rPr>
        <w:t>: mamografia de rastreamento.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"ECA 12, OMS 10"</w:t>
      </w:r>
      <w:r>
        <w:rPr>
          <w:b w:val="0"/>
          <w:i w:val="0"/>
          <w:color w:val="1F2933"/>
          <w:sz w:val="21"/>
        </w:rPr>
        <w:t>: início da adolescência.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"Os 5 Is da geriatria"</w:t>
      </w:r>
      <w:r>
        <w:rPr>
          <w:b w:val="0"/>
          <w:i w:val="0"/>
          <w:color w:val="1F2933"/>
          <w:sz w:val="21"/>
        </w:rPr>
        <w:t>: Instabilidade, Incontinência, Imobilidade, Insuficiência cognitiva, Iatrogenia.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"Katz é básico, Lawton é instrumental"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"Dobra aos 5, triplica com 1 ano"</w:t>
      </w:r>
      <w:r>
        <w:rPr>
          <w:b w:val="0"/>
          <w:i w:val="0"/>
          <w:color w:val="1F2933"/>
          <w:sz w:val="21"/>
        </w:rPr>
        <w:t>: peso da criança.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Segundo as diretrizes do Ministério da Saúde, o exame citopatológico do colo do útero deve ser oferecido a mulheres: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de 18 a 50 anos, anualmente, independentemente dos resultados.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de 25 a 64 anos que já iniciaram atividade sexual, com os dois primeiros exames anuais e, se normais, a cada três anos.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 partir da menarca, a cada seis meses.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somente após a menopausa.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de 40 a 69 anos, a cada dois anos.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faixa etária e a periodicidade estão erradas.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é a recomendação clássica do MS/INCA para o Papanicolau.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se rastreia antes dos 25 anos, nem com intervalo semestral.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rastreamento ocorre principalmente na idade reprodutiva.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essa faixa e periodicidade lembram a mamografia, não o citopatológico.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Para o Estatuto da Pessoa Idosa (Lei nº 10.741/2003), é considerada pessoa idosa aquela com idade igual ou superior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55 anos.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60 anos.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65 anos.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70 anos.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80 anos.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55 anos não é marco legal.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Estatuto considera idosa a pessoa com 60 anos ou mais.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65 anos é referência usada em alguns benefícios e em países desenvolvidos.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corresponde ao marco legal.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80 anos é o marco para a prioridade especial.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Criança de 2 anos com diarreia apresenta-se irritada, com olhos fundos, sede intensa e sinal da prega desaparecendo lentamente, sem sinais de gravidade. Segundo o manejo da desidratação, deve-se aplicar 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Plano A, com tratamento exclusivamente domiciliar.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Plano B, com terapia de reidratação oral na unidade de saúde.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Plano C, com hidratação venosa imediata.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jejum absoluto até cessar a diarreia.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uso de antidiarreicos.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Plano A é para crianças sem desidratação.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há sinais de desidratação (irritação, olhos fundos, sede, prega lenta), indicando Plano B na unidade.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Plano C é para desidratação grave (letargia, incapacidade de beber, prega muito lenta).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alimentação deve ser mantida.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antidiarreicos não são recomendados em crianças.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As grandes síndromes geriátricas ("gigantes da geriatria") incluem: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hipertensão, diabetes e obesidade.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instabilidade postural, incontinência, imobilidade, insuficiência cognitiva e iatrogenia.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catarata, glaucoma e surdez.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osteoporose, artrose e gota.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pneumonia, tuberculose e gripe.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doenças crônicas, não as síndromes geriátricas clássicas.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os "5 Is" da geriatria.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alterações sensoriais, sem constituir o grupo clássico.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doenças osteoarticulares.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doenças infecciosas.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a esterilização voluntária (laqueadura e vasectomia), conforme a Lei nº 9.263/1996, alterada pela Lei nº 14.443/2022,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exige o consentimento expresso do cônjuge.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é permitida a partir dos 25 anos, sem outra condição.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é permitida a pessoas com capacidade civil plena maiores de 21 anos ou com pelo menos dois filhos vivos, sem necessidade de consentimento do cônjuge.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é proibida durante o parto.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pode ser feita no mesmo dia da manifestação da vontade.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Lei 14.443/2022 retirou a exigência de consentimento do cônjuge.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idade mínima passou a ser 21 anos (ou 2 filhos vivos).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os requisitos atuais.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lei passou a permitir a laqueadura durante o parto, observados o prazo e as condições médicas.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exige-se prazo mínimo de 60 dias entre a manifestação e o procedimento.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PNAISC e puericultura; AIDPI e TRO; adolescente (ECA e MS, PSE); PNAISM, rastreamentos e contracepção; PNAISH; Estatuto e Política da Pessoa Idosa; síndromes geriátricas; prevenção de quedas.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criança 0–9 anos (PNAISC); adolescente 10–19 (MS); homem 20–59; idoso ≥ 60; Papanicolau 25–64; mamografia 50–69 bienal; esterilização ≥ 21 anos ou 2 filhos.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exigir consentimento do cônjuge para laqueadura; confundir faixa do ECA com a do MS; usar autoexame como método de rastreamento.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suspender a alimentação na diarreia; tratar a perda de 10% do peso do RN como doença.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