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ENFERMAGEM EM SAÚDE PÚBLICA: HIPERTENSÃO, DIABETES, DOENÇAS CARDIOVASCULARES, OBESIDADE, DOENÇA RENAL CRÔNICA, HANSENÍASE, TUBERCULOSE, DENGUE E IST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9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9.1 Hipertensão arterial sistêmica (HAS)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Diagnóstico: PA </w:t>
      </w:r>
      <w:r>
        <w:rPr>
          <w:b/>
          <w:i w:val="0"/>
          <w:color w:val="111111"/>
          <w:sz w:val="21"/>
        </w:rPr>
        <w:t>≥ 140/90 mmHg</w:t>
      </w:r>
      <w:r>
        <w:rPr>
          <w:b w:val="0"/>
          <w:i w:val="0"/>
          <w:color w:val="1F2933"/>
          <w:sz w:val="21"/>
        </w:rPr>
        <w:t xml:space="preserve"> em pelo menos duas ocasiões (Diretriz Brasileira de Hipertensão). É, em geral, </w:t>
      </w:r>
      <w:r>
        <w:rPr>
          <w:b/>
          <w:i w:val="0"/>
          <w:color w:val="111111"/>
          <w:sz w:val="21"/>
        </w:rPr>
        <w:t>assintomática</w:t>
      </w:r>
      <w:r>
        <w:rPr>
          <w:b w:val="0"/>
          <w:i w:val="0"/>
          <w:color w:val="1F2933"/>
          <w:sz w:val="21"/>
        </w:rPr>
        <w:t xml:space="preserve"> ("assassina silenciosa"). Fatores de risco: idade, hereditariedade, excesso de sal, obesidade, sedentarismo, tabagismo, álcool, estresse. Complicações (lesão de órgão-alvo): AVC, infarto, insuficiência cardíaca, doença renal crônica, retinopatia.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Classificação (consultório)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PAS (mmHg)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PAD (mmHg)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PA ótima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&lt; 120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&lt; 80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PA normal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120–129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80–84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Pré-hipertensão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130–139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85–89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HAS estágio 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140–159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90–99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HAS estágio 2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160–179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100–109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HAS estágio 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≥ 180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≥ 110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Tratamento não medicamentoso: redução do sal (</w:t>
      </w:r>
      <w:r>
        <w:rPr>
          <w:b/>
          <w:i w:val="0"/>
          <w:color w:val="111111"/>
          <w:sz w:val="21"/>
        </w:rPr>
        <w:t>&lt; 5 g de sal/dia</w:t>
      </w:r>
      <w:r>
        <w:rPr>
          <w:b w:val="0"/>
          <w:i w:val="0"/>
          <w:color w:val="1F2933"/>
          <w:sz w:val="21"/>
        </w:rPr>
        <w:t xml:space="preserve">, equivalente a 2 g de sódio), dieta DASH (rica em frutas, verduras, laticínios magros), atividade física (150 min/semana), perda de peso, cessação do tabagismo e moderação do álcool. Medicamentos comuns na atenção básica: hidroclorotiazida (diurético – pode causar hipopotassemia), captopril/enalapril (IECA – </w:t>
      </w:r>
      <w:r>
        <w:rPr>
          <w:b/>
          <w:i w:val="0"/>
          <w:color w:val="111111"/>
          <w:sz w:val="21"/>
        </w:rPr>
        <w:t>tosse seca</w:t>
      </w:r>
      <w:r>
        <w:rPr>
          <w:b w:val="0"/>
          <w:i w:val="0"/>
          <w:color w:val="1F2933"/>
          <w:sz w:val="21"/>
        </w:rPr>
        <w:t>), losartana (BRA), anlodipino (bloqueador de canal de cálcio – edema de tornozelos), propranolol/atenolol (betabloqueadores – bradicardia, contraindicados na asma).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9.2 Diabetes mellitus (DM)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Critério diagnóstico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Valor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Glicemia de jejum (8 h)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≥ 126 mg/dL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Glicemia 2 h após sobrecarga de 75 g de glicose (TOTG)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≥ 200 mg/dL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Hemoglobina glicada (HbA1c)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≥ 6,5%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Glicemia ao acaso com sintomas clássicos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≥ 200 mg/dL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Pré-diabetes: glicemia de jejum de 100 a 125 mg/dL ou HbA1c de 5,7% a 6,4%. </w:t>
      </w:r>
      <w:r>
        <w:rPr>
          <w:b/>
          <w:i w:val="0"/>
          <w:color w:val="111111"/>
          <w:sz w:val="21"/>
        </w:rPr>
        <w:t>DM tipo 1</w:t>
      </w:r>
      <w:r>
        <w:rPr>
          <w:b w:val="0"/>
          <w:i w:val="0"/>
          <w:color w:val="1F2933"/>
          <w:sz w:val="21"/>
        </w:rPr>
        <w:t xml:space="preserve">: destruição autoimune das células beta, início geralmente na infância/adolescência, dependente de insulina, risco de </w:t>
      </w:r>
      <w:r>
        <w:rPr>
          <w:b/>
          <w:i w:val="0"/>
          <w:color w:val="111111"/>
          <w:sz w:val="21"/>
        </w:rPr>
        <w:t>cetoacidose</w:t>
      </w:r>
      <w:r>
        <w:rPr>
          <w:b w:val="0"/>
          <w:i w:val="0"/>
          <w:color w:val="1F2933"/>
          <w:sz w:val="21"/>
        </w:rPr>
        <w:t xml:space="preserve">. </w:t>
      </w:r>
      <w:r>
        <w:rPr>
          <w:b/>
          <w:i w:val="0"/>
          <w:color w:val="111111"/>
          <w:sz w:val="21"/>
        </w:rPr>
        <w:t>DM tipo 2</w:t>
      </w:r>
      <w:r>
        <w:rPr>
          <w:b w:val="0"/>
          <w:i w:val="0"/>
          <w:color w:val="1F2933"/>
          <w:sz w:val="21"/>
        </w:rPr>
        <w:t xml:space="preserve">: resistência à insulina, associado a obesidade e idade, mais frequente (cerca de 90% dos casos). </w:t>
      </w:r>
      <w:r>
        <w:rPr>
          <w:b/>
          <w:i w:val="0"/>
          <w:color w:val="111111"/>
          <w:sz w:val="21"/>
        </w:rPr>
        <w:t>Diabetes gestacional</w:t>
      </w:r>
      <w:r>
        <w:rPr>
          <w:b w:val="0"/>
          <w:i w:val="0"/>
          <w:color w:val="1F2933"/>
          <w:sz w:val="21"/>
        </w:rPr>
        <w:t>: diagnosticado na gestação.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Sintomas clássicos: os </w:t>
      </w:r>
      <w:r>
        <w:rPr>
          <w:b/>
          <w:i w:val="0"/>
          <w:color w:val="111111"/>
          <w:sz w:val="21"/>
        </w:rPr>
        <w:t>4 Ps</w:t>
      </w:r>
      <w:r>
        <w:rPr>
          <w:b w:val="0"/>
          <w:i w:val="0"/>
          <w:color w:val="1F2933"/>
          <w:sz w:val="21"/>
        </w:rPr>
        <w:t xml:space="preserve"> – poliúria, polidipsia, polifagia e perda de peso.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Insulinas:</w:t>
      </w:r>
      <w:r>
        <w:rPr>
          <w:b w:val="0"/>
          <w:i w:val="0"/>
          <w:color w:val="1F2933"/>
          <w:sz w:val="21"/>
        </w:rPr>
        <w:t xml:space="preserve"> regular (ação rápida – aspecto </w:t>
      </w:r>
      <w:r>
        <w:rPr>
          <w:b/>
          <w:i w:val="0"/>
          <w:color w:val="111111"/>
          <w:sz w:val="21"/>
        </w:rPr>
        <w:t>transparente</w:t>
      </w:r>
      <w:r>
        <w:rPr>
          <w:b w:val="0"/>
          <w:i w:val="0"/>
          <w:color w:val="1F2933"/>
          <w:sz w:val="21"/>
        </w:rPr>
        <w:t xml:space="preserve">, pode ser EV) e NPH (ação intermediária – aspecto </w:t>
      </w:r>
      <w:r>
        <w:rPr>
          <w:b/>
          <w:i w:val="0"/>
          <w:color w:val="111111"/>
          <w:sz w:val="21"/>
        </w:rPr>
        <w:t>leitoso/turvo</w:t>
      </w:r>
      <w:r>
        <w:rPr>
          <w:b w:val="0"/>
          <w:i w:val="0"/>
          <w:color w:val="1F2933"/>
          <w:sz w:val="21"/>
        </w:rPr>
        <w:t xml:space="preserve">). Na mistura na mesma seringa, aspira-se </w:t>
      </w:r>
      <w:r>
        <w:rPr>
          <w:b/>
          <w:i w:val="0"/>
          <w:color w:val="111111"/>
          <w:sz w:val="21"/>
        </w:rPr>
        <w:t>primeiro a regular (transparente) e depois a NPH (turva)</w:t>
      </w:r>
      <w:r>
        <w:rPr>
          <w:b w:val="0"/>
          <w:i w:val="0"/>
          <w:color w:val="1F2933"/>
          <w:sz w:val="21"/>
        </w:rPr>
        <w:t xml:space="preserve">. A NPH deve ser homogeneizada rolando-se o frasco entre as mãos, sem agitar. Aplicação subcutânea com </w:t>
      </w:r>
      <w:r>
        <w:rPr>
          <w:b/>
          <w:i w:val="0"/>
          <w:color w:val="111111"/>
          <w:sz w:val="21"/>
        </w:rPr>
        <w:t>rodízio</w:t>
      </w:r>
      <w:r>
        <w:rPr>
          <w:b w:val="0"/>
          <w:i w:val="0"/>
          <w:color w:val="1F2933"/>
          <w:sz w:val="21"/>
        </w:rPr>
        <w:t xml:space="preserve"> dos locais (abdome – absorção mais rápida –, braços, coxas, nádegas) para prevenir lipodistrofia. Frasco em uso pode ficar em temperatura ambiente (até 30 °C) por cerca de 4 semanas; frascos lacrados são guardados na geladeira (2 °C a 8 °C), nunca no congelador nem na porta.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Pé diabético:</w:t>
      </w:r>
      <w:r>
        <w:rPr>
          <w:b w:val="0"/>
          <w:i w:val="0"/>
          <w:color w:val="1F2933"/>
          <w:sz w:val="21"/>
        </w:rPr>
        <w:t xml:space="preserve"> examinar os pés diariamente, secar bem entre os dedos, hidratar (exceto entre os dedos), cortar as unhas retas, usar calçados fechados e confortáveis, nunca andar descalço, avaliar a sensibilidade com o </w:t>
      </w:r>
      <w:r>
        <w:rPr>
          <w:b/>
          <w:i w:val="0"/>
          <w:color w:val="111111"/>
          <w:sz w:val="21"/>
        </w:rPr>
        <w:t>monofilamento de 10 g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Hipoglicemia</w:t>
      </w:r>
      <w:r>
        <w:rPr>
          <w:b w:val="0"/>
          <w:i w:val="0"/>
          <w:color w:val="1F2933"/>
          <w:sz w:val="21"/>
        </w:rPr>
        <w:t xml:space="preserve"> (&lt; 70 mg/dL): tremor, sudorese fria, palpitação, confusão – </w:t>
      </w:r>
      <w:r>
        <w:rPr>
          <w:b/>
          <w:i w:val="0"/>
          <w:color w:val="111111"/>
          <w:sz w:val="21"/>
        </w:rPr>
        <w:t>regra dos 15</w:t>
      </w:r>
      <w:r>
        <w:rPr>
          <w:b w:val="0"/>
          <w:i w:val="0"/>
          <w:color w:val="1F2933"/>
          <w:sz w:val="21"/>
        </w:rPr>
        <w:t>: 15 g de carboidrato de absorção rápida e nova glicemia em 15 minutos.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9.3 Doenças cardiovasculares, obesidade e doença renal crônica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Doenças cardiovasculares</w:t>
      </w:r>
      <w:r>
        <w:rPr>
          <w:b w:val="0"/>
          <w:i w:val="0"/>
          <w:color w:val="1F2933"/>
          <w:sz w:val="21"/>
        </w:rPr>
        <w:t xml:space="preserve"> (infarto, AVC, insuficiência cardíaca) são a principal causa de morte no Brasil. A prevenção atua nos fatores de risco modificáveis: HAS, DM, dislipidemia, tabagismo, obesidade e sedentarismo.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Obesidade:</w:t>
      </w:r>
      <w:r>
        <w:rPr>
          <w:b w:val="0"/>
          <w:i w:val="0"/>
          <w:color w:val="1F2933"/>
          <w:sz w:val="21"/>
        </w:rPr>
        <w:t xml:space="preserve"> IMC = peso (kg) ÷ altura² (m). Classificação do adulto: &lt; 18,5 baixo peso; 18,5–24,9 eutrofia; 25–29,9 sobrepeso; 30–34,9 obesidade grau I; 35–39,9 grau II; ≥ 40 grau III. Circunferência abdominal aumentada (risco cardiovascular): &gt; 94 cm em homens e &gt; 80 cm em mulheres (risco muito elevado &gt; 102 e &gt; 88 cm).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Doença renal crônica (DRC):</w:t>
      </w:r>
      <w:r>
        <w:rPr>
          <w:b w:val="0"/>
          <w:i w:val="0"/>
          <w:color w:val="1F2933"/>
          <w:sz w:val="21"/>
        </w:rPr>
        <w:t xml:space="preserve"> lesão renal ou taxa de filtração glomerular &lt; 60 mL/min/1,73 m² por </w:t>
      </w:r>
      <w:r>
        <w:rPr>
          <w:b/>
          <w:i w:val="0"/>
          <w:color w:val="111111"/>
          <w:sz w:val="21"/>
        </w:rPr>
        <w:t>mais de 3 meses</w:t>
      </w:r>
      <w:r>
        <w:rPr>
          <w:b w:val="0"/>
          <w:i w:val="0"/>
          <w:color w:val="1F2933"/>
          <w:sz w:val="21"/>
        </w:rPr>
        <w:t xml:space="preserve">. Principais causas: </w:t>
      </w:r>
      <w:r>
        <w:rPr>
          <w:b/>
          <w:i w:val="0"/>
          <w:color w:val="111111"/>
          <w:sz w:val="21"/>
        </w:rPr>
        <w:t>HAS e DM</w:t>
      </w:r>
      <w:r>
        <w:rPr>
          <w:b w:val="0"/>
          <w:i w:val="0"/>
          <w:color w:val="1F2933"/>
          <w:sz w:val="21"/>
        </w:rPr>
        <w:t xml:space="preserve">. Tratamento substitutivo: hemodiálise, diálise peritoneal e transplante. Cuidados com a </w:t>
      </w:r>
      <w:r>
        <w:rPr>
          <w:b/>
          <w:i w:val="0"/>
          <w:color w:val="111111"/>
          <w:sz w:val="21"/>
        </w:rPr>
        <w:t>fístula arteriovenosa</w:t>
      </w:r>
      <w:r>
        <w:rPr>
          <w:b w:val="0"/>
          <w:i w:val="0"/>
          <w:color w:val="1F2933"/>
          <w:sz w:val="21"/>
        </w:rPr>
        <w:t>: não verificar PA, não puncionar, não coletar sangue nem apertar o braço da fístula; palpar o frêmito diariamente. Restrições: líquidos, sódio, potássio e fósforo, conforme orientação.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9.4 Hanseníase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Causada pelo </w:t>
      </w:r>
      <w:r>
        <w:rPr>
          <w:b w:val="0"/>
          <w:i/>
          <w:color w:val="1F2933"/>
          <w:sz w:val="21"/>
        </w:rPr>
        <w:t>Mycobacterium leprae</w:t>
      </w:r>
      <w:r>
        <w:rPr>
          <w:b w:val="0"/>
          <w:i w:val="0"/>
          <w:color w:val="1F2933"/>
          <w:sz w:val="21"/>
        </w:rPr>
        <w:t xml:space="preserve"> (bacilo de Hansen), transmitida por </w:t>
      </w:r>
      <w:r>
        <w:rPr>
          <w:b/>
          <w:i w:val="0"/>
          <w:color w:val="111111"/>
          <w:sz w:val="21"/>
        </w:rPr>
        <w:t>vias aéreas superiores</w:t>
      </w:r>
      <w:r>
        <w:rPr>
          <w:b w:val="0"/>
          <w:i w:val="0"/>
          <w:color w:val="1F2933"/>
          <w:sz w:val="21"/>
        </w:rPr>
        <w:t xml:space="preserve"> de pessoa com forma multibacilar não tratada, por contato próximo e prolongado. Período de incubação longo (2 a 7 anos). Caso de hanseníase: lesão de pele com </w:t>
      </w:r>
      <w:r>
        <w:rPr>
          <w:b/>
          <w:i w:val="0"/>
          <w:color w:val="111111"/>
          <w:sz w:val="21"/>
        </w:rPr>
        <w:t>alteração de sensibilidade</w:t>
      </w:r>
      <w:r>
        <w:rPr>
          <w:b w:val="0"/>
          <w:i w:val="0"/>
          <w:color w:val="1F2933"/>
          <w:sz w:val="21"/>
        </w:rPr>
        <w:t xml:space="preserve"> (térmica, dolorosa ou tátil), espessamento de nervo periférico com alteração sensitiva/motora, ou baciloscopia positiva.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Classificação operacional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Critério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Tratamento (PQT-U)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Paucibacilar (PB)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Até 5 lesões de pele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Rifampicina + dapsona + clofazimina por </w:t>
            </w:r>
            <w:r>
              <w:rPr>
                <w:b/>
                <w:i w:val="0"/>
                <w:color w:val="111111"/>
                <w:sz w:val="19"/>
              </w:rPr>
              <w:t>6 meses</w:t>
            </w:r>
            <w:r>
              <w:rPr>
                <w:b w:val="0"/>
                <w:i w:val="0"/>
                <w:color w:val="1F2933"/>
                <w:sz w:val="19"/>
              </w:rPr>
              <w:t xml:space="preserve"> (6 doses)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Multibacilar (MB)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Mais de 5 lesões ou baciloscopia positiva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Rifampicina + dapsona + clofazimina por </w:t>
            </w:r>
            <w:r>
              <w:rPr>
                <w:b/>
                <w:i w:val="0"/>
                <w:color w:val="111111"/>
                <w:sz w:val="19"/>
              </w:rPr>
              <w:t>12 meses</w:t>
            </w:r>
            <w:r>
              <w:rPr>
                <w:b w:val="0"/>
                <w:i w:val="0"/>
                <w:color w:val="1F2933"/>
                <w:sz w:val="19"/>
              </w:rPr>
              <w:t xml:space="preserve"> (12 doses)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Dose mensal supervisionada na unidade. Orientar que a urina pode ficar avermelhada (rifampicina) e a pele escurecida (clofazimina). O paciente </w:t>
      </w:r>
      <w:r>
        <w:rPr>
          <w:b/>
          <w:i w:val="0"/>
          <w:color w:val="111111"/>
          <w:sz w:val="21"/>
        </w:rPr>
        <w:t>deixa de transmitir logo após o início do tratamento</w:t>
      </w:r>
      <w:r>
        <w:rPr>
          <w:b w:val="0"/>
          <w:i w:val="0"/>
          <w:color w:val="1F2933"/>
          <w:sz w:val="21"/>
        </w:rPr>
        <w:t xml:space="preserve"> – não há necessidade de isolamento. Contatos: exame dermatoneurológico e BCG conforme a situação vacinal. Avaliação do </w:t>
      </w:r>
      <w:r>
        <w:rPr>
          <w:b/>
          <w:i w:val="0"/>
          <w:color w:val="111111"/>
          <w:sz w:val="21"/>
        </w:rPr>
        <w:t>grau de incapacidade física</w:t>
      </w:r>
      <w:r>
        <w:rPr>
          <w:b w:val="0"/>
          <w:i w:val="0"/>
          <w:color w:val="1F2933"/>
          <w:sz w:val="21"/>
        </w:rPr>
        <w:t xml:space="preserve"> no diagnóstico e na alta.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9.5 Tuberculose (TB)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Causada pelo </w:t>
      </w:r>
      <w:r>
        <w:rPr>
          <w:b w:val="0"/>
          <w:i/>
          <w:color w:val="1F2933"/>
          <w:sz w:val="21"/>
        </w:rPr>
        <w:t>Mycobacterium tuberculosis</w:t>
      </w:r>
      <w:r>
        <w:rPr>
          <w:b w:val="0"/>
          <w:i w:val="0"/>
          <w:color w:val="1F2933"/>
          <w:sz w:val="21"/>
        </w:rPr>
        <w:t xml:space="preserve"> (bacilo de Koch), transmitida por </w:t>
      </w:r>
      <w:r>
        <w:rPr>
          <w:b/>
          <w:i w:val="0"/>
          <w:color w:val="111111"/>
          <w:sz w:val="21"/>
        </w:rPr>
        <w:t>aerossóis</w:t>
      </w:r>
      <w:r>
        <w:rPr>
          <w:b w:val="0"/>
          <w:i w:val="0"/>
          <w:color w:val="1F2933"/>
          <w:sz w:val="21"/>
        </w:rPr>
        <w:t xml:space="preserve"> (tosse, fala, espirro) de paciente com TB pulmonar bacilífera. </w:t>
      </w:r>
      <w:r>
        <w:rPr>
          <w:b/>
          <w:i w:val="0"/>
          <w:color w:val="111111"/>
          <w:sz w:val="21"/>
        </w:rPr>
        <w:t>Sintomático respiratório:</w:t>
      </w:r>
      <w:r>
        <w:rPr>
          <w:b w:val="0"/>
          <w:i w:val="0"/>
          <w:color w:val="1F2933"/>
          <w:sz w:val="21"/>
        </w:rPr>
        <w:t xml:space="preserve"> tosse por </w:t>
      </w:r>
      <w:r>
        <w:rPr>
          <w:b/>
          <w:i w:val="0"/>
          <w:color w:val="111111"/>
          <w:sz w:val="21"/>
        </w:rPr>
        <w:t>3 semanas ou mais</w:t>
      </w:r>
      <w:r>
        <w:rPr>
          <w:b w:val="0"/>
          <w:i w:val="0"/>
          <w:color w:val="1F2933"/>
          <w:sz w:val="21"/>
        </w:rPr>
        <w:t xml:space="preserve"> (na população geral) – deve ser investigado com baciloscopia (2 amostras de escarro, a 1ª no momento da consulta e a 2ª na manhã seguinte, ao despertar, em jejum) ou teste rápido molecular (TRM-TB). Em populações vulneráveis (pessoas privadas de liberdade, em situação de rua, com HIV, indígenas), investiga-se a tosse de qualquer duração.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Tratamento básico</w:t>
      </w:r>
      <w:r>
        <w:rPr>
          <w:b w:val="0"/>
          <w:i w:val="0"/>
          <w:color w:val="1F2933"/>
          <w:sz w:val="21"/>
        </w:rPr>
        <w:t xml:space="preserve"> (adulto, 6 meses): fase intensiva de </w:t>
      </w:r>
      <w:r>
        <w:rPr>
          <w:b/>
          <w:i w:val="0"/>
          <w:color w:val="111111"/>
          <w:sz w:val="21"/>
        </w:rPr>
        <w:t>2 meses com RHZE</w:t>
      </w:r>
      <w:r>
        <w:rPr>
          <w:b w:val="0"/>
          <w:i w:val="0"/>
          <w:color w:val="1F2933"/>
          <w:sz w:val="21"/>
        </w:rPr>
        <w:t xml:space="preserve"> (rifampicina, isoniazida, pirazinamida e etambutol) e fase de manutenção de </w:t>
      </w:r>
      <w:r>
        <w:rPr>
          <w:b/>
          <w:i w:val="0"/>
          <w:color w:val="111111"/>
          <w:sz w:val="21"/>
        </w:rPr>
        <w:t>4 meses com RH</w:t>
      </w:r>
      <w:r>
        <w:rPr>
          <w:b w:val="0"/>
          <w:i w:val="0"/>
          <w:color w:val="1F2933"/>
          <w:sz w:val="21"/>
        </w:rPr>
        <w:t xml:space="preserve">. Tomada diária, preferencialmente em jejum, com </w:t>
      </w:r>
      <w:r>
        <w:rPr>
          <w:b/>
          <w:i w:val="0"/>
          <w:color w:val="111111"/>
          <w:sz w:val="21"/>
        </w:rPr>
        <w:t>Tratamento Diretamente Observado (TDO)</w:t>
      </w:r>
      <w:r>
        <w:rPr>
          <w:b w:val="0"/>
          <w:i w:val="0"/>
          <w:color w:val="1F2933"/>
          <w:sz w:val="21"/>
        </w:rPr>
        <w:t xml:space="preserve">. Paciente bacilífero internado: </w:t>
      </w:r>
      <w:r>
        <w:rPr>
          <w:b/>
          <w:i w:val="0"/>
          <w:color w:val="111111"/>
          <w:sz w:val="21"/>
        </w:rPr>
        <w:t>precaução por aerossóis</w:t>
      </w:r>
      <w:r>
        <w:rPr>
          <w:b w:val="0"/>
          <w:i w:val="0"/>
          <w:color w:val="1F2933"/>
          <w:sz w:val="21"/>
        </w:rPr>
        <w:t xml:space="preserve">, quarto privativo com pressão negativa, uso de </w:t>
      </w:r>
      <w:r>
        <w:rPr>
          <w:b/>
          <w:i w:val="0"/>
          <w:color w:val="111111"/>
          <w:sz w:val="21"/>
        </w:rPr>
        <w:t>máscara N95/PFF2</w:t>
      </w:r>
      <w:r>
        <w:rPr>
          <w:b w:val="0"/>
          <w:i w:val="0"/>
          <w:color w:val="1F2933"/>
          <w:sz w:val="21"/>
        </w:rPr>
        <w:t xml:space="preserve"> pelos profissionais e máscara cirúrgica pelo paciente durante o transporte. A transmissão reduz-se muito após cerca de 15 dias de tratamento eficaz.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9.6 Dengue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Arbovirose transmitida pela fêmea do mosquito *</w:t>
      </w:r>
      <w:r>
        <w:rPr>
          <w:b/>
          <w:i w:val="0"/>
          <w:color w:val="111111"/>
          <w:sz w:val="21"/>
        </w:rPr>
        <w:t>Aedes aegypti</w:t>
      </w:r>
      <w:r>
        <w:rPr>
          <w:b w:val="0"/>
          <w:i/>
          <w:color w:val="1F2933"/>
          <w:sz w:val="21"/>
        </w:rPr>
        <w:t xml:space="preserve">, com 4 sorotipos (DENV-1 a 4). Fases: </w:t>
      </w:r>
      <w:r>
        <w:rPr>
          <w:b w:val="0"/>
          <w:i/>
          <w:color w:val="1F2933"/>
          <w:sz w:val="21"/>
        </w:rPr>
        <w:t>febril</w:t>
      </w:r>
      <w:r>
        <w:rPr>
          <w:b w:val="0"/>
          <w:i/>
          <w:color w:val="1F2933"/>
          <w:sz w:val="21"/>
        </w:rPr>
        <w:t xml:space="preserve"> (febre alta de início súbito, cefaleia, dor retro-orbitária, mialgia, artralgia, exantema), </w:t>
      </w:r>
      <w:r>
        <w:rPr>
          <w:b w:val="0"/>
          <w:i/>
          <w:color w:val="1F2933"/>
          <w:sz w:val="21"/>
        </w:rPr>
        <w:t>crítica</w:t>
      </w:r>
      <w:r>
        <w:rPr>
          <w:b w:val="0"/>
          <w:i/>
          <w:color w:val="1F2933"/>
          <w:sz w:val="21"/>
        </w:rPr>
        <w:t xml:space="preserve"> (entre o 3º e o 7º dia, com a </w:t>
      </w:r>
      <w:r>
        <w:rPr>
          <w:b w:val="0"/>
          <w:i/>
          <w:color w:val="1F2933"/>
          <w:sz w:val="21"/>
        </w:rPr>
        <w:t>queda da febre</w:t>
      </w:r>
      <w:r>
        <w:rPr>
          <w:b w:val="0"/>
          <w:i/>
          <w:color w:val="1F2933"/>
          <w:sz w:val="21"/>
        </w:rPr>
        <w:t xml:space="preserve"> – período de maior risco de extravasamento plasmático e choque) e de </w:t>
      </w:r>
      <w:r>
        <w:rPr>
          <w:b w:val="0"/>
          <w:i/>
          <w:color w:val="1F2933"/>
          <w:sz w:val="21"/>
        </w:rPr>
        <w:t>recuperação</w:t>
      </w:r>
      <w:r>
        <w:rPr>
          <w:b w:val="0"/>
          <w:i/>
          <w:color w:val="1F2933"/>
          <w:sz w:val="21"/>
        </w:rPr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Sinais de alarme:</w:t>
      </w:r>
      <w:r>
        <w:rPr>
          <w:b w:val="0"/>
          <w:i w:val="0"/>
          <w:color w:val="1F2933"/>
          <w:sz w:val="21"/>
        </w:rPr>
        <w:t xml:space="preserve"> dor abdominal intensa e contínua, vômitos persistentes, acúmulo de líquidos (ascite, derrame), hipotensão postural/lipotimia, hepatomegalia &gt; 2 cm, sangramento de mucosa, letargia ou irritabilidade, aumento progressivo do hematócrito.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Classificação e manejo:</w:t>
      </w:r>
      <w:r>
        <w:rPr>
          <w:b w:val="0"/>
          <w:i w:val="0"/>
          <w:color w:val="1F2933"/>
          <w:sz w:val="21"/>
        </w:rPr>
        <w:t xml:space="preserve"> grupo A (sem sinais de alarme, sem comorbidades – hidratação oral em casa), B (sangramento de pele espontâneo ou prova do laço positiva, ou condição especial/comorbidade – exames e observação), C (sinais de alarme – hidratação venosa em leito de internação) e D (choque – reposição venosa rápida e UTI). Hidratação oral no adulto: </w:t>
      </w:r>
      <w:r>
        <w:rPr>
          <w:b/>
          <w:i w:val="0"/>
          <w:color w:val="111111"/>
          <w:sz w:val="21"/>
        </w:rPr>
        <w:t>60 mL/kg/dia</w:t>
      </w:r>
      <w:r>
        <w:rPr>
          <w:b w:val="0"/>
          <w:i w:val="0"/>
          <w:color w:val="1F2933"/>
          <w:sz w:val="21"/>
        </w:rPr>
        <w:t xml:space="preserve">, sendo 1/3 com soro de reidratação oral. </w:t>
      </w:r>
      <w:r>
        <w:rPr>
          <w:b/>
          <w:i w:val="0"/>
          <w:color w:val="111111"/>
          <w:sz w:val="21"/>
        </w:rPr>
        <w:t>Não usar AAS nem anti-inflamatórios</w:t>
      </w:r>
      <w:r>
        <w:rPr>
          <w:b w:val="0"/>
          <w:i w:val="0"/>
          <w:color w:val="1F2933"/>
          <w:sz w:val="21"/>
        </w:rPr>
        <w:t xml:space="preserve"> (risco de sangramento); o antitérmico é dipirona ou paracetamol. A </w:t>
      </w:r>
      <w:r>
        <w:rPr>
          <w:b/>
          <w:i w:val="0"/>
          <w:color w:val="111111"/>
          <w:sz w:val="21"/>
        </w:rPr>
        <w:t>prova do laço</w:t>
      </w:r>
      <w:r>
        <w:rPr>
          <w:b w:val="0"/>
          <w:i w:val="0"/>
          <w:color w:val="1F2933"/>
          <w:sz w:val="21"/>
        </w:rPr>
        <w:t xml:space="preserve"> é obrigatória na suspeita sem sangramento espontâneo: insuflar o manguito na PA média por </w:t>
      </w:r>
      <w:r>
        <w:rPr>
          <w:b/>
          <w:i w:val="0"/>
          <w:color w:val="111111"/>
          <w:sz w:val="21"/>
        </w:rPr>
        <w:t>5 minutos</w:t>
      </w:r>
      <w:r>
        <w:rPr>
          <w:b w:val="0"/>
          <w:i w:val="0"/>
          <w:color w:val="1F2933"/>
          <w:sz w:val="21"/>
        </w:rPr>
        <w:t xml:space="preserve"> no adulto (3 min na criança) e considerar positiva com </w:t>
      </w:r>
      <w:r>
        <w:rPr>
          <w:b/>
          <w:i w:val="0"/>
          <w:color w:val="111111"/>
          <w:sz w:val="21"/>
        </w:rPr>
        <w:t>20 ou mais petéquias</w:t>
      </w:r>
      <w:r>
        <w:rPr>
          <w:b w:val="0"/>
          <w:i w:val="0"/>
          <w:color w:val="1F2933"/>
          <w:sz w:val="21"/>
        </w:rPr>
        <w:t xml:space="preserve"> em quadrado de 2,5 cm de lado no adulto (10 ou mais na criança). Notificação compulsória; óbito por dengue é de notificação imediata. Vacina </w:t>
      </w:r>
      <w:r>
        <w:rPr>
          <w:b/>
          <w:i w:val="0"/>
          <w:color w:val="111111"/>
          <w:sz w:val="21"/>
        </w:rPr>
        <w:t>Qdenga</w:t>
      </w:r>
      <w:r>
        <w:rPr>
          <w:b w:val="0"/>
          <w:i w:val="0"/>
          <w:color w:val="1F2933"/>
          <w:sz w:val="21"/>
        </w:rPr>
        <w:t xml:space="preserve"> no SUS para faixas etárias priorizadas (10 a 14 anos) e vacina do Butantan aprovada em 2025.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9.7 Infecções sexualmente transmissíveis (IST)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Sífilis</w:t>
      </w:r>
      <w:r>
        <w:rPr>
          <w:b w:val="0"/>
          <w:i w:val="0"/>
          <w:color w:val="1F2933"/>
          <w:sz w:val="21"/>
        </w:rPr>
        <w:t xml:space="preserve"> (</w:t>
      </w:r>
      <w:r>
        <w:rPr>
          <w:b w:val="0"/>
          <w:i/>
          <w:color w:val="1F2933"/>
          <w:sz w:val="21"/>
        </w:rPr>
        <w:t>Treponema pallidum</w:t>
      </w:r>
      <w:r>
        <w:rPr>
          <w:b w:val="0"/>
          <w:i w:val="0"/>
          <w:color w:val="1F2933"/>
          <w:sz w:val="21"/>
        </w:rPr>
        <w:t xml:space="preserve">): primária (cancro duro, indolor), secundária (lesões de pele, inclusive palmas e plantas), latente e terciária. Diagnóstico por teste treponêmico (teste rápido) e não treponêmico (VDRL). Tratamento: </w:t>
      </w:r>
      <w:r>
        <w:rPr>
          <w:b/>
          <w:i w:val="0"/>
          <w:color w:val="111111"/>
          <w:sz w:val="21"/>
        </w:rPr>
        <w:t>penicilina G benzatina</w:t>
      </w:r>
      <w:r>
        <w:rPr>
          <w:b w:val="0"/>
          <w:i w:val="0"/>
          <w:color w:val="1F2933"/>
          <w:sz w:val="21"/>
        </w:rPr>
        <w:t xml:space="preserve"> IM (2,4 milhões UI dose única na primária, secundária e latente recente; 3 doses semanais na latente tardia/indeterminada). A penicilina é o único tratamento eficaz na gestante para prevenir a sífilis congênita; parcerias devem ser tratadas.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HIV:</w:t>
      </w:r>
      <w:r>
        <w:rPr>
          <w:b w:val="0"/>
          <w:i w:val="0"/>
          <w:color w:val="1F2933"/>
          <w:sz w:val="21"/>
        </w:rPr>
        <w:t xml:space="preserve"> diagnóstico por testes rápidos; tratamento antirretroviral para todos; </w:t>
      </w:r>
      <w:r>
        <w:rPr>
          <w:b/>
          <w:i w:val="0"/>
          <w:color w:val="111111"/>
          <w:sz w:val="21"/>
        </w:rPr>
        <w:t>PEP</w:t>
      </w:r>
      <w:r>
        <w:rPr>
          <w:b w:val="0"/>
          <w:i w:val="0"/>
          <w:color w:val="1F2933"/>
          <w:sz w:val="21"/>
        </w:rPr>
        <w:t xml:space="preserve"> (profilaxia pós-exposição) iniciada idealmente em até 2 h e no máximo em </w:t>
      </w:r>
      <w:r>
        <w:rPr>
          <w:b/>
          <w:i w:val="0"/>
          <w:color w:val="111111"/>
          <w:sz w:val="21"/>
        </w:rPr>
        <w:t>72 horas</w:t>
      </w:r>
      <w:r>
        <w:rPr>
          <w:b w:val="0"/>
          <w:i w:val="0"/>
          <w:color w:val="1F2933"/>
          <w:sz w:val="21"/>
        </w:rPr>
        <w:t xml:space="preserve">, por 28 dias; </w:t>
      </w:r>
      <w:r>
        <w:rPr>
          <w:b/>
          <w:i w:val="0"/>
          <w:color w:val="111111"/>
          <w:sz w:val="21"/>
        </w:rPr>
        <w:t>PrEP</w:t>
      </w:r>
      <w:r>
        <w:rPr>
          <w:b w:val="0"/>
          <w:i w:val="0"/>
          <w:color w:val="1F2933"/>
          <w:sz w:val="21"/>
        </w:rPr>
        <w:t xml:space="preserve"> (pré-exposição) para populações com maior risco.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Gonorreia e clamídia:</w:t>
      </w:r>
      <w:r>
        <w:rPr>
          <w:b w:val="0"/>
          <w:i w:val="0"/>
          <w:color w:val="1F2933"/>
          <w:sz w:val="21"/>
        </w:rPr>
        <w:t xml:space="preserve"> corrimento uretral/cervical; tratamento sindrômico (ceftriaxona + azitromicina).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HPV:</w:t>
      </w:r>
      <w:r>
        <w:rPr>
          <w:b w:val="0"/>
          <w:i w:val="0"/>
          <w:color w:val="1F2933"/>
          <w:sz w:val="21"/>
        </w:rPr>
        <w:t xml:space="preserve"> verrugas anogenitais (condiloma) e relação com câncer de colo de útero; prevenção pela vacina.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Herpes genital:</w:t>
      </w:r>
      <w:r>
        <w:rPr>
          <w:b w:val="0"/>
          <w:i w:val="0"/>
          <w:color w:val="1F2933"/>
          <w:sz w:val="21"/>
        </w:rPr>
        <w:t xml:space="preserve"> vesículas dolorosas e recorrentes; aciclovir.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Hepatites B e C:</w:t>
      </w:r>
      <w:r>
        <w:rPr>
          <w:b w:val="0"/>
          <w:i w:val="0"/>
          <w:color w:val="1F2933"/>
          <w:sz w:val="21"/>
        </w:rPr>
        <w:t xml:space="preserve"> transmissão sexual, sanguínea e vertical; vacina disponível para a hepatite B.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HAS ≥ 140/90 mmHg; sal &lt; 5 g/dia; efeitos dos anti-hipertensivos (tosse do IECA).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Critérios do DM (jejum ≥ 126; HbA1c ≥ 6,5%); 4 Ps; tipos de DM.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Insulina: regular transparente aspirada antes da NPH; rodízio; conservação.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Cuidados com o pé diabético e a fístula arteriovenosa.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IMC e classificação.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Hanseníase: PB até 5 lesões (6 doses) × MB mais de 5 lesões (12 doses).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TB: tosse ≥ 3 semanas; RHZE 2 meses + RH 4 meses; N95.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Dengue: fase crítica com a queda da febre; sinais de alarme; não usar AAS; prova do laço.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Sífilis: penicilina benzatina; PEP em até 72 h.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"Do claro para o turvo"</w:t>
      </w:r>
      <w:r>
        <w:rPr>
          <w:b w:val="0"/>
          <w:i w:val="0"/>
          <w:color w:val="1F2933"/>
          <w:sz w:val="21"/>
        </w:rPr>
        <w:t>: insulina regular antes da NPH na mesma seringa.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"4 Ps do diabetes"</w:t>
      </w:r>
      <w:r>
        <w:rPr>
          <w:b w:val="0"/>
          <w:i w:val="0"/>
          <w:color w:val="1F2933"/>
          <w:sz w:val="21"/>
        </w:rPr>
        <w:t>: poliúria, polidipsia, polifagia, perda de peso.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"Regra dos 15"</w:t>
      </w:r>
      <w:r>
        <w:rPr>
          <w:b w:val="0"/>
          <w:i w:val="0"/>
          <w:color w:val="1F2933"/>
          <w:sz w:val="21"/>
        </w:rPr>
        <w:t>: 15 g de açúcar e nova glicemia em 15 minutos.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"Hanseníase: até 5 é pouco (6 meses), mais de 5 é muito (12 meses)"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"2 RHZE + 4 RH"</w:t>
      </w:r>
      <w:r>
        <w:rPr>
          <w:b w:val="0"/>
          <w:i w:val="0"/>
          <w:color w:val="1F2933"/>
          <w:sz w:val="21"/>
        </w:rPr>
        <w:t>: esquema básico da TB.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"Febre caiu, cuidado redobrou"</w:t>
      </w:r>
      <w:r>
        <w:rPr>
          <w:b w:val="0"/>
          <w:i w:val="0"/>
          <w:color w:val="1F2933"/>
          <w:sz w:val="21"/>
        </w:rPr>
        <w:t>: fase crítica da dengue.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"Braço da fístula é sagrado"</w:t>
      </w:r>
      <w:r>
        <w:rPr>
          <w:b w:val="0"/>
          <w:i w:val="0"/>
          <w:color w:val="1F2933"/>
          <w:sz w:val="21"/>
        </w:rPr>
        <w:t>: nada de PA, punção ou garrote.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"PEP: 72 h, 28 dias"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Ao preparar insulina regular e insulina NPH na mesma seringa, a técnica correta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aspirar primeiro a NPH e depois a regular.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agitar vigorosamente o frasco de NPH antes de aspirar.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aspirar primeiro a insulina regular (transparente) e depois a NPH (turva), após homogeneizar a NPH rolando o frasco.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misturar as duas em um frasco separado antes da aspiração.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aplicar por via intramuscular para acelerar a absorção.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aspirar a NPH primeiro pode contaminar o frasco de regular com insulina de ação intermediária.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agitar forma bolhas e altera a dose; o correto é rolar o frasco entre as mãos.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aspira-se do claro para o turvo, protegendo o frasco de regular.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se misturam insulinas em frascos.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via de aplicação domiciliar é a subcutânea.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com hanseníase apresenta 8 lesões de pele com alteração de sensibilidade. Pela classificação operacional, trata-se de caso: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paucibacilar, com tratamento de 6 doses.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multibacilar, com tratamento de 12 doses mensais supervisionadas.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paucibacilar, com tratamento de 12 doses.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multibacilar, com tratamento de 6 doses.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que exige isolamento do paciente durante todo o tratamento.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mais de 5 lesões caracteriza forma multibacilar.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multibacilar (mais de 5 lesões), tratado com PQT-U por 12 meses.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classificação está errada.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número de doses está errado.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paciente deixa de transmitir logo após o início do tratamento; não há isolamento.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o tratamento da tuberculose pulmonar no adulto,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dura 2 meses, com rifampicina isolada.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consiste em 2 meses de RHZE seguidos de 4 meses de RH, preferencialmente com tratamento diretamente observado.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é feito por 12 meses com estreptomicina injetável.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pode ser interrompido quando a tosse desaparece.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dispensa precauções respiratórias no início do tratamento.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monoterapia induz resistência; o tratamento dura no mínimo 6 meses.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é o esquema básico (2RHZE/4RH), com TDO.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é o esquema básico atual.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interrupção precoce causa recidiva e resistência.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paciente bacilífero exige precaução por aerossóis.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com dengue, no 4º dia de doença, refere que a febre cessou, mas apresenta dor abdominal intensa e contínua e vômitos persistentes. O técnico em enfermagem deve reconhecer que: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queda da febre indica cura e o paciente pode ter alta.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trata-se de sinais de alarme, indicando classificação no grupo C e necessidade de hidratação venosa e comunicação imediata.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deve ser administrado ácido acetilsalicílico para a dor.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 paciente deve ser classificado no grupo 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os vômitos são esperados e não exigem conduta.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defervescência marca o início da fase crítica.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dor abdominal intensa e vômitos persistentes são sinais de alarme (grupo C).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AAS é contraindicado na dengue pelo risco de sangramento.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grupo A não tem sinais de alarme.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vômitos persistentes são sinal de alarme.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com doença renal crônica em hemodiálise possui fístula arteriovenosa no braço esquerdo. Constitui cuidado correto: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verificar a pressão arterial preferencialmente no braço da fístula.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coletar sangue para exames no braço da fístula para evitar novas punções.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não aferir PA, não puncionar nem garrotear o braço da fístula, e verificar diariamente a presença de frêmito.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manter o braço da fístula imobilizado e enfaixado.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aplicar compressas frias diariamente sobre a fístula.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compressão do manguito pode causar trombose da fístula.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punções fora da diálise aumentam o risco de infecção e trombose.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os cuidados essenciais de preservação da fístula; o frêmito indica que está funcionando.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fístula não deve ser enfaixada nem imobilizada; exercícios com bolinha favorecem sua maturação.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há indicação de compressas frias.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HAS (classificação, tratamento); DM (diagnóstico, tipos, insulina, pé diabético, hipoglicemia); doenças cardiovasculares; obesidade (IMC); DRC e fístula; hanseníase (PB × MB); TB (sintomático respiratório, RHZE, precauções); dengue (fases, sinais de alarme, grupos, prova do laço); IST (sífilis, HIV, PEP).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HAS ≥ 140/90; DM jejum ≥ 126, HbA1c ≥ 6,5%; IMC ≥ 30 obesidade; hanseníase PB 6 doses e MB 12 doses; TB 2RHZE/4RH; dengue: hidratação oral 60 mL/kg/dia; prova do laço ≥ 20 petéquias (adulto).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aspirar NPH primeiro; isolar paciente com hanseníase; AAS na dengue; PA no braço da fístula.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achar que a queda da febre na dengue significa melhora; confundir paucibacilar e multibacilar; interromper o tratamento da TB ao melhorar.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