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TÉCNICO EM ENFERMAGEM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BIOSSEGURANÇA: PRECAUÇÕES PADRÃO, LIMPEZA E DESINFECÇÃO, HIGIENIZAÇÃO DAS MÃOS, EPI E GERENCIAMENTO DE RESÍDUOS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Secretaria de Estado da Saúde do Tocantins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Técnico em Enfermagem · Assunto 13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1. RESUMO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13.1 Conceito e base normativa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Biossegurança</w:t>
      </w:r>
      <w:r>
        <w:rPr>
          <w:b w:val="0"/>
          <w:i w:val="0"/>
          <w:color w:val="1F2933"/>
          <w:sz w:val="21"/>
        </w:rPr>
        <w:t xml:space="preserve"> é o conjunto de ações voltadas para prevenir, minimizar ou eliminar riscos inerentes às atividades que possam comprometer a saúde humana, animal e o meio ambiente. A </w:t>
      </w:r>
      <w:r>
        <w:rPr>
          <w:b/>
          <w:i w:val="0"/>
          <w:color w:val="111111"/>
          <w:sz w:val="21"/>
        </w:rPr>
        <w:t>NR 32</w:t>
      </w:r>
      <w:r>
        <w:rPr>
          <w:b w:val="0"/>
          <w:i w:val="0"/>
          <w:color w:val="1F2933"/>
          <w:sz w:val="21"/>
        </w:rPr>
        <w:t xml:space="preserve"> (Portaria MTE nº 485/2005) estabelece as diretrizes de segurança e saúde do trabalho nos serviços de saúde, determinando, entre outras medidas: </w:t>
      </w:r>
      <w:r>
        <w:rPr>
          <w:b/>
          <w:i w:val="0"/>
          <w:color w:val="111111"/>
          <w:sz w:val="21"/>
        </w:rPr>
        <w:t>vacinação gratuita</w:t>
      </w:r>
      <w:r>
        <w:rPr>
          <w:b w:val="0"/>
          <w:i w:val="0"/>
          <w:color w:val="1F2933"/>
          <w:sz w:val="21"/>
        </w:rPr>
        <w:t xml:space="preserve"> dos trabalhadores (tétano, difteria, </w:t>
      </w:r>
      <w:r>
        <w:rPr>
          <w:b/>
          <w:i w:val="0"/>
          <w:color w:val="111111"/>
          <w:sz w:val="21"/>
        </w:rPr>
        <w:t>hepatite B</w:t>
      </w:r>
      <w:r>
        <w:rPr>
          <w:b w:val="0"/>
          <w:i w:val="0"/>
          <w:color w:val="1F2933"/>
          <w:sz w:val="21"/>
        </w:rPr>
        <w:t xml:space="preserve"> e outras conforme o risco), proibição do </w:t>
      </w:r>
      <w:r>
        <w:rPr>
          <w:b/>
          <w:i w:val="0"/>
          <w:color w:val="111111"/>
          <w:sz w:val="21"/>
        </w:rPr>
        <w:t>reencape</w:t>
      </w:r>
      <w:r>
        <w:rPr>
          <w:b w:val="0"/>
          <w:i w:val="0"/>
          <w:color w:val="1F2933"/>
          <w:sz w:val="21"/>
        </w:rPr>
        <w:t xml:space="preserve"> e da desconexão manual de agulhas, proibição de </w:t>
      </w:r>
      <w:r>
        <w:rPr>
          <w:b/>
          <w:i w:val="0"/>
          <w:color w:val="111111"/>
          <w:sz w:val="21"/>
        </w:rPr>
        <w:t>adornos</w:t>
      </w:r>
      <w:r>
        <w:rPr>
          <w:b w:val="0"/>
          <w:i w:val="0"/>
          <w:color w:val="1F2933"/>
          <w:sz w:val="21"/>
        </w:rPr>
        <w:t xml:space="preserve"> (anéis, pulseiras, relógios, crachás pendurados) durante a assistência, proibição de fumar, comer e beber nos postos de trabalho, e de usar calçados abertos.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Classificação de riscos ocupacionais:</w:t>
      </w:r>
      <w:r>
        <w:rPr>
          <w:b w:val="0"/>
          <w:i w:val="0"/>
          <w:color w:val="1F2933"/>
          <w:sz w:val="21"/>
        </w:rPr>
        <w:t xml:space="preserve"> físicos (ruído, radiação, temperatura), químicos (gases, quimioterápicos, desinfetantes), </w:t>
      </w:r>
      <w:r>
        <w:rPr>
          <w:b/>
          <w:i w:val="0"/>
          <w:color w:val="111111"/>
          <w:sz w:val="21"/>
        </w:rPr>
        <w:t>biológicos</w:t>
      </w:r>
      <w:r>
        <w:rPr>
          <w:b w:val="0"/>
          <w:i w:val="0"/>
          <w:color w:val="1F2933"/>
          <w:sz w:val="21"/>
        </w:rPr>
        <w:t xml:space="preserve"> (vírus, bactérias, fungos – o risco mais característico da enfermagem), ergonômicos (postura, levantamento de peso, turnos) e de acidentes (perfurocortantes, quedas).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13.2 Precauções padrão e específicas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As </w:t>
      </w:r>
      <w:r>
        <w:rPr>
          <w:b/>
          <w:i w:val="0"/>
          <w:color w:val="111111"/>
          <w:sz w:val="21"/>
        </w:rPr>
        <w:t>precauções padrão</w:t>
      </w:r>
      <w:r>
        <w:rPr>
          <w:b w:val="0"/>
          <w:i w:val="0"/>
          <w:color w:val="1F2933"/>
          <w:sz w:val="21"/>
        </w:rPr>
        <w:t xml:space="preserve"> devem ser aplicadas a </w:t>
      </w:r>
      <w:r>
        <w:rPr>
          <w:b/>
          <w:i w:val="0"/>
          <w:color w:val="111111"/>
          <w:sz w:val="21"/>
        </w:rPr>
        <w:t>todos os pacientes</w:t>
      </w:r>
      <w:r>
        <w:rPr>
          <w:b w:val="0"/>
          <w:i w:val="0"/>
          <w:color w:val="1F2933"/>
          <w:sz w:val="21"/>
        </w:rPr>
        <w:t>, independentemente do diagnóstico, sempre que houver risco de contato com sangue, fluidos corporais, secreções, excreções (exceto suor), pele não íntegra e mucosas. Incluem: higiene das mãos; uso de luvas, avental, máscara e óculos conforme o risco; descarte adequado de perfurocortantes; etiqueta respiratória.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Precauções baseadas na transmissão</w:t>
      </w:r>
      <w:r>
        <w:rPr>
          <w:b w:val="0"/>
          <w:i w:val="0"/>
          <w:color w:val="1F2933"/>
          <w:sz w:val="21"/>
        </w:rPr>
        <w:t xml:space="preserve"> (somadas às precauções padrão):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Precaução</w:t>
            </w:r>
          </w:p>
        </w:tc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Tamanho das partículas / via</w:t>
            </w:r>
          </w:p>
        </w:tc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Exemplos de doenças</w:t>
            </w:r>
          </w:p>
        </w:tc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Medidas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Contato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Contato direto ou indireto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Bactérias multirresistentes (MRSA, KPC), </w:t>
            </w:r>
            <w:r>
              <w:rPr>
                <w:b w:val="0"/>
                <w:i/>
                <w:color w:val="1F2933"/>
                <w:sz w:val="19"/>
              </w:rPr>
              <w:t>Clostridioides difficile</w:t>
            </w:r>
            <w:r>
              <w:rPr>
                <w:b w:val="0"/>
                <w:i w:val="0"/>
                <w:color w:val="1F2933"/>
                <w:sz w:val="19"/>
              </w:rPr>
              <w:t>, escabiose, herpes-zóster localizado, diarreias infecciosas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Luvas e avental ao entrar no quarto; quarto privativo ou coorte; equipamentos exclusivos (estetoscópio, termômetro)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Gotículas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Partículas &gt; 5 µm, alcance de cerca de 1 metro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Meningite meningocócica</w:t>
            </w:r>
            <w:r>
              <w:rPr>
                <w:b w:val="0"/>
                <w:i w:val="0"/>
                <w:color w:val="1F2933"/>
                <w:sz w:val="19"/>
              </w:rPr>
              <w:t>, coqueluche, influenza, caxumba, rubéola, difteria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Máscara cirúrgica</w:t>
            </w:r>
            <w:r>
              <w:rPr>
                <w:b w:val="0"/>
                <w:i w:val="0"/>
                <w:color w:val="1F2933"/>
                <w:sz w:val="19"/>
              </w:rPr>
              <w:t xml:space="preserve"> para o profissional (a menos de 1 m) e para o paciente no transporte; quarto privativo ou distância de 1 m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Aerossóis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Partículas ≤ 5 µm, ficam suspensas no ar</w:t>
            </w:r>
          </w:p>
        </w:tc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Tuberculose</w:t>
            </w:r>
            <w:r>
              <w:rPr>
                <w:b w:val="0"/>
                <w:i w:val="0"/>
                <w:color w:val="1F2933"/>
                <w:sz w:val="19"/>
              </w:rPr>
              <w:t xml:space="preserve"> pulmonar/laríngea, </w:t>
            </w:r>
            <w:r>
              <w:rPr>
                <w:b/>
                <w:i w:val="0"/>
                <w:color w:val="111111"/>
                <w:sz w:val="19"/>
              </w:rPr>
              <w:t>sarampo</w:t>
            </w:r>
            <w:r>
              <w:rPr>
                <w:b w:val="0"/>
                <w:i w:val="0"/>
                <w:color w:val="1F2933"/>
                <w:sz w:val="19"/>
              </w:rPr>
              <w:t xml:space="preserve">, </w:t>
            </w:r>
            <w:r>
              <w:rPr>
                <w:b/>
                <w:i w:val="0"/>
                <w:color w:val="111111"/>
                <w:sz w:val="19"/>
              </w:rPr>
              <w:t>varicela</w:t>
            </w:r>
            <w:r>
              <w:rPr>
                <w:b w:val="0"/>
                <w:i w:val="0"/>
                <w:color w:val="1F2933"/>
                <w:sz w:val="19"/>
              </w:rPr>
              <w:t xml:space="preserve"> e herpes-zóster disseminado</w:t>
            </w:r>
          </w:p>
        </w:tc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Máscara N95/PFF2</w:t>
            </w:r>
            <w:r>
              <w:rPr>
                <w:b w:val="0"/>
                <w:i w:val="0"/>
                <w:color w:val="1F2933"/>
                <w:sz w:val="19"/>
              </w:rPr>
              <w:t xml:space="preserve"> para o profissional; quarto privativo com porta fechada, pressão negativa e filtro HEPA, se disponível; máscara cirúrgica no paciente durante o transporte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13.3 Higienização das mãos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11111"/>
          <w:sz w:val="21"/>
        </w:rPr>
        <w:t>RDC ANVISA nº 42/2010</w:t>
      </w:r>
      <w:r>
        <w:rPr>
          <w:b w:val="0"/>
          <w:i w:val="0"/>
          <w:color w:val="1F2933"/>
          <w:sz w:val="21"/>
        </w:rPr>
        <w:t xml:space="preserve"> obriga a disponibilização de </w:t>
      </w:r>
      <w:r>
        <w:rPr>
          <w:b/>
          <w:i w:val="0"/>
          <w:color w:val="111111"/>
          <w:sz w:val="21"/>
        </w:rPr>
        <w:t>preparação alcoólica</w:t>
      </w:r>
      <w:r>
        <w:rPr>
          <w:b w:val="0"/>
          <w:i w:val="0"/>
          <w:color w:val="1F2933"/>
          <w:sz w:val="21"/>
        </w:rPr>
        <w:t xml:space="preserve"> para fricção antisséptica das mãos nos pontos de assistência. Os </w:t>
      </w:r>
      <w:r>
        <w:rPr>
          <w:b/>
          <w:i w:val="0"/>
          <w:color w:val="111111"/>
          <w:sz w:val="21"/>
        </w:rPr>
        <w:t>5 momentos</w:t>
      </w:r>
      <w:r>
        <w:rPr>
          <w:b w:val="0"/>
          <w:i w:val="0"/>
          <w:color w:val="1F2933"/>
          <w:sz w:val="21"/>
        </w:rPr>
        <w:t xml:space="preserve"> para a higiene das mãos (OMS):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1.</w:t>
      </w:r>
      <w:r>
        <w:rPr>
          <w:b w:val="0"/>
          <w:i w:val="0"/>
          <w:color w:val="1F2933"/>
          <w:sz w:val="21"/>
        </w:rPr>
        <w:t xml:space="preserve"> Antes de tocar o paciente.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2.</w:t>
      </w:r>
      <w:r>
        <w:rPr>
          <w:b w:val="0"/>
          <w:i w:val="0"/>
          <w:color w:val="1F2933"/>
          <w:sz w:val="21"/>
        </w:rPr>
        <w:t xml:space="preserve"> Antes de realizar procedimento limpo/asséptico.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3.</w:t>
      </w:r>
      <w:r>
        <w:rPr>
          <w:b w:val="0"/>
          <w:i w:val="0"/>
          <w:color w:val="1F2933"/>
          <w:sz w:val="21"/>
        </w:rPr>
        <w:t xml:space="preserve"> Após risco de exposição a fluidos corporais.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4.</w:t>
      </w:r>
      <w:r>
        <w:rPr>
          <w:b w:val="0"/>
          <w:i w:val="0"/>
          <w:color w:val="1F2933"/>
          <w:sz w:val="21"/>
        </w:rPr>
        <w:t xml:space="preserve"> Após tocar o paciente.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5.</w:t>
      </w:r>
      <w:r>
        <w:rPr>
          <w:b w:val="0"/>
          <w:i w:val="0"/>
          <w:color w:val="1F2933"/>
          <w:sz w:val="21"/>
        </w:rPr>
        <w:t xml:space="preserve"> Após tocar superfícies próximas ao paciente.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Técnica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Duração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Indicação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Fricção antisséptica com preparação alcoólica</w:t>
            </w:r>
          </w:p>
        </w:tc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20 a 30 segundos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Mãos sem sujidade visível (método preferencial na rotina)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Higiene simples com água e sabonete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40 a 60 segundos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Mãos visivelmente sujas ou com fluidos; após o banheiro; antes de comer; contato com </w:t>
            </w:r>
            <w:r>
              <w:rPr>
                <w:b w:val="0"/>
                <w:i/>
                <w:color w:val="1F2933"/>
                <w:sz w:val="19"/>
              </w:rPr>
              <w:t>C. difficile</w:t>
            </w:r>
            <w:r>
              <w:rPr>
                <w:b w:val="0"/>
                <w:i w:val="0"/>
                <w:color w:val="1F2933"/>
                <w:sz w:val="19"/>
              </w:rPr>
              <w:t xml:space="preserve"> e outros esporulados (o álcool não elimina esporos)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Antissepsia cirúrgica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3 a 5 minutos (degermante)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Antes de procedimentos cirúrgicos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As </w:t>
      </w:r>
      <w:r>
        <w:rPr>
          <w:b/>
          <w:i w:val="0"/>
          <w:color w:val="111111"/>
          <w:sz w:val="21"/>
        </w:rPr>
        <w:t>luvas não substituem</w:t>
      </w:r>
      <w:r>
        <w:rPr>
          <w:b w:val="0"/>
          <w:i w:val="0"/>
          <w:color w:val="1F2933"/>
          <w:sz w:val="21"/>
        </w:rPr>
        <w:t xml:space="preserve"> a higiene das mãos, que deve ser feita antes de calçá-las e após retirá-las.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13.4 Equipamentos de proteção individual (EPI)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EPI é todo dispositivo de uso individual destinado à proteção contra riscos à segurança e saúde no trabalho (NR 6). Deve ter </w:t>
      </w:r>
      <w:r>
        <w:rPr>
          <w:b/>
          <w:i w:val="0"/>
          <w:color w:val="111111"/>
          <w:sz w:val="21"/>
        </w:rPr>
        <w:t>Certificado de Aprovação (CA)</w:t>
      </w:r>
      <w:r>
        <w:rPr>
          <w:b w:val="0"/>
          <w:i w:val="0"/>
          <w:color w:val="1F2933"/>
          <w:sz w:val="21"/>
        </w:rPr>
        <w:t xml:space="preserve"> e ser fornecido </w:t>
      </w:r>
      <w:r>
        <w:rPr>
          <w:b/>
          <w:i w:val="0"/>
          <w:color w:val="111111"/>
          <w:sz w:val="21"/>
        </w:rPr>
        <w:t>gratuitamente</w:t>
      </w:r>
      <w:r>
        <w:rPr>
          <w:b w:val="0"/>
          <w:i w:val="0"/>
          <w:color w:val="1F2933"/>
          <w:sz w:val="21"/>
        </w:rPr>
        <w:t xml:space="preserve"> pelo empregador, que também deve treinar e fiscalizar o uso; o trabalhador deve usar, guardar e conservar o EPI.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Sequência de paramentação (colocação):</w:t>
      </w:r>
      <w:r>
        <w:rPr>
          <w:b w:val="0"/>
          <w:i w:val="0"/>
          <w:color w:val="1F2933"/>
          <w:sz w:val="21"/>
        </w:rPr>
        <w:t xml:space="preserve"> avental → máscara (ou respirador) → óculos ou protetor facial → luvas.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Sequência de desparamentação (retirada):</w:t>
      </w:r>
      <w:r>
        <w:rPr>
          <w:b w:val="0"/>
          <w:i w:val="0"/>
          <w:color w:val="1F2933"/>
          <w:sz w:val="21"/>
        </w:rPr>
        <w:t xml:space="preserve"> luvas → óculos/protetor facial → avental → máscara (retirada fora do quarto, pelas tiras) → higiene das mãos. Na retirada, o objetivo é tocar o mínimo possível nas partes externas contaminadas.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 respirador </w:t>
      </w:r>
      <w:r>
        <w:rPr>
          <w:b/>
          <w:i w:val="0"/>
          <w:color w:val="111111"/>
          <w:sz w:val="21"/>
        </w:rPr>
        <w:t>N95/PFF2</w:t>
      </w:r>
      <w:r>
        <w:rPr>
          <w:b w:val="0"/>
          <w:i w:val="0"/>
          <w:color w:val="1F2933"/>
          <w:sz w:val="21"/>
        </w:rPr>
        <w:t xml:space="preserve"> deve passar por teste de vedação a cada uso e pode ser reutilizado pelo mesmo profissional, se íntegro, seco e limpo, conforme o protocolo da instituição.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13.5 Limpeza e desinfecção de superfícies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Limpeza concorrente:</w:t>
      </w:r>
      <w:r>
        <w:rPr>
          <w:b w:val="0"/>
          <w:i w:val="0"/>
          <w:color w:val="1F2933"/>
          <w:sz w:val="21"/>
        </w:rPr>
        <w:t xml:space="preserve"> diária, feita com o paciente internado, nas superfícies próximas (mobiliário, grades da cama, bancadas, pisos e equipamentos).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Limpeza terminal:</w:t>
      </w:r>
      <w:r>
        <w:rPr>
          <w:b w:val="0"/>
          <w:i w:val="0"/>
          <w:color w:val="1F2933"/>
          <w:sz w:val="21"/>
        </w:rPr>
        <w:t xml:space="preserve"> completa, após </w:t>
      </w:r>
      <w:r>
        <w:rPr>
          <w:b/>
          <w:i w:val="0"/>
          <w:color w:val="111111"/>
          <w:sz w:val="21"/>
        </w:rPr>
        <w:t>alta, óbito ou transferência</w:t>
      </w:r>
      <w:r>
        <w:rPr>
          <w:b w:val="0"/>
          <w:i w:val="0"/>
          <w:color w:val="1F2933"/>
          <w:sz w:val="21"/>
        </w:rPr>
        <w:t>, ou em internações longas (programada, em geral semanal ou quinzenal conforme a área), abrangendo paredes, teto, piso, mobiliário e equipamentos.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Princípios: do </w:t>
      </w:r>
      <w:r>
        <w:rPr>
          <w:b/>
          <w:i w:val="0"/>
          <w:color w:val="111111"/>
          <w:sz w:val="21"/>
        </w:rPr>
        <w:t>mais limpo para o mais sujo</w:t>
      </w:r>
      <w:r>
        <w:rPr>
          <w:b w:val="0"/>
          <w:i w:val="0"/>
          <w:color w:val="1F2933"/>
          <w:sz w:val="21"/>
        </w:rPr>
        <w:t xml:space="preserve">, de </w:t>
      </w:r>
      <w:r>
        <w:rPr>
          <w:b/>
          <w:i w:val="0"/>
          <w:color w:val="111111"/>
          <w:sz w:val="21"/>
        </w:rPr>
        <w:t>cima para baixo</w:t>
      </w:r>
      <w:r>
        <w:rPr>
          <w:b w:val="0"/>
          <w:i w:val="0"/>
          <w:color w:val="1F2933"/>
          <w:sz w:val="21"/>
        </w:rPr>
        <w:t xml:space="preserve">, de </w:t>
      </w:r>
      <w:r>
        <w:rPr>
          <w:b/>
          <w:i w:val="0"/>
          <w:color w:val="111111"/>
          <w:sz w:val="21"/>
        </w:rPr>
        <w:t>dentro para fora</w:t>
      </w:r>
      <w:r>
        <w:rPr>
          <w:b w:val="0"/>
          <w:i w:val="0"/>
          <w:color w:val="1F2933"/>
          <w:sz w:val="21"/>
        </w:rPr>
        <w:t xml:space="preserve"> (do fundo do quarto em direção à porta) e em </w:t>
      </w:r>
      <w:r>
        <w:rPr>
          <w:b/>
          <w:i w:val="0"/>
          <w:color w:val="111111"/>
          <w:sz w:val="21"/>
        </w:rPr>
        <w:t>sentido unidirecional</w:t>
      </w:r>
      <w:r>
        <w:rPr>
          <w:b w:val="0"/>
          <w:i w:val="0"/>
          <w:color w:val="1F2933"/>
          <w:sz w:val="21"/>
        </w:rPr>
        <w:t xml:space="preserve">; usar técnica de </w:t>
      </w:r>
      <w:r>
        <w:rPr>
          <w:b/>
          <w:i w:val="0"/>
          <w:color w:val="111111"/>
          <w:sz w:val="21"/>
        </w:rPr>
        <w:t>dois baldes</w:t>
      </w:r>
      <w:r>
        <w:rPr>
          <w:b w:val="0"/>
          <w:i w:val="0"/>
          <w:color w:val="1F2933"/>
          <w:sz w:val="21"/>
        </w:rPr>
        <w:t xml:space="preserve"> (um com solução e outro com água para enxágue) ou sistema de mop; </w:t>
      </w:r>
      <w:r>
        <w:rPr>
          <w:b/>
          <w:i w:val="0"/>
          <w:color w:val="111111"/>
          <w:sz w:val="21"/>
        </w:rPr>
        <w:t>nunca varrer a seco</w:t>
      </w:r>
      <w:r>
        <w:rPr>
          <w:b w:val="0"/>
          <w:i w:val="0"/>
          <w:color w:val="1F2933"/>
          <w:sz w:val="21"/>
        </w:rPr>
        <w:t xml:space="preserve"> (dispersa microrganismos).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Matéria orgânica em superfícies (respingos de sangue):</w:t>
      </w:r>
      <w:r>
        <w:rPr>
          <w:b w:val="0"/>
          <w:i w:val="0"/>
          <w:color w:val="1F2933"/>
          <w:sz w:val="21"/>
        </w:rPr>
        <w:t xml:space="preserve"> remover com papel absorvente usando luvas, depois limpar e aplicar desinfetante (como hipoclorito de sódio a 1% ou desinfetante padronizado), conforme o protocolo.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Desinfetantes de superfície mais usados: </w:t>
      </w:r>
      <w:r>
        <w:rPr>
          <w:b/>
          <w:i w:val="0"/>
          <w:color w:val="111111"/>
          <w:sz w:val="21"/>
        </w:rPr>
        <w:t>álcool 70%</w:t>
      </w:r>
      <w:r>
        <w:rPr>
          <w:b w:val="0"/>
          <w:i w:val="0"/>
          <w:color w:val="1F2933"/>
          <w:sz w:val="21"/>
        </w:rPr>
        <w:t xml:space="preserve"> (fricção por cerca de 30 segundos em superfícies pequenas e limpas), </w:t>
      </w:r>
      <w:r>
        <w:rPr>
          <w:b/>
          <w:i w:val="0"/>
          <w:color w:val="111111"/>
          <w:sz w:val="21"/>
        </w:rPr>
        <w:t>hipoclorito de sódio</w:t>
      </w:r>
      <w:r>
        <w:rPr>
          <w:b w:val="0"/>
          <w:i w:val="0"/>
          <w:color w:val="1F2933"/>
          <w:sz w:val="21"/>
        </w:rPr>
        <w:t xml:space="preserve"> (corrosivo para metais), quaternário de amônio, ácido peracético. A classificação de Spaulding para artigos foi detalhada no Assunto 2.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13.6 Gerenciamento de resíduos de serviços de saúde (RSS)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11111"/>
          <w:sz w:val="21"/>
        </w:rPr>
        <w:t>RDC ANVISA nº 222/2018</w:t>
      </w:r>
      <w:r>
        <w:rPr>
          <w:b w:val="0"/>
          <w:i w:val="0"/>
          <w:color w:val="1F2933"/>
          <w:sz w:val="21"/>
        </w:rPr>
        <w:t xml:space="preserve"> regulamenta as boas práticas de gerenciamento, e a </w:t>
      </w:r>
      <w:r>
        <w:rPr>
          <w:b/>
          <w:i w:val="0"/>
          <w:color w:val="111111"/>
          <w:sz w:val="21"/>
        </w:rPr>
        <w:t>Resolução CONAMA nº 358/2005</w:t>
      </w:r>
      <w:r>
        <w:rPr>
          <w:b w:val="0"/>
          <w:i w:val="0"/>
          <w:color w:val="1F2933"/>
          <w:sz w:val="21"/>
        </w:rPr>
        <w:t xml:space="preserve"> trata do tratamento e da disposição final. Todo serviço deve ter um </w:t>
      </w:r>
      <w:r>
        <w:rPr>
          <w:b/>
          <w:i w:val="0"/>
          <w:color w:val="111111"/>
          <w:sz w:val="21"/>
        </w:rPr>
        <w:t>Plano de Gerenciamento de Resíduos de Serviços de Saúde (PGRSS)</w:t>
      </w:r>
      <w:r>
        <w:rPr>
          <w:b w:val="0"/>
          <w:i w:val="0"/>
          <w:color w:val="1F2933"/>
          <w:sz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Grupo</w:t>
            </w:r>
          </w:p>
        </w:tc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Tipo</w:t>
            </w:r>
          </w:p>
        </w:tc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Exemplos</w:t>
            </w:r>
          </w:p>
        </w:tc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Acondicionamento / símbolo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Infectante (biológico)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Bolsas de sangue, culturas, peças anatômicas, materiais com sangue ou fluidos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Saco </w:t>
            </w:r>
            <w:r>
              <w:rPr>
                <w:b/>
                <w:i w:val="0"/>
                <w:color w:val="111111"/>
                <w:sz w:val="19"/>
              </w:rPr>
              <w:t>branco leitoso</w:t>
            </w:r>
            <w:r>
              <w:rPr>
                <w:b w:val="0"/>
                <w:i w:val="0"/>
                <w:color w:val="1F2933"/>
                <w:sz w:val="19"/>
              </w:rPr>
              <w:t xml:space="preserve"> com símbolo de substância infectante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B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Químico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Medicamentos vencidos, quimioterápicos, reagentes, saneantes, mercúrio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Recipiente compatível, identificado com símbolo de risco químico (losango)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C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Radioativo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Rejeitos de medicina nuclear e radioterapia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Recipiente blindado, símbolo internacional de radiação (trifólio magenta/roxo)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D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Comum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Papel, restos de alimentos sem contato com fluidos, fraldas de uso comum (conforme legislação), gesso sem sangue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Saco preto ou cinza; recicláveis separados por cor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E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Perfurocortante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Agulhas, lâminas de bisturi, ampolas de vidro, lancetas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Caixa rígida, resistente à perfuração e vazamento, com símbolo de infectante e inscrição "perfurocortante"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caixa de perfurocortante deve ser preenchida no máximo até </w:t>
      </w:r>
      <w:r>
        <w:rPr>
          <w:b/>
          <w:i w:val="0"/>
          <w:color w:val="111111"/>
          <w:sz w:val="21"/>
        </w:rPr>
        <w:t>3/4</w:t>
      </w:r>
      <w:r>
        <w:rPr>
          <w:b w:val="0"/>
          <w:i w:val="0"/>
          <w:color w:val="1F2933"/>
          <w:sz w:val="21"/>
        </w:rPr>
        <w:t xml:space="preserve"> da capacidade (ou até a linha indicada pelo fabricante), mantida suspensa ou em suporte, longe do piso, e o descarte deve ser feito </w:t>
      </w:r>
      <w:r>
        <w:rPr>
          <w:b/>
          <w:i w:val="0"/>
          <w:color w:val="111111"/>
          <w:sz w:val="21"/>
        </w:rPr>
        <w:t>imediatamente</w:t>
      </w:r>
      <w:r>
        <w:rPr>
          <w:b w:val="0"/>
          <w:i w:val="0"/>
          <w:color w:val="1F2933"/>
          <w:sz w:val="21"/>
        </w:rPr>
        <w:t xml:space="preserve"> após o uso, pelo próprio profissional, </w:t>
      </w:r>
      <w:r>
        <w:rPr>
          <w:b/>
          <w:i w:val="0"/>
          <w:color w:val="111111"/>
          <w:sz w:val="21"/>
        </w:rPr>
        <w:t>sem reencapar</w:t>
      </w:r>
      <w:r>
        <w:rPr>
          <w:b w:val="0"/>
          <w:i w:val="0"/>
          <w:color w:val="1F2933"/>
          <w:sz w:val="21"/>
        </w:rPr>
        <w:t xml:space="preserve"> a agulha.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13.7 Acidente com material biológico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Conduta imediata: </w:t>
      </w:r>
      <w:r>
        <w:rPr>
          <w:b/>
          <w:i w:val="0"/>
          <w:color w:val="111111"/>
          <w:sz w:val="21"/>
        </w:rPr>
        <w:t>lavar</w:t>
      </w:r>
      <w:r>
        <w:rPr>
          <w:b w:val="0"/>
          <w:i w:val="0"/>
          <w:color w:val="1F2933"/>
          <w:sz w:val="21"/>
        </w:rPr>
        <w:t xml:space="preserve"> exaustivamente o local com </w:t>
      </w:r>
      <w:r>
        <w:rPr>
          <w:b/>
          <w:i w:val="0"/>
          <w:color w:val="111111"/>
          <w:sz w:val="21"/>
        </w:rPr>
        <w:t>água e sabão</w:t>
      </w:r>
      <w:r>
        <w:rPr>
          <w:b w:val="0"/>
          <w:i w:val="0"/>
          <w:color w:val="1F2933"/>
          <w:sz w:val="21"/>
        </w:rPr>
        <w:t xml:space="preserve"> (pele) ou </w:t>
      </w:r>
      <w:r>
        <w:rPr>
          <w:b/>
          <w:i w:val="0"/>
          <w:color w:val="111111"/>
          <w:sz w:val="21"/>
        </w:rPr>
        <w:t>soro fisiológico/água</w:t>
      </w:r>
      <w:r>
        <w:rPr>
          <w:b w:val="0"/>
          <w:i w:val="0"/>
          <w:color w:val="1F2933"/>
          <w:sz w:val="21"/>
        </w:rPr>
        <w:t xml:space="preserve"> (mucosas); </w:t>
      </w:r>
      <w:r>
        <w:rPr>
          <w:b/>
          <w:i w:val="0"/>
          <w:color w:val="111111"/>
          <w:sz w:val="21"/>
        </w:rPr>
        <w:t>não espremer</w:t>
      </w:r>
      <w:r>
        <w:rPr>
          <w:b w:val="0"/>
          <w:i w:val="0"/>
          <w:color w:val="1F2933"/>
          <w:sz w:val="21"/>
        </w:rPr>
        <w:t xml:space="preserve">, não fazer cortes nem aplicar substâncias cáusticas (hipoclorito, éter). Comunicar a chefia imediatamente, procurar atendimento de referência para avaliação do risco, testagem do paciente-fonte (testes rápidos de HIV, hepatites B e C) e do acidentado, e início da </w:t>
      </w:r>
      <w:r>
        <w:rPr>
          <w:b/>
          <w:i w:val="0"/>
          <w:color w:val="111111"/>
          <w:sz w:val="21"/>
        </w:rPr>
        <w:t>PEP</w:t>
      </w:r>
      <w:r>
        <w:rPr>
          <w:b w:val="0"/>
          <w:i w:val="0"/>
          <w:color w:val="1F2933"/>
          <w:sz w:val="21"/>
        </w:rPr>
        <w:t xml:space="preserve"> idealmente nas </w:t>
      </w:r>
      <w:r>
        <w:rPr>
          <w:b/>
          <w:i w:val="0"/>
          <w:color w:val="111111"/>
          <w:sz w:val="21"/>
        </w:rPr>
        <w:t>2 primeiras horas</w:t>
      </w:r>
      <w:r>
        <w:rPr>
          <w:b w:val="0"/>
          <w:i w:val="0"/>
          <w:color w:val="1F2933"/>
          <w:sz w:val="21"/>
        </w:rPr>
        <w:t xml:space="preserve"> (no máximo 72 h). Notificar no </w:t>
      </w:r>
      <w:r>
        <w:rPr>
          <w:b/>
          <w:i w:val="0"/>
          <w:color w:val="111111"/>
          <w:sz w:val="21"/>
        </w:rPr>
        <w:t>SINAN</w:t>
      </w:r>
      <w:r>
        <w:rPr>
          <w:b w:val="0"/>
          <w:i w:val="0"/>
          <w:color w:val="1F2933"/>
          <w:sz w:val="21"/>
        </w:rPr>
        <w:t xml:space="preserve"> e emitir a </w:t>
      </w:r>
      <w:r>
        <w:rPr>
          <w:b/>
          <w:i w:val="0"/>
          <w:color w:val="111111"/>
          <w:sz w:val="21"/>
        </w:rPr>
        <w:t>CAT</w:t>
      </w:r>
      <w:r>
        <w:rPr>
          <w:b w:val="0"/>
          <w:i w:val="0"/>
          <w:color w:val="1F2933"/>
          <w:sz w:val="21"/>
        </w:rPr>
        <w:t xml:space="preserve"> (Comunicação de Acidente de Trabalho). Acompanhamento sorológico após o acidente.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2. PONTOS QUE MAIS CAEM EM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NR 32: vacinação contra hepatite B, proibição de reencape e de adornos.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Precauções padrão para todos os pacientes.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Contato × gotículas (máscara cirúrgica) × aerossóis (N95) e exemplos.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5 momentos da higiene das mãos; tempos (álcool 20–30 s, água e sabão 40–60 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Água e sabão em </w:t>
      </w:r>
      <w:r>
        <w:rPr>
          <w:b w:val="0"/>
          <w:i/>
          <w:color w:val="1F2933"/>
          <w:sz w:val="21"/>
        </w:rPr>
        <w:t>C. difficile</w:t>
      </w:r>
      <w:r>
        <w:rPr>
          <w:b w:val="0"/>
          <w:i w:val="0"/>
          <w:color w:val="1F2933"/>
          <w:sz w:val="21"/>
        </w:rPr>
        <w:t xml:space="preserve"> e mãos visivelmente sujas.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Sequência de colocação e retirada do EPI.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Limpeza concorrente × terminal; do limpo para o sujo; nunca varrer a seco.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Grupos de resíduos A a E (RDC 222/2018); caixa de perfurocortante até 3/4.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Conduta no acidente com material biológico; PEP em até 72 h.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3. MACETES E DICAS DE MEMORIZAÇÃO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"Aerossol é TSV com N95"</w:t>
      </w:r>
      <w:r>
        <w:rPr>
          <w:b w:val="0"/>
          <w:i w:val="0"/>
          <w:color w:val="1F2933"/>
          <w:sz w:val="21"/>
        </w:rPr>
        <w:t>: Tuberculose, Sarampo, Varicela.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"Gotícula é Gripe, Meningite e Coqueluche, com máscara cirúrgica"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"Contato é bactéria resistente, com luva e avental"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"ABQRCE": A biológico, B químico, C radioativo, D comum, E perfurocortante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"Luva sai primeiro, máscara sai por último"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"Furou? Lava, não espreme, comunica"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"Álcool não mata esporo"</w:t>
      </w:r>
      <w:r>
        <w:rPr>
          <w:b w:val="0"/>
          <w:i w:val="0"/>
          <w:color w:val="1F2933"/>
          <w:sz w:val="21"/>
        </w:rPr>
        <w:t xml:space="preserve">: </w:t>
      </w:r>
      <w:r>
        <w:rPr>
          <w:b w:val="0"/>
          <w:i/>
          <w:color w:val="1F2933"/>
          <w:sz w:val="21"/>
        </w:rPr>
        <w:t>C. difficile</w:t>
      </w:r>
      <w:r>
        <w:rPr>
          <w:b w:val="0"/>
          <w:i w:val="0"/>
          <w:color w:val="1F2933"/>
          <w:sz w:val="21"/>
        </w:rPr>
        <w:t xml:space="preserve"> pede água e sabão.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4. QUESTÕES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Paciente internado com suspeita de tuberculose pulmonar bacilífera deve ser mantido em precaução: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de contato, com luvas e avental.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por gotículas, com máscara cirúrgica para os profissionais.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por aerossóis, com quarto privativo de porta fechada e uso de máscara N95/PFF2 pelos profissionais.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padrão apenas, sem medidas adicionais.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reversa, para proteção do paciente.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precaução de contato é indicada para multirresistentes e outras doenças de transmissão por contato.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máscara cirúrgica não protege contra aerossóis.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TB pulmonar é transmitida por aerossóis e exige respirador N95/PFF2 e quarto privativo.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as precauções padrão são insuficientes nesse caso.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isolamento reverso protege pacientes imunodeprimidos, como neutropênicos.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Segundo a RDC ANVISA nº 222/2018, agulhas, lâminas de bisturi e ampolas de vidro pertencem ao grupo: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B.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C.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D.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E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grupo A reúne resíduos com possível presença de agentes biológicos.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grupo B reúne resíduos químicos.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grupo C reúne rejeitos radioativos.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grupo D é o de resíduos comuns.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o grupo E é o dos materiais perfurocortantes ou escarificantes.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Durante a retirada dos EPI ao sair do quarto de um paciente em precaução de contato e gotículas, a sequência recomendada é: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máscara, avental, óculos e luvas.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luvas, óculos ou protetor facial, avental, máscara e higiene das mãos.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avental, luvas, máscara e óculos.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óculos, máscara, luvas e avental.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não há sequência definida.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retirar a máscara primeiro, com as luvas contaminadas, aumenta o risco de autocontaminação.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as luvas (mais contaminadas) saem primeiro e a máscara por último, seguida da higiene das mãos.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sequência inadequada.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sequência inadequada.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há sequência padronizada para reduzir a contaminação.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Após se furar com agulha utilizada em paciente, o técnico em enfermagem deve, de imediato: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espremer o local para retirar o sangue contaminado.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aplicar hipoclorito de sódio sobre o ferimento.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lavar exaustivamente o local com água e sabão, comunicar a chefia e procurar o serviço de referência para avaliação da profilaxia.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aguardar o fim do plantão para relatar o ocorrido.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apenas cobrir o local com curativo.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espremer aumenta a área exposta e o risco de lesão.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substâncias cáusticas são contraindicadas.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lavagem, comunicação e avaliação rápida para PEP (idealmente em até 2 h, no máximo 72 h).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demora compromete a eficácia da profilaxia.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é necessária avaliação do risco e notificação.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Sobre a higienização das mãos, é correto afirmar: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o uso de luvas dispensa a higiene das mãos.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 fricção com preparação alcoólica é indicada quando as mãos estão visivelmente sujas de sangue.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 xml:space="preserve">a higiene com água e sabonete deve durar de 40 a 60 segundos e é obrigatória no cuidado a pacientes com </w:t>
      </w:r>
      <w:r>
        <w:rPr>
          <w:b w:val="0"/>
          <w:i/>
          <w:color w:val="1F2933"/>
          <w:sz w:val="20"/>
        </w:rPr>
        <w:t>Clostridioides difficile</w:t>
      </w:r>
      <w:r>
        <w:rPr>
          <w:b w:val="0"/>
          <w:i w:val="0"/>
          <w:color w:val="1F2933"/>
          <w:sz w:val="20"/>
        </w:rPr>
        <w:t>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 higiene das mãos só é necessária após tocar o paciente.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 fricção alcoólica deve durar no mínimo 3 minutos.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as luvas não substituem a higiene das mãos.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com sujidade visível, a indicação é água e sabonete.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o álcool não elimina esporos; a lavagem com água e sabão remove mecanicamente o agente.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são cinco momentos, inclusive antes de tocar o paciente.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fricção alcoólica dura de 20 a 30 segundos.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5. REVISÃO DO CAPÍTULO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Resumo em tópicos: biossegurança e NR 32; riscos ocupacionais; precauções padrão e por transmissão; higiene das mãos (RDC 42/2010, 5 momentos, técnicas); EPI e sequências; limpeza concorrente e terminal; resíduos (RDC 222/2018); acidente com material biológico.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Quadro-resumo: álcool 20–30 s; água e sabão 40–60 s; caixa de perfurocortante até 3/4; PEP em até 72 h; aerossóis – N95; gotículas – máscara cirúrgica.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Pegadinhas: reencapar agulha; máscara cirúrgica para tuberculose; álcool em mãos sujas; luva substituindo higiene; espremer o local do acidente.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Erros comuns: confundir grupo A com grupo E; varrer o piso a seco; retirar a máscara antes das luvas.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6"/>
      </w:rPr>
      <w:t>TÉCNICO EM ENFERMAGEM (SES-TO)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