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both"/>
      </w:pPr>
    </w:p>
    <w:p>
      <w:pPr>
        <w:spacing w:before="0" w:after="80"/>
        <w:jc w:val="center"/>
      </w:pPr>
      <w:r>
        <w:drawing>
          <wp:inline xmlns:a="http://schemas.openxmlformats.org/drawingml/2006/main" xmlns:pic="http://schemas.openxmlformats.org/drawingml/2006/picture">
            <wp:extent cx="3240000" cy="1013306"/>
            <wp:docPr id="1" name="Picture 1"/>
            <wp:cNvGraphicFramePr>
              <a:graphicFrameLocks noChangeAspect="1"/>
            </wp:cNvGraphicFramePr>
            <a:graphic>
              <a:graphicData uri="http://schemas.openxmlformats.org/drawingml/2006/picture">
                <pic:pic>
                  <pic:nvPicPr>
                    <pic:cNvPr id="0" name="logo_projeto.png"/>
                    <pic:cNvPicPr/>
                  </pic:nvPicPr>
                  <pic:blipFill>
                    <a:blip r:embed="rId11"/>
                    <a:stretch>
                      <a:fillRect/>
                    </a:stretch>
                  </pic:blipFill>
                  <pic:spPr>
                    <a:xfrm>
                      <a:off x="0" y="0"/>
                      <a:ext cx="3240000" cy="1013306"/>
                    </a:xfrm>
                    <a:prstGeom prst="rect"/>
                  </pic:spPr>
                </pic:pic>
              </a:graphicData>
            </a:graphic>
          </wp:inline>
        </w:drawing>
      </w:r>
    </w:p>
    <w:p>
      <w:pPr>
        <w:spacing w:before="0" w:after="800"/>
        <w:jc w:val="center"/>
      </w:pPr>
      <w:r>
        <w:rPr>
          <w:b/>
          <w:i w:val="0"/>
          <w:color w:val="FDB404"/>
          <w:sz w:val="22"/>
        </w:rPr>
        <w:t>VEM GABARITAR COM A GENTE</w:t>
      </w:r>
    </w:p>
    <w:p>
      <w:pPr>
        <w:spacing w:before="0" w:after="80"/>
        <w:jc w:val="center"/>
      </w:pPr>
      <w:r>
        <w:rPr>
          <w:b/>
          <w:i w:val="0"/>
          <w:color w:val="111111"/>
          <w:sz w:val="60"/>
        </w:rPr>
        <w:t>APOSTILA</w:t>
      </w:r>
    </w:p>
    <w:tbl>
      <w:tblPr>
        <w:tblW w:type="auto" w:w="0"/>
        <w:jc w:val="center"/>
        <w:tblLook w:firstColumn="1" w:firstRow="1" w:lastColumn="0" w:lastRow="0" w:noHBand="0" w:noVBand="1" w:val="04A0"/>
      </w:tblPr>
      <w:tblGrid>
        <w:gridCol w:w="9638"/>
      </w:tblGrid>
      <w:tr>
        <w:tc>
          <w:tcPr>
            <w:tcW w:type="dxa" w:w="9638"/>
            <w:shd w:val="clear" w:color="auto" w:fill="111111"/>
          </w:tcPr>
          <w:p>
            <w:pPr>
              <w:jc w:val="center"/>
            </w:pPr>
            <w:r>
              <w:rPr>
                <w:b/>
                <w:i w:val="0"/>
                <w:color w:val="FDB404"/>
                <w:sz w:val="36"/>
              </w:rPr>
              <w:t>TÉCNICO EM ENFERMAGEM</w:t>
            </w:r>
          </w:p>
        </w:tc>
      </w:tr>
    </w:tbl>
    <w:p>
      <w:pPr>
        <w:spacing w:before="0" w:after="280"/>
        <w:jc w:val="both"/>
      </w:pPr>
    </w:p>
    <w:p>
      <w:pPr>
        <w:spacing w:before="0" w:after="600"/>
        <w:jc w:val="center"/>
      </w:pPr>
      <w:r>
        <w:rPr>
          <w:b/>
          <w:i w:val="0"/>
          <w:color w:val="111111"/>
          <w:sz w:val="30"/>
        </w:rPr>
        <w:t>FUNDAMENTOS DE ENFERMAGEM: ANATOMIA, FISIOLOGIA, SEMIOLOGIA, PROCEDIMENTOS E TÉCNICAS</w:t>
      </w:r>
    </w:p>
    <w:p>
      <w:pPr>
        <w:spacing w:before="0" w:after="40"/>
        <w:jc w:val="center"/>
      </w:pPr>
      <w:r>
        <w:rPr>
          <w:b/>
          <w:i w:val="0"/>
          <w:color w:val="111111"/>
          <w:sz w:val="28"/>
        </w:rPr>
        <w:t>Secretaria de Estado da Saúde do Tocantins</w:t>
      </w:r>
    </w:p>
    <w:p>
      <w:pPr>
        <w:spacing w:before="0" w:after="800"/>
        <w:jc w:val="center"/>
      </w:pPr>
      <w:r>
        <w:rPr>
          <w:b w:val="0"/>
          <w:i w:val="0"/>
          <w:color w:val="1F2933"/>
          <w:sz w:val="24"/>
        </w:rPr>
        <w:t>Cargo: Técnico em Enfermagem · Assunto 1 do edital · 2026</w:t>
      </w:r>
    </w:p>
    <w:p>
      <w:pPr>
        <w:spacing w:before="0" w:after="80"/>
        <w:jc w:val="center"/>
      </w:pPr>
      <w:r>
        <w:rPr>
          <w:b/>
          <w:i/>
          <w:color w:val="111111"/>
          <w:sz w:val="24"/>
        </w:rPr>
        <w:t>“O crescimento mora no desconforto.”</w:t>
      </w:r>
    </w:p>
    <w:p>
      <w:pPr>
        <w:spacing w:before="0" w:after="80"/>
        <w:jc w:val="center"/>
      </w:pPr>
      <w:r>
        <w:rPr>
          <w:b w:val="0"/>
          <w:i w:val="0"/>
          <w:color w:val="1F2933"/>
          <w:sz w:val="20"/>
        </w:rPr>
        <w:t>@projeto.gabaritando</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1. RESUMO TEÓRICO</w:t>
            </w:r>
          </w:p>
        </w:tc>
      </w:tr>
    </w:tbl>
    <w:p>
      <w:pPr>
        <w:spacing w:before="0" w:after="40"/>
        <w:jc w:val="both"/>
      </w:pPr>
    </w:p>
    <w:p>
      <w:pPr>
        <w:spacing w:before="160" w:after="60"/>
        <w:jc w:val="both"/>
      </w:pPr>
      <w:r>
        <w:rPr>
          <w:b/>
          <w:i w:val="0"/>
          <w:color w:val="FDB404"/>
          <w:sz w:val="25"/>
        </w:rPr>
        <w:t xml:space="preserve">■ </w:t>
      </w:r>
      <w:r>
        <w:rPr>
          <w:b/>
          <w:i w:val="0"/>
          <w:color w:val="111111"/>
          <w:sz w:val="25"/>
        </w:rPr>
        <w:t>1.1 Anatomia e fisiologia essenciais</w:t>
      </w:r>
    </w:p>
    <w:p>
      <w:pPr>
        <w:spacing w:before="0" w:after="80"/>
        <w:jc w:val="both"/>
      </w:pPr>
      <w:r>
        <w:rPr>
          <w:b w:val="0"/>
          <w:i w:val="0"/>
          <w:color w:val="1F2933"/>
          <w:sz w:val="21"/>
        </w:rPr>
        <w:t>O corpo humano é organizado em níveis: células → tecidos → órgãos → sistemas. Para a prova de Técnico em Enfermagem, interessam sobretudo os sistemas ligados aos procedimentos do dia a dia: cardiovascular, respiratório, urinário, digestório, tegumentar e nervoso.</w:t>
      </w:r>
    </w:p>
    <w:p>
      <w:pPr>
        <w:spacing w:before="0" w:after="80"/>
        <w:jc w:val="both"/>
      </w:pPr>
      <w:r>
        <w:rPr>
          <w:b/>
          <w:i w:val="0"/>
          <w:color w:val="111111"/>
          <w:sz w:val="21"/>
        </w:rPr>
        <w:t>Sistema cardiovascular.</w:t>
      </w:r>
      <w:r>
        <w:rPr>
          <w:b w:val="0"/>
          <w:i w:val="0"/>
          <w:color w:val="1F2933"/>
          <w:sz w:val="21"/>
        </w:rPr>
        <w:t xml:space="preserve"> O coração tem quatro câmaras: dois átrios e dois ventrículos. O lado direito recebe sangue venoso (pobre em O2) pelas veias cavas e o envia aos pulmões pela artéria pulmonar (pequena circulação). O lado esquerdo recebe sangue arterial pelas veias pulmonares e o distribui ao corpo pela aorta (grande circulação). Atenção: a artéria pulmonar é a única artéria que transporta sangue venoso, e as veias pulmonares são as únicas veias que transportam sangue arterial. Valvas: tricúspide (entre AD e VD), pulmonar, mitral ou bicúspide (entre AE e VE) e aórtica.</w:t>
      </w:r>
    </w:p>
    <w:p>
      <w:pPr>
        <w:spacing w:before="0" w:after="80"/>
        <w:jc w:val="both"/>
      </w:pPr>
      <w:r>
        <w:rPr>
          <w:b/>
          <w:i w:val="0"/>
          <w:color w:val="111111"/>
          <w:sz w:val="21"/>
        </w:rPr>
        <w:t>Sistema respiratório.</w:t>
      </w:r>
      <w:r>
        <w:rPr>
          <w:b w:val="0"/>
          <w:i w:val="0"/>
          <w:color w:val="1F2933"/>
          <w:sz w:val="21"/>
        </w:rPr>
        <w:t xml:space="preserve"> Vias aéreas superiores (nariz, faringe, laringe) e inferiores (traqueia, brônquios, bronquíolos, alvéolos). A troca gasosa (hematose) ocorre nos alvéolos. O principal músculo da respiração é o diafragma. O brônquio principal direito é mais curto, mais largo e mais verticalizado, por isso corpos estranhos e a sonda/tubo introduzidos demais tendem a ir para o pulmão direito (intubação seletiva).</w:t>
      </w:r>
    </w:p>
    <w:p>
      <w:pPr>
        <w:spacing w:before="0" w:after="80"/>
        <w:jc w:val="both"/>
      </w:pPr>
      <w:r>
        <w:rPr>
          <w:b/>
          <w:i w:val="0"/>
          <w:color w:val="111111"/>
          <w:sz w:val="21"/>
        </w:rPr>
        <w:t>Sistema urinário.</w:t>
      </w:r>
      <w:r>
        <w:rPr>
          <w:b w:val="0"/>
          <w:i w:val="0"/>
          <w:color w:val="1F2933"/>
          <w:sz w:val="21"/>
        </w:rPr>
        <w:t xml:space="preserve"> Rins (formam a urina no néfron), ureteres, bexiga e uretra. A uretra feminina mede cerca de 4 cm e a masculina cerca de 18 a 20 cm, o que explica a maior incidência de infecção urinária em mulheres. Débito urinário normal do adulto: cerca de 0,5 a 1 mL/kg/h; </w:t>
      </w:r>
      <w:r>
        <w:rPr>
          <w:b/>
          <w:i w:val="0"/>
          <w:color w:val="111111"/>
          <w:sz w:val="21"/>
        </w:rPr>
        <w:t>oligúria</w:t>
      </w:r>
      <w:r>
        <w:rPr>
          <w:b w:val="0"/>
          <w:i w:val="0"/>
          <w:color w:val="1F2933"/>
          <w:sz w:val="21"/>
        </w:rPr>
        <w:t xml:space="preserve"> é menos de 400 mL/24h e </w:t>
      </w:r>
      <w:r>
        <w:rPr>
          <w:b/>
          <w:i w:val="0"/>
          <w:color w:val="111111"/>
          <w:sz w:val="21"/>
        </w:rPr>
        <w:t>anúria</w:t>
      </w:r>
      <w:r>
        <w:rPr>
          <w:b w:val="0"/>
          <w:i w:val="0"/>
          <w:color w:val="1F2933"/>
          <w:sz w:val="21"/>
        </w:rPr>
        <w:t xml:space="preserve"> é menos de 100 mL/24h.</w:t>
      </w:r>
    </w:p>
    <w:p>
      <w:pPr>
        <w:spacing w:before="0" w:after="80"/>
        <w:jc w:val="both"/>
      </w:pPr>
      <w:r>
        <w:rPr>
          <w:b/>
          <w:i w:val="0"/>
          <w:color w:val="111111"/>
          <w:sz w:val="21"/>
        </w:rPr>
        <w:t>Sistema tegumentar.</w:t>
      </w:r>
      <w:r>
        <w:rPr>
          <w:b w:val="0"/>
          <w:i w:val="0"/>
          <w:color w:val="1F2933"/>
          <w:sz w:val="21"/>
        </w:rPr>
        <w:t xml:space="preserve"> Pele (epiderme, derme) e tela subcutânea (hipoderme). É a referência para as vias de injeção: intradérmica (derme), subcutânea (hipoderme) e intramuscular (músculo).</w:t>
      </w:r>
    </w:p>
    <w:p>
      <w:pPr>
        <w:spacing w:before="160" w:after="60"/>
        <w:jc w:val="both"/>
      </w:pPr>
      <w:r>
        <w:rPr>
          <w:b/>
          <w:i w:val="0"/>
          <w:color w:val="FDB404"/>
          <w:sz w:val="25"/>
        </w:rPr>
        <w:t xml:space="preserve">■ </w:t>
      </w:r>
      <w:r>
        <w:rPr>
          <w:b/>
          <w:i w:val="0"/>
          <w:color w:val="111111"/>
          <w:sz w:val="25"/>
        </w:rPr>
        <w:t>1.2 Sinais vitais (SSVV)</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Sinal vital</w:t>
            </w:r>
          </w:p>
        </w:tc>
        <w:tc>
          <w:tcPr>
            <w:tcW w:type="dxa" w:w="3213"/>
            <w:shd w:val="clear" w:color="auto" w:fill="111111"/>
          </w:tcPr>
          <w:p>
            <w:r>
              <w:rPr>
                <w:b/>
                <w:i w:val="0"/>
                <w:color w:val="FDB404"/>
                <w:sz w:val="19"/>
              </w:rPr>
              <w:t>Valor de referência no adulto</w:t>
            </w:r>
          </w:p>
        </w:tc>
        <w:tc>
          <w:tcPr>
            <w:tcW w:type="dxa" w:w="3213"/>
            <w:shd w:val="clear" w:color="auto" w:fill="111111"/>
          </w:tcPr>
          <w:p>
            <w:r>
              <w:rPr>
                <w:b/>
                <w:i w:val="0"/>
                <w:color w:val="FDB404"/>
                <w:sz w:val="19"/>
              </w:rPr>
              <w:t>Alterações</w:t>
            </w:r>
          </w:p>
        </w:tc>
      </w:tr>
      <w:tr>
        <w:tc>
          <w:tcPr>
            <w:tcW w:type="dxa" w:w="3213"/>
          </w:tcPr>
          <w:p>
            <w:r>
              <w:rPr>
                <w:b/>
                <w:i w:val="0"/>
                <w:color w:val="111111"/>
                <w:sz w:val="19"/>
              </w:rPr>
              <w:t>Temperatura axilar</w:t>
            </w:r>
          </w:p>
        </w:tc>
        <w:tc>
          <w:tcPr>
            <w:tcW w:type="dxa" w:w="3213"/>
          </w:tcPr>
          <w:p>
            <w:r>
              <w:rPr>
                <w:b w:val="0"/>
                <w:i w:val="0"/>
                <w:color w:val="1F2933"/>
                <w:sz w:val="19"/>
              </w:rPr>
              <w:t>35,8 °C a 37,0 °C</w:t>
            </w:r>
          </w:p>
        </w:tc>
        <w:tc>
          <w:tcPr>
            <w:tcW w:type="dxa" w:w="3213"/>
          </w:tcPr>
          <w:p>
            <w:r>
              <w:rPr>
                <w:b w:val="0"/>
                <w:i w:val="0"/>
                <w:color w:val="1F2933"/>
                <w:sz w:val="19"/>
              </w:rPr>
              <w:t>Febrícula 37,1–37,7 °C; febre ≥ 37,8 °C; hipotermia &lt; 35,5 °C</w:t>
            </w:r>
          </w:p>
        </w:tc>
      </w:tr>
      <w:tr>
        <w:tc>
          <w:tcPr>
            <w:tcW w:type="dxa" w:w="3213"/>
            <w:shd w:val="clear" w:color="auto" w:fill="F2F2F2"/>
          </w:tcPr>
          <w:p>
            <w:r>
              <w:rPr>
                <w:b/>
                <w:i w:val="0"/>
                <w:color w:val="111111"/>
                <w:sz w:val="19"/>
              </w:rPr>
              <w:t>Pulso / frequência cardíaca</w:t>
            </w:r>
          </w:p>
        </w:tc>
        <w:tc>
          <w:tcPr>
            <w:tcW w:type="dxa" w:w="3213"/>
            <w:shd w:val="clear" w:color="auto" w:fill="F2F2F2"/>
          </w:tcPr>
          <w:p>
            <w:r>
              <w:rPr>
                <w:b w:val="0"/>
                <w:i w:val="0"/>
                <w:color w:val="1F2933"/>
                <w:sz w:val="19"/>
              </w:rPr>
              <w:t>60 a 100 bpm</w:t>
            </w:r>
          </w:p>
        </w:tc>
        <w:tc>
          <w:tcPr>
            <w:tcW w:type="dxa" w:w="3213"/>
            <w:shd w:val="clear" w:color="auto" w:fill="F2F2F2"/>
          </w:tcPr>
          <w:p>
            <w:r>
              <w:rPr>
                <w:b w:val="0"/>
                <w:i w:val="0"/>
                <w:color w:val="1F2933"/>
                <w:sz w:val="19"/>
              </w:rPr>
              <w:t>Bradicardia &lt; 60; taquicardia &gt; 100</w:t>
            </w:r>
          </w:p>
        </w:tc>
      </w:tr>
      <w:tr>
        <w:tc>
          <w:tcPr>
            <w:tcW w:type="dxa" w:w="3213"/>
          </w:tcPr>
          <w:p>
            <w:r>
              <w:rPr>
                <w:b/>
                <w:i w:val="0"/>
                <w:color w:val="111111"/>
                <w:sz w:val="19"/>
              </w:rPr>
              <w:t>Frequência respiratória</w:t>
            </w:r>
          </w:p>
        </w:tc>
        <w:tc>
          <w:tcPr>
            <w:tcW w:type="dxa" w:w="3213"/>
          </w:tcPr>
          <w:p>
            <w:r>
              <w:rPr>
                <w:b w:val="0"/>
                <w:i w:val="0"/>
                <w:color w:val="1F2933"/>
                <w:sz w:val="19"/>
              </w:rPr>
              <w:t>12 a 20 irpm</w:t>
            </w:r>
          </w:p>
        </w:tc>
        <w:tc>
          <w:tcPr>
            <w:tcW w:type="dxa" w:w="3213"/>
          </w:tcPr>
          <w:p>
            <w:r>
              <w:rPr>
                <w:b w:val="0"/>
                <w:i w:val="0"/>
                <w:color w:val="1F2933"/>
                <w:sz w:val="19"/>
              </w:rPr>
              <w:t>Bradipneia &lt; 12; taquipneia &gt; 20; apneia = ausência</w:t>
            </w:r>
          </w:p>
        </w:tc>
      </w:tr>
      <w:tr>
        <w:tc>
          <w:tcPr>
            <w:tcW w:type="dxa" w:w="3213"/>
            <w:shd w:val="clear" w:color="auto" w:fill="F2F2F2"/>
          </w:tcPr>
          <w:p>
            <w:r>
              <w:rPr>
                <w:b/>
                <w:i w:val="0"/>
                <w:color w:val="111111"/>
                <w:sz w:val="19"/>
              </w:rPr>
              <w:t>Pressão arterial</w:t>
            </w:r>
          </w:p>
        </w:tc>
        <w:tc>
          <w:tcPr>
            <w:tcW w:type="dxa" w:w="3213"/>
            <w:shd w:val="clear" w:color="auto" w:fill="F2F2F2"/>
          </w:tcPr>
          <w:p>
            <w:r>
              <w:rPr>
                <w:b w:val="0"/>
                <w:i w:val="0"/>
                <w:color w:val="1F2933"/>
                <w:sz w:val="19"/>
              </w:rPr>
              <w:t>&lt; 120/80 mmHg (ótima)</w:t>
            </w:r>
          </w:p>
        </w:tc>
        <w:tc>
          <w:tcPr>
            <w:tcW w:type="dxa" w:w="3213"/>
            <w:shd w:val="clear" w:color="auto" w:fill="F2F2F2"/>
          </w:tcPr>
          <w:p>
            <w:r>
              <w:rPr>
                <w:b w:val="0"/>
                <w:i w:val="0"/>
                <w:color w:val="1F2933"/>
                <w:sz w:val="19"/>
              </w:rPr>
              <w:t>Hipertensão ≥ 140/90 mmHg; hipotensão &lt; 90/60 mmHg</w:t>
            </w:r>
          </w:p>
        </w:tc>
      </w:tr>
      <w:tr>
        <w:tc>
          <w:tcPr>
            <w:tcW w:type="dxa" w:w="3213"/>
          </w:tcPr>
          <w:p>
            <w:r>
              <w:rPr>
                <w:b/>
                <w:i w:val="0"/>
                <w:color w:val="111111"/>
                <w:sz w:val="19"/>
              </w:rPr>
              <w:t>Saturação de O2 (SpO2)</w:t>
            </w:r>
          </w:p>
        </w:tc>
        <w:tc>
          <w:tcPr>
            <w:tcW w:type="dxa" w:w="3213"/>
          </w:tcPr>
          <w:p>
            <w:r>
              <w:rPr>
                <w:b w:val="0"/>
                <w:i w:val="0"/>
                <w:color w:val="1F2933"/>
                <w:sz w:val="19"/>
              </w:rPr>
              <w:t>95% a 100%</w:t>
            </w:r>
          </w:p>
        </w:tc>
        <w:tc>
          <w:tcPr>
            <w:tcW w:type="dxa" w:w="3213"/>
          </w:tcPr>
          <w:p>
            <w:r>
              <w:rPr>
                <w:b w:val="0"/>
                <w:i w:val="0"/>
                <w:color w:val="1F2933"/>
                <w:sz w:val="19"/>
              </w:rPr>
              <w:t>Hipoxemia &lt; 90% (DPOC tolera 88–92%)</w:t>
            </w:r>
          </w:p>
        </w:tc>
      </w:tr>
      <w:tr>
        <w:tc>
          <w:tcPr>
            <w:tcW w:type="dxa" w:w="3213"/>
            <w:shd w:val="clear" w:color="auto" w:fill="F2F2F2"/>
          </w:tcPr>
          <w:p>
            <w:r>
              <w:rPr>
                <w:b/>
                <w:i w:val="0"/>
                <w:color w:val="111111"/>
                <w:sz w:val="19"/>
              </w:rPr>
              <w:t>Dor</w:t>
            </w:r>
          </w:p>
        </w:tc>
        <w:tc>
          <w:tcPr>
            <w:tcW w:type="dxa" w:w="3213"/>
            <w:shd w:val="clear" w:color="auto" w:fill="F2F2F2"/>
          </w:tcPr>
          <w:p>
            <w:r>
              <w:rPr>
                <w:b w:val="0"/>
                <w:i w:val="0"/>
                <w:color w:val="1F2933"/>
                <w:sz w:val="19"/>
              </w:rPr>
              <w:t>Escala de 0 a 10</w:t>
            </w:r>
          </w:p>
        </w:tc>
        <w:tc>
          <w:tcPr>
            <w:tcW w:type="dxa" w:w="3213"/>
            <w:shd w:val="clear" w:color="auto" w:fill="F2F2F2"/>
          </w:tcPr>
          <w:p>
            <w:r>
              <w:rPr>
                <w:b w:val="0"/>
                <w:i w:val="0"/>
                <w:color w:val="1F2933"/>
                <w:sz w:val="19"/>
              </w:rPr>
              <w:t>Considerada o 5º sinal vital</w:t>
            </w:r>
          </w:p>
        </w:tc>
      </w:tr>
    </w:tbl>
    <w:p>
      <w:pPr>
        <w:spacing w:before="0" w:after="120"/>
        <w:jc w:val="both"/>
      </w:pPr>
    </w:p>
    <w:p>
      <w:pPr>
        <w:spacing w:before="0" w:after="80"/>
        <w:jc w:val="both"/>
      </w:pPr>
      <w:r>
        <w:rPr>
          <w:b w:val="0"/>
          <w:i w:val="0"/>
          <w:color w:val="1F2933"/>
          <w:sz w:val="21"/>
        </w:rPr>
        <w:t>Valores na criança: o recém-nascido tem FC de 120 a 160 bpm e FR de 30 a 60 irpm. Quanto menor a criança, maiores a FC e a FR e menor a PA.</w:t>
      </w:r>
    </w:p>
    <w:p>
      <w:pPr>
        <w:spacing w:before="0" w:after="80"/>
        <w:jc w:val="both"/>
      </w:pPr>
      <w:r>
        <w:rPr>
          <w:b/>
          <w:i w:val="0"/>
          <w:color w:val="111111"/>
          <w:sz w:val="21"/>
        </w:rPr>
        <w:t>Terminologia que mais cai:</w:t>
      </w:r>
      <w:r>
        <w:rPr>
          <w:b w:val="0"/>
          <w:i w:val="0"/>
          <w:color w:val="1F2933"/>
          <w:sz w:val="21"/>
        </w:rPr>
        <w:t xml:space="preserve"> dispneia (dificuldade para respirar), ortopneia (dispneia que melhora sentado), eupneia (respiração normal), Cheyne-Stokes (alternância de apneia e respirações profundas crescentes e decrescentes), Kussmaul (respiração profunda e rápida, típica da cetoacidose diabética), pulso filiforme (fraco e rápido, típico de choque), afebril, pirexia/hipertermia.</w:t>
      </w:r>
    </w:p>
    <w:p>
      <w:pPr>
        <w:spacing w:before="0" w:after="80"/>
        <w:jc w:val="both"/>
      </w:pPr>
      <w:r>
        <w:rPr>
          <w:b/>
          <w:i w:val="0"/>
          <w:color w:val="111111"/>
          <w:sz w:val="21"/>
        </w:rPr>
        <w:t>Técnica de verificação da PA.</w:t>
      </w:r>
      <w:r>
        <w:rPr>
          <w:b w:val="0"/>
          <w:i w:val="0"/>
          <w:color w:val="1F2933"/>
          <w:sz w:val="21"/>
        </w:rPr>
        <w:t xml:space="preserve"> Paciente sentado e em repouso de 3 a 5 minutos, bexiga vazia, braço na altura do coração, manguito 2 a 3 cm acima da fossa cubital, palpar a artéria radial e inflar até 20 a 30 mmHg acima do desaparecimento do pulso, desinsuflar lentamente (2 a 4 mmHg por segundo). O 1º som de Korotkoff corresponde à PA sistólica e o desaparecimento do som (fase V) à diastólica. Manguito pequeno superestima a PA; manguito grande a subestima.</w:t>
      </w:r>
    </w:p>
    <w:p>
      <w:pPr>
        <w:spacing w:before="160" w:after="60"/>
        <w:jc w:val="both"/>
      </w:pPr>
      <w:r>
        <w:rPr>
          <w:b/>
          <w:i w:val="0"/>
          <w:color w:val="FDB404"/>
          <w:sz w:val="25"/>
        </w:rPr>
        <w:t xml:space="preserve">■ </w:t>
      </w:r>
      <w:r>
        <w:rPr>
          <w:b/>
          <w:i w:val="0"/>
          <w:color w:val="111111"/>
          <w:sz w:val="25"/>
        </w:rPr>
        <w:t>1.3 Semiologia e semiotécnica</w:t>
      </w:r>
    </w:p>
    <w:p>
      <w:pPr>
        <w:spacing w:before="0" w:after="80"/>
        <w:jc w:val="both"/>
      </w:pPr>
      <w:r>
        <w:rPr>
          <w:b/>
          <w:i w:val="0"/>
          <w:color w:val="111111"/>
          <w:sz w:val="21"/>
        </w:rPr>
        <w:t>Semiologia</w:t>
      </w:r>
      <w:r>
        <w:rPr>
          <w:b w:val="0"/>
          <w:i w:val="0"/>
          <w:color w:val="1F2933"/>
          <w:sz w:val="21"/>
        </w:rPr>
        <w:t xml:space="preserve"> é o estudo dos sinais e sintomas; </w:t>
      </w:r>
      <w:r>
        <w:rPr>
          <w:b/>
          <w:i w:val="0"/>
          <w:color w:val="111111"/>
          <w:sz w:val="21"/>
        </w:rPr>
        <w:t>semiotécnica</w:t>
      </w:r>
      <w:r>
        <w:rPr>
          <w:b w:val="0"/>
          <w:i w:val="0"/>
          <w:color w:val="1F2933"/>
          <w:sz w:val="21"/>
        </w:rPr>
        <w:t xml:space="preserve"> é a técnica de obtê-los. </w:t>
      </w:r>
      <w:r>
        <w:rPr>
          <w:b/>
          <w:i w:val="0"/>
          <w:color w:val="111111"/>
          <w:sz w:val="21"/>
        </w:rPr>
        <w:t>Sinal</w:t>
      </w:r>
      <w:r>
        <w:rPr>
          <w:b w:val="0"/>
          <w:i w:val="0"/>
          <w:color w:val="1F2933"/>
          <w:sz w:val="21"/>
        </w:rPr>
        <w:t xml:space="preserve"> é objetivo (pode ser observado/medido: febre, edema, cianose). </w:t>
      </w:r>
      <w:r>
        <w:rPr>
          <w:b/>
          <w:i w:val="0"/>
          <w:color w:val="111111"/>
          <w:sz w:val="21"/>
        </w:rPr>
        <w:t>Sintoma</w:t>
      </w:r>
      <w:r>
        <w:rPr>
          <w:b w:val="0"/>
          <w:i w:val="0"/>
          <w:color w:val="1F2933"/>
          <w:sz w:val="21"/>
        </w:rPr>
        <w:t xml:space="preserve"> é subjetivo (relatado pelo paciente: dor, náusea, tontura).</w:t>
      </w:r>
    </w:p>
    <w:p>
      <w:pPr>
        <w:spacing w:before="0" w:after="80"/>
        <w:jc w:val="both"/>
      </w:pPr>
      <w:r>
        <w:rPr>
          <w:b w:val="0"/>
          <w:i w:val="0"/>
          <w:color w:val="1F2933"/>
          <w:sz w:val="21"/>
        </w:rPr>
        <w:t xml:space="preserve">Métodos propedêuticos do exame físico: </w:t>
      </w:r>
      <w:r>
        <w:rPr>
          <w:b/>
          <w:i w:val="0"/>
          <w:color w:val="111111"/>
          <w:sz w:val="21"/>
        </w:rPr>
        <w:t>inspeção, palpação, percussão e ausculta</w:t>
      </w:r>
      <w:r>
        <w:rPr>
          <w:b w:val="0"/>
          <w:i w:val="0"/>
          <w:color w:val="1F2933"/>
          <w:sz w:val="21"/>
        </w:rPr>
        <w:t xml:space="preserve">. No exame do </w:t>
      </w:r>
      <w:r>
        <w:rPr>
          <w:b/>
          <w:i w:val="0"/>
          <w:color w:val="111111"/>
          <w:sz w:val="21"/>
        </w:rPr>
        <w:t>abdome</w:t>
      </w:r>
      <w:r>
        <w:rPr>
          <w:b w:val="0"/>
          <w:i w:val="0"/>
          <w:color w:val="1F2933"/>
          <w:sz w:val="21"/>
        </w:rPr>
        <w:t xml:space="preserve"> a ordem muda para </w:t>
      </w:r>
      <w:r>
        <w:rPr>
          <w:b/>
          <w:i w:val="0"/>
          <w:color w:val="111111"/>
          <w:sz w:val="21"/>
        </w:rPr>
        <w:t>inspeção, ausculta, percussão e palpação</w:t>
      </w:r>
      <w:r>
        <w:rPr>
          <w:b w:val="0"/>
          <w:i w:val="0"/>
          <w:color w:val="1F2933"/>
          <w:sz w:val="21"/>
        </w:rPr>
        <w:t>, porque palpar antes alteraria os ruídos hidroaéreos.</w:t>
      </w:r>
    </w:p>
    <w:p>
      <w:pPr>
        <w:spacing w:before="0" w:after="80"/>
        <w:jc w:val="both"/>
      </w:pPr>
      <w:r>
        <w:rPr>
          <w:b w:val="0"/>
          <w:i w:val="0"/>
          <w:color w:val="1F2933"/>
          <w:sz w:val="21"/>
        </w:rPr>
        <w:t>Termos clássicos: cianose (coloração azulada por hipóxia), icterícia (amarelada, por bilirrubina), palidez, edema (cacifo/Godet positivo quando a pressão deixa depressão), anasarca (edema generalizado), hematoma, equimose, petéquias, diaforese (sudorese intensa), prurido, disfagia (dificuldade para deglutir), disúria (dor ao urinar), poliúria, nictúria, hematúria, melena (fezes escuras com sangue digerido), hematêmese (vômito com sangue), hemoptise (tosse com sangue).</w:t>
      </w:r>
    </w:p>
    <w:p>
      <w:pPr>
        <w:spacing w:before="0" w:after="80"/>
        <w:jc w:val="both"/>
      </w:pPr>
      <w:r>
        <w:rPr>
          <w:b w:val="0"/>
          <w:i w:val="0"/>
          <w:color w:val="1F2933"/>
          <w:sz w:val="21"/>
        </w:rPr>
        <w:t>Escala de Coma de Glasgow: avalia abertura ocular (1–4), resposta verbal (1–5) e resposta motora (1–6), com pontuação de 3 a 15; desde 2018 inclui a reatividade pupilar (Glasgow-P, que subtrai 0 a 2 pontos). Glasgow ≤ 8 indica necessidade de via aérea definitiva.</w:t>
      </w:r>
    </w:p>
    <w:p>
      <w:pPr>
        <w:spacing w:before="160" w:after="60"/>
        <w:jc w:val="both"/>
      </w:pPr>
      <w:r>
        <w:rPr>
          <w:b/>
          <w:i w:val="0"/>
          <w:color w:val="FDB404"/>
          <w:sz w:val="25"/>
        </w:rPr>
        <w:t xml:space="preserve">■ </w:t>
      </w:r>
      <w:r>
        <w:rPr>
          <w:b/>
          <w:i w:val="0"/>
          <w:color w:val="111111"/>
          <w:sz w:val="25"/>
        </w:rPr>
        <w:t>1.4 Posições do paciente</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11111"/>
          </w:tcPr>
          <w:p>
            <w:r>
              <w:rPr>
                <w:b/>
                <w:i w:val="0"/>
                <w:color w:val="FDB404"/>
                <w:sz w:val="19"/>
              </w:rPr>
              <w:t>Posição</w:t>
            </w:r>
          </w:p>
        </w:tc>
        <w:tc>
          <w:tcPr>
            <w:tcW w:type="dxa" w:w="3213"/>
            <w:shd w:val="clear" w:color="auto" w:fill="111111"/>
          </w:tcPr>
          <w:p>
            <w:r>
              <w:rPr>
                <w:b/>
                <w:i w:val="0"/>
                <w:color w:val="FDB404"/>
                <w:sz w:val="19"/>
              </w:rPr>
              <w:t>Descrição</w:t>
            </w:r>
          </w:p>
        </w:tc>
        <w:tc>
          <w:tcPr>
            <w:tcW w:type="dxa" w:w="3213"/>
            <w:shd w:val="clear" w:color="auto" w:fill="111111"/>
          </w:tcPr>
          <w:p>
            <w:r>
              <w:rPr>
                <w:b/>
                <w:i w:val="0"/>
                <w:color w:val="FDB404"/>
                <w:sz w:val="19"/>
              </w:rPr>
              <w:t>Indicação principal</w:t>
            </w:r>
          </w:p>
        </w:tc>
      </w:tr>
      <w:tr>
        <w:tc>
          <w:tcPr>
            <w:tcW w:type="dxa" w:w="3213"/>
          </w:tcPr>
          <w:p>
            <w:r>
              <w:rPr>
                <w:b/>
                <w:i w:val="0"/>
                <w:color w:val="111111"/>
                <w:sz w:val="19"/>
              </w:rPr>
              <w:t>Decúbito dorsal (supina)</w:t>
            </w:r>
          </w:p>
        </w:tc>
        <w:tc>
          <w:tcPr>
            <w:tcW w:type="dxa" w:w="3213"/>
          </w:tcPr>
          <w:p>
            <w:r>
              <w:rPr>
                <w:b w:val="0"/>
                <w:i w:val="0"/>
                <w:color w:val="1F2933"/>
                <w:sz w:val="19"/>
              </w:rPr>
              <w:t>Deitado de costas</w:t>
            </w:r>
          </w:p>
        </w:tc>
        <w:tc>
          <w:tcPr>
            <w:tcW w:type="dxa" w:w="3213"/>
          </w:tcPr>
          <w:p>
            <w:r>
              <w:rPr>
                <w:b w:val="0"/>
                <w:i w:val="0"/>
                <w:color w:val="1F2933"/>
                <w:sz w:val="19"/>
              </w:rPr>
              <w:t>Exame físico, repouso</w:t>
            </w:r>
          </w:p>
        </w:tc>
      </w:tr>
      <w:tr>
        <w:tc>
          <w:tcPr>
            <w:tcW w:type="dxa" w:w="3213"/>
            <w:shd w:val="clear" w:color="auto" w:fill="F2F2F2"/>
          </w:tcPr>
          <w:p>
            <w:r>
              <w:rPr>
                <w:b/>
                <w:i w:val="0"/>
                <w:color w:val="111111"/>
                <w:sz w:val="19"/>
              </w:rPr>
              <w:t>Decúbito ventral (prona)</w:t>
            </w:r>
          </w:p>
        </w:tc>
        <w:tc>
          <w:tcPr>
            <w:tcW w:type="dxa" w:w="3213"/>
            <w:shd w:val="clear" w:color="auto" w:fill="F2F2F2"/>
          </w:tcPr>
          <w:p>
            <w:r>
              <w:rPr>
                <w:b w:val="0"/>
                <w:i w:val="0"/>
                <w:color w:val="1F2933"/>
                <w:sz w:val="19"/>
              </w:rPr>
              <w:t>Deitado de bruços</w:t>
            </w:r>
          </w:p>
        </w:tc>
        <w:tc>
          <w:tcPr>
            <w:tcW w:type="dxa" w:w="3213"/>
            <w:shd w:val="clear" w:color="auto" w:fill="F2F2F2"/>
          </w:tcPr>
          <w:p>
            <w:r>
              <w:rPr>
                <w:b w:val="0"/>
                <w:i w:val="0"/>
                <w:color w:val="1F2933"/>
                <w:sz w:val="19"/>
              </w:rPr>
              <w:t>Exame da coluna, SDRA (prona)</w:t>
            </w:r>
          </w:p>
        </w:tc>
      </w:tr>
      <w:tr>
        <w:tc>
          <w:tcPr>
            <w:tcW w:type="dxa" w:w="3213"/>
          </w:tcPr>
          <w:p>
            <w:r>
              <w:rPr>
                <w:b/>
                <w:i w:val="0"/>
                <w:color w:val="111111"/>
                <w:sz w:val="19"/>
              </w:rPr>
              <w:t>Decúbito lateral / Sims</w:t>
            </w:r>
          </w:p>
        </w:tc>
        <w:tc>
          <w:tcPr>
            <w:tcW w:type="dxa" w:w="3213"/>
          </w:tcPr>
          <w:p>
            <w:r>
              <w:rPr>
                <w:b w:val="0"/>
                <w:i w:val="0"/>
                <w:color w:val="1F2933"/>
                <w:sz w:val="19"/>
              </w:rPr>
              <w:t>De lado; Sims com perna de cima flexionada</w:t>
            </w:r>
          </w:p>
        </w:tc>
        <w:tc>
          <w:tcPr>
            <w:tcW w:type="dxa" w:w="3213"/>
          </w:tcPr>
          <w:p>
            <w:r>
              <w:rPr>
                <w:b w:val="0"/>
                <w:i w:val="0"/>
                <w:color w:val="1F2933"/>
                <w:sz w:val="19"/>
              </w:rPr>
              <w:t>Lavagem intestinal, exame retal</w:t>
            </w:r>
          </w:p>
        </w:tc>
      </w:tr>
      <w:tr>
        <w:tc>
          <w:tcPr>
            <w:tcW w:type="dxa" w:w="3213"/>
            <w:shd w:val="clear" w:color="auto" w:fill="F2F2F2"/>
          </w:tcPr>
          <w:p>
            <w:r>
              <w:rPr>
                <w:b/>
                <w:i w:val="0"/>
                <w:color w:val="111111"/>
                <w:sz w:val="19"/>
              </w:rPr>
              <w:t>Fowler</w:t>
            </w:r>
          </w:p>
        </w:tc>
        <w:tc>
          <w:tcPr>
            <w:tcW w:type="dxa" w:w="3213"/>
            <w:shd w:val="clear" w:color="auto" w:fill="F2F2F2"/>
          </w:tcPr>
          <w:p>
            <w:r>
              <w:rPr>
                <w:b w:val="0"/>
                <w:i w:val="0"/>
                <w:color w:val="1F2933"/>
                <w:sz w:val="19"/>
              </w:rPr>
              <w:t>Cabeceira elevada 45° a 60°</w:t>
            </w:r>
          </w:p>
        </w:tc>
        <w:tc>
          <w:tcPr>
            <w:tcW w:type="dxa" w:w="3213"/>
            <w:shd w:val="clear" w:color="auto" w:fill="F2F2F2"/>
          </w:tcPr>
          <w:p>
            <w:r>
              <w:rPr>
                <w:b w:val="0"/>
                <w:i w:val="0"/>
                <w:color w:val="1F2933"/>
                <w:sz w:val="19"/>
              </w:rPr>
              <w:t>Dispneia, alimentação, pós-operatório</w:t>
            </w:r>
          </w:p>
        </w:tc>
      </w:tr>
      <w:tr>
        <w:tc>
          <w:tcPr>
            <w:tcW w:type="dxa" w:w="3213"/>
          </w:tcPr>
          <w:p>
            <w:r>
              <w:rPr>
                <w:b/>
                <w:i w:val="0"/>
                <w:color w:val="111111"/>
                <w:sz w:val="19"/>
              </w:rPr>
              <w:t>Semi-Fowler</w:t>
            </w:r>
          </w:p>
        </w:tc>
        <w:tc>
          <w:tcPr>
            <w:tcW w:type="dxa" w:w="3213"/>
          </w:tcPr>
          <w:p>
            <w:r>
              <w:rPr>
                <w:b w:val="0"/>
                <w:i w:val="0"/>
                <w:color w:val="1F2933"/>
                <w:sz w:val="19"/>
              </w:rPr>
              <w:t>Cabeceira 30° a 45°</w:t>
            </w:r>
          </w:p>
        </w:tc>
        <w:tc>
          <w:tcPr>
            <w:tcW w:type="dxa" w:w="3213"/>
          </w:tcPr>
          <w:p>
            <w:r>
              <w:rPr>
                <w:b w:val="0"/>
                <w:i w:val="0"/>
                <w:color w:val="1F2933"/>
                <w:sz w:val="19"/>
              </w:rPr>
              <w:t>Prevenção de broncoaspiração, dieta por sonda</w:t>
            </w:r>
          </w:p>
        </w:tc>
      </w:tr>
      <w:tr>
        <w:tc>
          <w:tcPr>
            <w:tcW w:type="dxa" w:w="3213"/>
            <w:shd w:val="clear" w:color="auto" w:fill="F2F2F2"/>
          </w:tcPr>
          <w:p>
            <w:r>
              <w:rPr>
                <w:b/>
                <w:i w:val="0"/>
                <w:color w:val="111111"/>
                <w:sz w:val="19"/>
              </w:rPr>
              <w:t>Trendelenburg</w:t>
            </w:r>
          </w:p>
        </w:tc>
        <w:tc>
          <w:tcPr>
            <w:tcW w:type="dxa" w:w="3213"/>
            <w:shd w:val="clear" w:color="auto" w:fill="F2F2F2"/>
          </w:tcPr>
          <w:p>
            <w:r>
              <w:rPr>
                <w:b w:val="0"/>
                <w:i w:val="0"/>
                <w:color w:val="1F2933"/>
                <w:sz w:val="19"/>
              </w:rPr>
              <w:t>Cabeça mais baixa que os pés</w:t>
            </w:r>
          </w:p>
        </w:tc>
        <w:tc>
          <w:tcPr>
            <w:tcW w:type="dxa" w:w="3213"/>
            <w:shd w:val="clear" w:color="auto" w:fill="F2F2F2"/>
          </w:tcPr>
          <w:p>
            <w:r>
              <w:rPr>
                <w:b w:val="0"/>
                <w:i w:val="0"/>
                <w:color w:val="1F2933"/>
                <w:sz w:val="19"/>
              </w:rPr>
              <w:t>Cirurgias pélvicas; choque (uso controverso)</w:t>
            </w:r>
          </w:p>
        </w:tc>
      </w:tr>
      <w:tr>
        <w:tc>
          <w:tcPr>
            <w:tcW w:type="dxa" w:w="3213"/>
          </w:tcPr>
          <w:p>
            <w:r>
              <w:rPr>
                <w:b/>
                <w:i w:val="0"/>
                <w:color w:val="111111"/>
                <w:sz w:val="19"/>
              </w:rPr>
              <w:t>Litotômica (ginecológica)</w:t>
            </w:r>
          </w:p>
        </w:tc>
        <w:tc>
          <w:tcPr>
            <w:tcW w:type="dxa" w:w="3213"/>
          </w:tcPr>
          <w:p>
            <w:r>
              <w:rPr>
                <w:b w:val="0"/>
                <w:i w:val="0"/>
                <w:color w:val="1F2933"/>
                <w:sz w:val="19"/>
              </w:rPr>
              <w:t>Dorsal com pernas flexionadas e afastadas</w:t>
            </w:r>
          </w:p>
        </w:tc>
        <w:tc>
          <w:tcPr>
            <w:tcW w:type="dxa" w:w="3213"/>
          </w:tcPr>
          <w:p>
            <w:r>
              <w:rPr>
                <w:b w:val="0"/>
                <w:i w:val="0"/>
                <w:color w:val="1F2933"/>
                <w:sz w:val="19"/>
              </w:rPr>
              <w:t>Parto, exame ginecológico, sondagem feminina</w:t>
            </w:r>
          </w:p>
        </w:tc>
      </w:tr>
      <w:tr>
        <w:tc>
          <w:tcPr>
            <w:tcW w:type="dxa" w:w="3213"/>
            <w:shd w:val="clear" w:color="auto" w:fill="F2F2F2"/>
          </w:tcPr>
          <w:p>
            <w:r>
              <w:rPr>
                <w:b/>
                <w:i w:val="0"/>
                <w:color w:val="111111"/>
                <w:sz w:val="19"/>
              </w:rPr>
              <w:t>Genupeitoral</w:t>
            </w:r>
          </w:p>
        </w:tc>
        <w:tc>
          <w:tcPr>
            <w:tcW w:type="dxa" w:w="3213"/>
            <w:shd w:val="clear" w:color="auto" w:fill="F2F2F2"/>
          </w:tcPr>
          <w:p>
            <w:r>
              <w:rPr>
                <w:b w:val="0"/>
                <w:i w:val="0"/>
                <w:color w:val="1F2933"/>
                <w:sz w:val="19"/>
              </w:rPr>
              <w:t>Joelhos e peito apoiados no leito</w:t>
            </w:r>
          </w:p>
        </w:tc>
        <w:tc>
          <w:tcPr>
            <w:tcW w:type="dxa" w:w="3213"/>
            <w:shd w:val="clear" w:color="auto" w:fill="F2F2F2"/>
          </w:tcPr>
          <w:p>
            <w:r>
              <w:rPr>
                <w:b w:val="0"/>
                <w:i w:val="0"/>
                <w:color w:val="1F2933"/>
                <w:sz w:val="19"/>
              </w:rPr>
              <w:t>Exame retal, versão de útero</w:t>
            </w:r>
          </w:p>
        </w:tc>
      </w:tr>
    </w:tbl>
    <w:p>
      <w:pPr>
        <w:spacing w:before="0" w:after="120"/>
        <w:jc w:val="both"/>
      </w:pPr>
    </w:p>
    <w:p>
      <w:pPr>
        <w:spacing w:before="160" w:after="60"/>
        <w:jc w:val="both"/>
      </w:pPr>
      <w:r>
        <w:rPr>
          <w:b/>
          <w:i w:val="0"/>
          <w:color w:val="FDB404"/>
          <w:sz w:val="25"/>
        </w:rPr>
        <w:t xml:space="preserve">■ </w:t>
      </w:r>
      <w:r>
        <w:rPr>
          <w:b/>
          <w:i w:val="0"/>
          <w:color w:val="111111"/>
          <w:sz w:val="25"/>
        </w:rPr>
        <w:t>1.5 Procedimentos e técnicas</w:t>
      </w:r>
    </w:p>
    <w:p>
      <w:pPr>
        <w:spacing w:before="0" w:after="80"/>
        <w:jc w:val="both"/>
      </w:pPr>
      <w:r>
        <w:rPr>
          <w:b/>
          <w:i w:val="0"/>
          <w:color w:val="111111"/>
          <w:sz w:val="21"/>
        </w:rPr>
        <w:t>Vias de administração parenteral (injetáveis):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11111"/>
          </w:tcPr>
          <w:p>
            <w:r>
              <w:rPr>
                <w:b/>
                <w:i w:val="0"/>
                <w:color w:val="FDB404"/>
                <w:sz w:val="19"/>
              </w:rPr>
              <w:t>Via</w:t>
            </w:r>
          </w:p>
        </w:tc>
        <w:tc>
          <w:tcPr>
            <w:tcW w:type="dxa" w:w="2409"/>
            <w:shd w:val="clear" w:color="auto" w:fill="111111"/>
          </w:tcPr>
          <w:p>
            <w:r>
              <w:rPr>
                <w:b/>
                <w:i w:val="0"/>
                <w:color w:val="FDB404"/>
                <w:sz w:val="19"/>
              </w:rPr>
              <w:t>Ângulo</w:t>
            </w:r>
          </w:p>
        </w:tc>
        <w:tc>
          <w:tcPr>
            <w:tcW w:type="dxa" w:w="2409"/>
            <w:shd w:val="clear" w:color="auto" w:fill="111111"/>
          </w:tcPr>
          <w:p>
            <w:r>
              <w:rPr>
                <w:b/>
                <w:i w:val="0"/>
                <w:color w:val="FDB404"/>
                <w:sz w:val="19"/>
              </w:rPr>
              <w:t>Volume máximo usual</w:t>
            </w:r>
          </w:p>
        </w:tc>
        <w:tc>
          <w:tcPr>
            <w:tcW w:type="dxa" w:w="2409"/>
            <w:shd w:val="clear" w:color="auto" w:fill="111111"/>
          </w:tcPr>
          <w:p>
            <w:r>
              <w:rPr>
                <w:b/>
                <w:i w:val="0"/>
                <w:color w:val="FDB404"/>
                <w:sz w:val="19"/>
              </w:rPr>
              <w:t>Local</w:t>
            </w:r>
          </w:p>
        </w:tc>
      </w:tr>
      <w:tr>
        <w:tc>
          <w:tcPr>
            <w:tcW w:type="dxa" w:w="2409"/>
          </w:tcPr>
          <w:p>
            <w:r>
              <w:rPr>
                <w:b/>
                <w:i w:val="0"/>
                <w:color w:val="111111"/>
                <w:sz w:val="19"/>
              </w:rPr>
              <w:t>Intradérmica (ID)</w:t>
            </w:r>
          </w:p>
        </w:tc>
        <w:tc>
          <w:tcPr>
            <w:tcW w:type="dxa" w:w="2409"/>
          </w:tcPr>
          <w:p>
            <w:r>
              <w:rPr>
                <w:b w:val="0"/>
                <w:i w:val="0"/>
                <w:color w:val="1F2933"/>
                <w:sz w:val="19"/>
              </w:rPr>
              <w:t>10° a 15°</w:t>
            </w:r>
          </w:p>
        </w:tc>
        <w:tc>
          <w:tcPr>
            <w:tcW w:type="dxa" w:w="2409"/>
          </w:tcPr>
          <w:p>
            <w:r>
              <w:rPr>
                <w:b w:val="0"/>
                <w:i w:val="0"/>
                <w:color w:val="1F2933"/>
                <w:sz w:val="19"/>
              </w:rPr>
              <w:t>0,5 mL (em geral 0,1 mL)</w:t>
            </w:r>
          </w:p>
        </w:tc>
        <w:tc>
          <w:tcPr>
            <w:tcW w:type="dxa" w:w="2409"/>
          </w:tcPr>
          <w:p>
            <w:r>
              <w:rPr>
                <w:b w:val="0"/>
                <w:i w:val="0"/>
                <w:color w:val="1F2933"/>
                <w:sz w:val="19"/>
              </w:rPr>
              <w:t>Face anterior do antebraço; BCG na inserção do deltoide direito</w:t>
            </w:r>
          </w:p>
        </w:tc>
      </w:tr>
      <w:tr>
        <w:tc>
          <w:tcPr>
            <w:tcW w:type="dxa" w:w="2409"/>
            <w:shd w:val="clear" w:color="auto" w:fill="F2F2F2"/>
          </w:tcPr>
          <w:p>
            <w:r>
              <w:rPr>
                <w:b/>
                <w:i w:val="0"/>
                <w:color w:val="111111"/>
                <w:sz w:val="19"/>
              </w:rPr>
              <w:t>Subcutânea (SC)</w:t>
            </w:r>
          </w:p>
        </w:tc>
        <w:tc>
          <w:tcPr>
            <w:tcW w:type="dxa" w:w="2409"/>
            <w:shd w:val="clear" w:color="auto" w:fill="F2F2F2"/>
          </w:tcPr>
          <w:p>
            <w:r>
              <w:rPr>
                <w:b w:val="0"/>
                <w:i w:val="0"/>
                <w:color w:val="1F2933"/>
                <w:sz w:val="19"/>
              </w:rPr>
              <w:t>90° (agulha curta) ou 45°</w:t>
            </w:r>
          </w:p>
        </w:tc>
        <w:tc>
          <w:tcPr>
            <w:tcW w:type="dxa" w:w="2409"/>
            <w:shd w:val="clear" w:color="auto" w:fill="F2F2F2"/>
          </w:tcPr>
          <w:p>
            <w:r>
              <w:rPr>
                <w:b w:val="0"/>
                <w:i w:val="0"/>
                <w:color w:val="1F2933"/>
                <w:sz w:val="19"/>
              </w:rPr>
              <w:t>1,5 mL</w:t>
            </w:r>
          </w:p>
        </w:tc>
        <w:tc>
          <w:tcPr>
            <w:tcW w:type="dxa" w:w="2409"/>
            <w:shd w:val="clear" w:color="auto" w:fill="F2F2F2"/>
          </w:tcPr>
          <w:p>
            <w:r>
              <w:rPr>
                <w:b w:val="0"/>
                <w:i w:val="0"/>
                <w:color w:val="1F2933"/>
                <w:sz w:val="19"/>
              </w:rPr>
              <w:t>Abdome, face posterior do braço, coxa</w:t>
            </w:r>
          </w:p>
        </w:tc>
      </w:tr>
      <w:tr>
        <w:tc>
          <w:tcPr>
            <w:tcW w:type="dxa" w:w="2409"/>
          </w:tcPr>
          <w:p>
            <w:r>
              <w:rPr>
                <w:b/>
                <w:i w:val="0"/>
                <w:color w:val="111111"/>
                <w:sz w:val="19"/>
              </w:rPr>
              <w:t>Intramuscular (IM)</w:t>
            </w:r>
          </w:p>
        </w:tc>
        <w:tc>
          <w:tcPr>
            <w:tcW w:type="dxa" w:w="2409"/>
          </w:tcPr>
          <w:p>
            <w:r>
              <w:rPr>
                <w:b w:val="0"/>
                <w:i w:val="0"/>
                <w:color w:val="1F2933"/>
                <w:sz w:val="19"/>
              </w:rPr>
              <w:t>90°</w:t>
            </w:r>
          </w:p>
        </w:tc>
        <w:tc>
          <w:tcPr>
            <w:tcW w:type="dxa" w:w="2409"/>
          </w:tcPr>
          <w:p>
            <w:r>
              <w:rPr>
                <w:b w:val="0"/>
                <w:i w:val="0"/>
                <w:color w:val="1F2933"/>
                <w:sz w:val="19"/>
              </w:rPr>
              <w:t>Deltoide 2–3 mL; ventroglútea e dorsoglútea até 4–5 mL; vasto lateral até 4 mL (adulto)</w:t>
            </w:r>
          </w:p>
        </w:tc>
        <w:tc>
          <w:tcPr>
            <w:tcW w:type="dxa" w:w="2409"/>
          </w:tcPr>
          <w:p>
            <w:r>
              <w:rPr>
                <w:b w:val="0"/>
                <w:i w:val="0"/>
                <w:color w:val="1F2933"/>
                <w:sz w:val="19"/>
              </w:rPr>
              <w:t>Ventroglútea (Hochstetter), deltoide, vasto lateral da coxa</w:t>
            </w:r>
          </w:p>
        </w:tc>
      </w:tr>
      <w:tr>
        <w:tc>
          <w:tcPr>
            <w:tcW w:type="dxa" w:w="2409"/>
            <w:shd w:val="clear" w:color="auto" w:fill="F2F2F2"/>
          </w:tcPr>
          <w:p>
            <w:r>
              <w:rPr>
                <w:b/>
                <w:i w:val="0"/>
                <w:color w:val="111111"/>
                <w:sz w:val="19"/>
              </w:rPr>
              <w:t>Endovenosa (EV)</w:t>
            </w:r>
          </w:p>
        </w:tc>
        <w:tc>
          <w:tcPr>
            <w:tcW w:type="dxa" w:w="2409"/>
            <w:shd w:val="clear" w:color="auto" w:fill="F2F2F2"/>
          </w:tcPr>
          <w:p>
            <w:r>
              <w:rPr>
                <w:b w:val="0"/>
                <w:i w:val="0"/>
                <w:color w:val="1F2933"/>
                <w:sz w:val="19"/>
              </w:rPr>
              <w:t>15° a 30°</w:t>
            </w:r>
          </w:p>
        </w:tc>
        <w:tc>
          <w:tcPr>
            <w:tcW w:type="dxa" w:w="2409"/>
            <w:shd w:val="clear" w:color="auto" w:fill="F2F2F2"/>
          </w:tcPr>
          <w:p>
            <w:r>
              <w:rPr>
                <w:b w:val="0"/>
                <w:i w:val="0"/>
                <w:color w:val="1F2933"/>
                <w:sz w:val="19"/>
              </w:rPr>
              <w:t>Sem limite (bolus/infusão)</w:t>
            </w:r>
          </w:p>
        </w:tc>
        <w:tc>
          <w:tcPr>
            <w:tcW w:type="dxa" w:w="2409"/>
            <w:shd w:val="clear" w:color="auto" w:fill="F2F2F2"/>
          </w:tcPr>
          <w:p>
            <w:r>
              <w:rPr>
                <w:b w:val="0"/>
                <w:i w:val="0"/>
                <w:color w:val="1F2933"/>
                <w:sz w:val="19"/>
              </w:rPr>
              <w:t>Veias periféricas do antebraço e dorso da mão</w:t>
            </w:r>
          </w:p>
        </w:tc>
      </w:tr>
    </w:tbl>
    <w:p>
      <w:pPr>
        <w:spacing w:before="0" w:after="120"/>
        <w:jc w:val="both"/>
      </w:pPr>
    </w:p>
    <w:p>
      <w:pPr>
        <w:spacing w:before="0" w:after="80"/>
        <w:jc w:val="both"/>
      </w:pPr>
      <w:r>
        <w:rPr>
          <w:b w:val="0"/>
          <w:i w:val="0"/>
          <w:color w:val="1F2933"/>
          <w:sz w:val="21"/>
        </w:rPr>
        <w:t xml:space="preserve">A região </w:t>
      </w:r>
      <w:r>
        <w:rPr>
          <w:b/>
          <w:i w:val="0"/>
          <w:color w:val="111111"/>
          <w:sz w:val="21"/>
        </w:rPr>
        <w:t>ventroglútea</w:t>
      </w:r>
      <w:r>
        <w:rPr>
          <w:b w:val="0"/>
          <w:i w:val="0"/>
          <w:color w:val="1F2933"/>
          <w:sz w:val="21"/>
        </w:rPr>
        <w:t xml:space="preserve"> é considerada a mais segura para IM porque é livre de grandes vasos e nervos. No </w:t>
      </w:r>
      <w:r>
        <w:rPr>
          <w:b/>
          <w:i w:val="0"/>
          <w:color w:val="111111"/>
          <w:sz w:val="21"/>
        </w:rPr>
        <w:t>vasto lateral</w:t>
      </w:r>
      <w:r>
        <w:rPr>
          <w:b w:val="0"/>
          <w:i w:val="0"/>
          <w:color w:val="1F2933"/>
          <w:sz w:val="21"/>
        </w:rPr>
        <w:t xml:space="preserve"> da coxa é a via preferencial em lactentes. A região </w:t>
      </w:r>
      <w:r>
        <w:rPr>
          <w:b/>
          <w:i w:val="0"/>
          <w:color w:val="111111"/>
          <w:sz w:val="21"/>
        </w:rPr>
        <w:t>dorsoglútea</w:t>
      </w:r>
      <w:r>
        <w:rPr>
          <w:b w:val="0"/>
          <w:i w:val="0"/>
          <w:color w:val="1F2933"/>
          <w:sz w:val="21"/>
        </w:rPr>
        <w:t xml:space="preserve"> deve ser aplicada no quadrante superior externo para evitar o nervo ciático, e não é indicada para menores de 2 anos.</w:t>
      </w:r>
    </w:p>
    <w:p>
      <w:pPr>
        <w:spacing w:before="0" w:after="80"/>
        <w:jc w:val="both"/>
      </w:pPr>
      <w:r>
        <w:rPr>
          <w:b/>
          <w:i w:val="0"/>
          <w:color w:val="111111"/>
          <w:sz w:val="21"/>
        </w:rPr>
        <w:t>Técnica em Z</w:t>
      </w:r>
      <w:r>
        <w:rPr>
          <w:b w:val="0"/>
          <w:i w:val="0"/>
          <w:color w:val="1F2933"/>
          <w:sz w:val="21"/>
        </w:rPr>
        <w:t xml:space="preserve"> (Z-track): desloca-se a pele lateralmente antes de introduzir a agulha; é usada para medicações irritantes (ex.: ferro), pois impede o refluxo para o tecido subcutâneo.</w:t>
      </w:r>
    </w:p>
    <w:p>
      <w:pPr>
        <w:spacing w:before="0" w:after="80"/>
        <w:jc w:val="both"/>
      </w:pPr>
      <w:r>
        <w:rPr>
          <w:b/>
          <w:i w:val="0"/>
          <w:color w:val="111111"/>
          <w:sz w:val="21"/>
        </w:rPr>
        <w:t>Os "certos" da administração de medicamentos.</w:t>
      </w:r>
      <w:r>
        <w:rPr>
          <w:b w:val="0"/>
          <w:i w:val="0"/>
          <w:color w:val="1F2933"/>
          <w:sz w:val="21"/>
        </w:rPr>
        <w:t xml:space="preserve"> Classicamente são 5 (paciente, medicamento, dose, via e hora certos), ampliados para 9 (registro, ação/orientação, forma farmacêutica e monitoramento/resposta certos) e, em alguns protocolos, para 13. O Protocolo de Segurança na Prescrição, Uso e Administração de Medicamentos do Ministério da Saúde trabalha com os </w:t>
      </w:r>
      <w:r>
        <w:rPr>
          <w:b/>
          <w:i w:val="0"/>
          <w:color w:val="111111"/>
          <w:sz w:val="21"/>
        </w:rPr>
        <w:t>9 certos</w:t>
      </w:r>
      <w:r>
        <w:rPr>
          <w:b w:val="0"/>
          <w:i w:val="0"/>
          <w:color w:val="1F2933"/>
          <w:sz w:val="21"/>
        </w:rPr>
        <w:t>.</w:t>
      </w:r>
    </w:p>
    <w:p>
      <w:pPr>
        <w:spacing w:before="0" w:after="80"/>
        <w:jc w:val="both"/>
      </w:pPr>
      <w:r>
        <w:rPr>
          <w:b/>
          <w:i w:val="0"/>
          <w:color w:val="111111"/>
          <w:sz w:val="21"/>
        </w:rPr>
        <w:t>Sondagens:</w:t>
      </w:r>
    </w:p>
    <w:p>
      <w:pPr>
        <w:spacing w:before="0" w:after="40"/>
        <w:ind w:left="283"/>
        <w:jc w:val="both"/>
      </w:pPr>
      <w:r>
        <w:rPr>
          <w:b/>
          <w:i w:val="0"/>
          <w:color w:val="C98F00"/>
          <w:sz w:val="20"/>
        </w:rPr>
        <w:t xml:space="preserve">▸ </w:t>
      </w:r>
      <w:r>
        <w:rPr>
          <w:b/>
          <w:i w:val="0"/>
          <w:color w:val="111111"/>
          <w:sz w:val="21"/>
        </w:rPr>
        <w:t>Sondagem nasogástrica (SNG):</w:t>
      </w:r>
      <w:r>
        <w:rPr>
          <w:b w:val="0"/>
          <w:i w:val="0"/>
          <w:color w:val="1F2933"/>
          <w:sz w:val="21"/>
        </w:rPr>
        <w:t xml:space="preserve"> medida da ponta do nariz ao lóbulo da orelha e daí ao apêndice xifoide (NEX). Posição: Fowler. Confirmação: aspiração de conteúdo gástrico, teste do pH e, de forma definitiva, radiografia. A ausculta de ar injetado não é mais considerada método seguro isolado.</w:t>
      </w:r>
    </w:p>
    <w:p>
      <w:pPr>
        <w:spacing w:before="0" w:after="40"/>
        <w:ind w:left="283"/>
        <w:jc w:val="both"/>
      </w:pPr>
      <w:r>
        <w:rPr>
          <w:b/>
          <w:i w:val="0"/>
          <w:color w:val="C98F00"/>
          <w:sz w:val="20"/>
        </w:rPr>
        <w:t xml:space="preserve">▸ </w:t>
      </w:r>
      <w:r>
        <w:rPr>
          <w:b/>
          <w:i w:val="0"/>
          <w:color w:val="111111"/>
          <w:sz w:val="21"/>
        </w:rPr>
        <w:t>Sondagem nasoenteral (SNE):</w:t>
      </w:r>
      <w:r>
        <w:rPr>
          <w:b w:val="0"/>
          <w:i w:val="0"/>
          <w:color w:val="1F2933"/>
          <w:sz w:val="21"/>
        </w:rPr>
        <w:t xml:space="preserve"> sonda mais fina, com fio-guia; mede-se NEX + 20 a 25 cm. A posição deve ser confirmada por radiografia antes de iniciar a dieta.</w:t>
      </w:r>
    </w:p>
    <w:p>
      <w:pPr>
        <w:spacing w:before="0" w:after="40"/>
        <w:ind w:left="283"/>
        <w:jc w:val="both"/>
      </w:pPr>
      <w:r>
        <w:rPr>
          <w:b/>
          <w:i w:val="0"/>
          <w:color w:val="C98F00"/>
          <w:sz w:val="20"/>
        </w:rPr>
        <w:t xml:space="preserve">▸ </w:t>
      </w:r>
      <w:r>
        <w:rPr>
          <w:b/>
          <w:i w:val="0"/>
          <w:color w:val="111111"/>
          <w:sz w:val="21"/>
        </w:rPr>
        <w:t>Sondagem vesical:</w:t>
      </w:r>
      <w:r>
        <w:rPr>
          <w:b w:val="0"/>
          <w:i w:val="0"/>
          <w:color w:val="1F2933"/>
          <w:sz w:val="21"/>
        </w:rPr>
        <w:t xml:space="preserve"> de </w:t>
      </w:r>
      <w:r>
        <w:rPr>
          <w:b/>
          <w:i w:val="0"/>
          <w:color w:val="111111"/>
          <w:sz w:val="21"/>
        </w:rPr>
        <w:t>alívio</w:t>
      </w:r>
      <w:r>
        <w:rPr>
          <w:b w:val="0"/>
          <w:i w:val="0"/>
          <w:color w:val="1F2933"/>
          <w:sz w:val="21"/>
        </w:rPr>
        <w:t xml:space="preserve"> (intermitente, retirada logo após o esvaziamento) ou de </w:t>
      </w:r>
      <w:r>
        <w:rPr>
          <w:b/>
          <w:i w:val="0"/>
          <w:color w:val="111111"/>
          <w:sz w:val="21"/>
        </w:rPr>
        <w:t>demora</w:t>
      </w:r>
      <w:r>
        <w:rPr>
          <w:b w:val="0"/>
          <w:i w:val="0"/>
          <w:color w:val="1F2933"/>
          <w:sz w:val="21"/>
        </w:rPr>
        <w:t xml:space="preserve"> (Foley, balonete insuflado com água destilada). Técnica </w:t>
      </w:r>
      <w:r>
        <w:rPr>
          <w:b/>
          <w:i w:val="0"/>
          <w:color w:val="111111"/>
          <w:sz w:val="21"/>
        </w:rPr>
        <w:t>estéril</w:t>
      </w:r>
      <w:r>
        <w:rPr>
          <w:b w:val="0"/>
          <w:i w:val="0"/>
          <w:color w:val="1F2933"/>
          <w:sz w:val="21"/>
        </w:rPr>
        <w:t>. Na mulher, posição ginecológica; no homem, o pênis é posicionado a 90° em relação ao corpo para retificar a uretra. A bolsa coletora fica sempre abaixo do nível da bexiga e nunca no chão.</w:t>
      </w:r>
    </w:p>
    <w:p>
      <w:pPr>
        <w:spacing w:before="0" w:after="80"/>
        <w:jc w:val="both"/>
      </w:pPr>
      <w:r>
        <w:rPr>
          <w:b/>
          <w:i w:val="0"/>
          <w:color w:val="111111"/>
          <w:sz w:val="21"/>
        </w:rPr>
        <w:t>Curativos.</w:t>
      </w:r>
      <w:r>
        <w:rPr>
          <w:b w:val="0"/>
          <w:i w:val="0"/>
          <w:color w:val="1F2933"/>
          <w:sz w:val="21"/>
        </w:rPr>
        <w:t xml:space="preserve"> O curativo deve ser realizado do </w:t>
      </w:r>
      <w:r>
        <w:rPr>
          <w:b/>
          <w:i w:val="0"/>
          <w:color w:val="111111"/>
          <w:sz w:val="21"/>
        </w:rPr>
        <w:t>menos contaminado para o mais contaminado</w:t>
      </w:r>
      <w:r>
        <w:rPr>
          <w:b w:val="0"/>
          <w:i w:val="0"/>
          <w:color w:val="1F2933"/>
          <w:sz w:val="21"/>
        </w:rPr>
        <w:t xml:space="preserve">: na ferida limpa (operatória), de dentro para fora; na ferida infectada, de fora para dentro. Soro fisiológico 0,9% morno é a solução padrão de limpeza. Ferida por </w:t>
      </w:r>
      <w:r>
        <w:rPr>
          <w:b/>
          <w:i w:val="0"/>
          <w:color w:val="111111"/>
          <w:sz w:val="21"/>
        </w:rPr>
        <w:t>primeira intenção</w:t>
      </w:r>
      <w:r>
        <w:rPr>
          <w:b w:val="0"/>
          <w:i w:val="0"/>
          <w:color w:val="1F2933"/>
          <w:sz w:val="21"/>
        </w:rPr>
        <w:t xml:space="preserve"> tem bordas aproximadas (sutura); por </w:t>
      </w:r>
      <w:r>
        <w:rPr>
          <w:b/>
          <w:i w:val="0"/>
          <w:color w:val="111111"/>
          <w:sz w:val="21"/>
        </w:rPr>
        <w:t>segunda intenção</w:t>
      </w:r>
      <w:r>
        <w:rPr>
          <w:b w:val="0"/>
          <w:i w:val="0"/>
          <w:color w:val="1F2933"/>
          <w:sz w:val="21"/>
        </w:rPr>
        <w:t xml:space="preserve"> fica aberta e cicatriza por granulação; por </w:t>
      </w:r>
      <w:r>
        <w:rPr>
          <w:b/>
          <w:i w:val="0"/>
          <w:color w:val="111111"/>
          <w:sz w:val="21"/>
        </w:rPr>
        <w:t>terceira intenção</w:t>
      </w:r>
      <w:r>
        <w:rPr>
          <w:b w:val="0"/>
          <w:i w:val="0"/>
          <w:color w:val="1F2933"/>
          <w:sz w:val="21"/>
        </w:rPr>
        <w:t xml:space="preserve"> é fechada tardiamente.</w:t>
      </w:r>
    </w:p>
    <w:p>
      <w:pPr>
        <w:spacing w:before="0" w:after="80"/>
        <w:jc w:val="both"/>
      </w:pPr>
      <w:r>
        <w:rPr>
          <w:b/>
          <w:i w:val="0"/>
          <w:color w:val="111111"/>
          <w:sz w:val="21"/>
        </w:rPr>
        <w:t>Lesão por pressão (LPP)</w:t>
      </w:r>
      <w:r>
        <w:rPr>
          <w:b w:val="0"/>
          <w:i w:val="0"/>
          <w:color w:val="1F2933"/>
          <w:sz w:val="21"/>
        </w:rPr>
        <w:t xml:space="preserve"> – classificação NPIAP: estágio 1 (pele íntegra com eritema que não embranquece), estágio 2 (perda parcial da pele com exposição da derme), estágio 3 (perda total da pele, gordura visível), estágio 4 (exposição de músculo, tendão ou osso), além de </w:t>
      </w:r>
      <w:r>
        <w:rPr>
          <w:b/>
          <w:i w:val="0"/>
          <w:color w:val="111111"/>
          <w:sz w:val="21"/>
        </w:rPr>
        <w:t>não classificável</w:t>
      </w:r>
      <w:r>
        <w:rPr>
          <w:b w:val="0"/>
          <w:i w:val="0"/>
          <w:color w:val="1F2933"/>
          <w:sz w:val="21"/>
        </w:rPr>
        <w:t xml:space="preserve"> (coberta por esfacelo/escara) e </w:t>
      </w:r>
      <w:r>
        <w:rPr>
          <w:b/>
          <w:i w:val="0"/>
          <w:color w:val="111111"/>
          <w:sz w:val="21"/>
        </w:rPr>
        <w:t>lesão tissular profunda</w:t>
      </w:r>
      <w:r>
        <w:rPr>
          <w:b w:val="0"/>
          <w:i w:val="0"/>
          <w:color w:val="1F2933"/>
          <w:sz w:val="21"/>
        </w:rPr>
        <w:t xml:space="preserve"> (área vermelho-escura/púrpura persistente). Prevenção: mudança de decúbito a cada </w:t>
      </w:r>
      <w:r>
        <w:rPr>
          <w:b/>
          <w:i w:val="0"/>
          <w:color w:val="111111"/>
          <w:sz w:val="21"/>
        </w:rPr>
        <w:t>2 horas</w:t>
      </w:r>
      <w:r>
        <w:rPr>
          <w:b w:val="0"/>
          <w:i w:val="0"/>
          <w:color w:val="1F2933"/>
          <w:sz w:val="21"/>
        </w:rPr>
        <w:t xml:space="preserve">, avaliação de risco pela </w:t>
      </w:r>
      <w:r>
        <w:rPr>
          <w:b/>
          <w:i w:val="0"/>
          <w:color w:val="111111"/>
          <w:sz w:val="21"/>
        </w:rPr>
        <w:t>escala de Braden</w:t>
      </w:r>
      <w:r>
        <w:rPr>
          <w:b w:val="0"/>
          <w:i w:val="0"/>
          <w:color w:val="1F2933"/>
          <w:sz w:val="21"/>
        </w:rPr>
        <w:t xml:space="preserve"> (quanto menor a pontuação, maior o risco; ≤ 18 já indica risco), hidratação da pele e colchão de redistribuição de pressão.</w:t>
      </w:r>
    </w:p>
    <w:p>
      <w:pPr>
        <w:spacing w:before="0" w:after="80"/>
        <w:jc w:val="both"/>
      </w:pPr>
      <w:r>
        <w:rPr>
          <w:b/>
          <w:i w:val="0"/>
          <w:color w:val="111111"/>
          <w:sz w:val="21"/>
        </w:rPr>
        <w:t>Oxigenoterapia.</w:t>
      </w:r>
      <w:r>
        <w:rPr>
          <w:b w:val="0"/>
          <w:i w:val="0"/>
          <w:color w:val="1F2933"/>
          <w:sz w:val="21"/>
        </w:rPr>
        <w:t xml:space="preserve"> Cateter nasal tipo óculos: 1 a 6 L/min, com FiO2 de 24% a 44% (cada litro aumenta cerca de 4%). Máscara de Venturi: oferta FiO2 precisa, útil no DPOC. Máscara com reservatório (não reinalante): 10 a 15 L/min, FiO2 de até 90% a 100%. Umidificador com água destilada estéril, trocado conforme protocolo da instituição.</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2. PONTOS QUE MAIS CAEM EM PROVA</w:t>
            </w:r>
          </w:p>
        </w:tc>
      </w:tr>
    </w:tbl>
    <w:p>
      <w:pPr>
        <w:spacing w:before="0" w:after="40"/>
        <w:jc w:val="both"/>
      </w:pPr>
    </w:p>
    <w:p>
      <w:pPr>
        <w:spacing w:before="0" w:after="40"/>
        <w:ind w:left="283"/>
        <w:jc w:val="both"/>
      </w:pPr>
      <w:r>
        <w:rPr>
          <w:b/>
          <w:i w:val="0"/>
          <w:color w:val="C98F00"/>
          <w:sz w:val="20"/>
        </w:rPr>
        <w:t xml:space="preserve">▸ </w:t>
      </w:r>
      <w:r>
        <w:rPr>
          <w:b w:val="0"/>
          <w:i w:val="0"/>
          <w:color w:val="1F2933"/>
          <w:sz w:val="21"/>
        </w:rPr>
        <w:t>Valores dos sinais vitais e a terminologia (bradicardia, taquipneia, febrícula, hipertensão).</w:t>
      </w:r>
    </w:p>
    <w:p>
      <w:pPr>
        <w:spacing w:before="0" w:after="40"/>
        <w:ind w:left="283"/>
        <w:jc w:val="both"/>
      </w:pPr>
      <w:r>
        <w:rPr>
          <w:b/>
          <w:i w:val="0"/>
          <w:color w:val="C98F00"/>
          <w:sz w:val="20"/>
        </w:rPr>
        <w:t xml:space="preserve">▸ </w:t>
      </w:r>
      <w:r>
        <w:rPr>
          <w:b w:val="0"/>
          <w:i w:val="0"/>
          <w:color w:val="1F2933"/>
          <w:sz w:val="21"/>
        </w:rPr>
        <w:t>Ordem do exame físico e a exceção do abdome (inspeção, ausculta, percussão, palpação).</w:t>
      </w:r>
    </w:p>
    <w:p>
      <w:pPr>
        <w:spacing w:before="0" w:after="40"/>
        <w:ind w:left="283"/>
        <w:jc w:val="both"/>
      </w:pPr>
      <w:r>
        <w:rPr>
          <w:b/>
          <w:i w:val="0"/>
          <w:color w:val="C98F00"/>
          <w:sz w:val="20"/>
        </w:rPr>
        <w:t xml:space="preserve">▸ </w:t>
      </w:r>
      <w:r>
        <w:rPr>
          <w:b w:val="0"/>
          <w:i w:val="0"/>
          <w:color w:val="1F2933"/>
          <w:sz w:val="21"/>
        </w:rPr>
        <w:t>Diferença entre sinal (objetivo) e sintoma (subjetivo).</w:t>
      </w:r>
    </w:p>
    <w:p>
      <w:pPr>
        <w:spacing w:before="0" w:after="40"/>
        <w:ind w:left="283"/>
        <w:jc w:val="both"/>
      </w:pPr>
      <w:r>
        <w:rPr>
          <w:b/>
          <w:i w:val="0"/>
          <w:color w:val="C98F00"/>
          <w:sz w:val="20"/>
        </w:rPr>
        <w:t xml:space="preserve">▸ </w:t>
      </w:r>
      <w:r>
        <w:rPr>
          <w:b w:val="0"/>
          <w:i w:val="0"/>
          <w:color w:val="1F2933"/>
          <w:sz w:val="21"/>
        </w:rPr>
        <w:t>Posições: Fowler, semi-Fowler, Sims, Trendelenburg, litotômica.</w:t>
      </w:r>
    </w:p>
    <w:p>
      <w:pPr>
        <w:spacing w:before="0" w:after="40"/>
        <w:ind w:left="283"/>
        <w:jc w:val="both"/>
      </w:pPr>
      <w:r>
        <w:rPr>
          <w:b/>
          <w:i w:val="0"/>
          <w:color w:val="C98F00"/>
          <w:sz w:val="20"/>
        </w:rPr>
        <w:t xml:space="preserve">▸ </w:t>
      </w:r>
      <w:r>
        <w:rPr>
          <w:b w:val="0"/>
          <w:i w:val="0"/>
          <w:color w:val="1F2933"/>
          <w:sz w:val="21"/>
        </w:rPr>
        <w:t>Ângulos e volumes das injeções; ventroglútea como região mais segura; vasto lateral em lactentes.</w:t>
      </w:r>
    </w:p>
    <w:p>
      <w:pPr>
        <w:spacing w:before="0" w:after="40"/>
        <w:ind w:left="283"/>
        <w:jc w:val="both"/>
      </w:pPr>
      <w:r>
        <w:rPr>
          <w:b/>
          <w:i w:val="0"/>
          <w:color w:val="C98F00"/>
          <w:sz w:val="20"/>
        </w:rPr>
        <w:t xml:space="preserve">▸ </w:t>
      </w:r>
      <w:r>
        <w:rPr>
          <w:b w:val="0"/>
          <w:i w:val="0"/>
          <w:color w:val="1F2933"/>
          <w:sz w:val="21"/>
        </w:rPr>
        <w:t>Medida da SNG (nariz–lóbulo da orelha–apêndice xifoide) e confirmação da posição.</w:t>
      </w:r>
    </w:p>
    <w:p>
      <w:pPr>
        <w:spacing w:before="0" w:after="40"/>
        <w:ind w:left="283"/>
        <w:jc w:val="both"/>
      </w:pPr>
      <w:r>
        <w:rPr>
          <w:b/>
          <w:i w:val="0"/>
          <w:color w:val="C98F00"/>
          <w:sz w:val="20"/>
        </w:rPr>
        <w:t xml:space="preserve">▸ </w:t>
      </w:r>
      <w:r>
        <w:rPr>
          <w:b w:val="0"/>
          <w:i w:val="0"/>
          <w:color w:val="1F2933"/>
          <w:sz w:val="21"/>
        </w:rPr>
        <w:t>Sondagem vesical é técnica estéril; bolsa abaixo da bexiga.</w:t>
      </w:r>
    </w:p>
    <w:p>
      <w:pPr>
        <w:spacing w:before="0" w:after="40"/>
        <w:ind w:left="283"/>
        <w:jc w:val="both"/>
      </w:pPr>
      <w:r>
        <w:rPr>
          <w:b/>
          <w:i w:val="0"/>
          <w:color w:val="C98F00"/>
          <w:sz w:val="20"/>
        </w:rPr>
        <w:t xml:space="preserve">▸ </w:t>
      </w:r>
      <w:r>
        <w:rPr>
          <w:b w:val="0"/>
          <w:i w:val="0"/>
          <w:color w:val="1F2933"/>
          <w:sz w:val="21"/>
        </w:rPr>
        <w:t>Curativo do menos para o mais contaminado.</w:t>
      </w:r>
    </w:p>
    <w:p>
      <w:pPr>
        <w:spacing w:before="0" w:after="40"/>
        <w:ind w:left="283"/>
        <w:jc w:val="both"/>
      </w:pPr>
      <w:r>
        <w:rPr>
          <w:b/>
          <w:i w:val="0"/>
          <w:color w:val="C98F00"/>
          <w:sz w:val="20"/>
        </w:rPr>
        <w:t xml:space="preserve">▸ </w:t>
      </w:r>
      <w:r>
        <w:rPr>
          <w:b w:val="0"/>
          <w:i w:val="0"/>
          <w:color w:val="1F2933"/>
          <w:sz w:val="21"/>
        </w:rPr>
        <w:t>Estágios da lesão por pressão e escala de Braden.</w:t>
      </w:r>
    </w:p>
    <w:p>
      <w:pPr>
        <w:spacing w:before="0" w:after="40"/>
        <w:ind w:left="283"/>
        <w:jc w:val="both"/>
      </w:pPr>
      <w:r>
        <w:rPr>
          <w:b/>
          <w:i w:val="0"/>
          <w:color w:val="C98F00"/>
          <w:sz w:val="20"/>
        </w:rPr>
        <w:t xml:space="preserve">▸ </w:t>
      </w:r>
      <w:r>
        <w:rPr>
          <w:b w:val="0"/>
          <w:i w:val="0"/>
          <w:color w:val="1F2933"/>
          <w:sz w:val="21"/>
        </w:rPr>
        <w:t>Os 9 certos da administração de medicamentos.</w:t>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3. MACETES E DICAS DE MEMORIZAÇÃO</w:t>
            </w:r>
          </w:p>
        </w:tc>
      </w:tr>
    </w:tbl>
    <w:p>
      <w:pPr>
        <w:spacing w:before="0" w:after="40"/>
        <w:jc w:val="both"/>
      </w:pPr>
    </w:p>
    <w:p>
      <w:pPr>
        <w:spacing w:before="0" w:after="40"/>
        <w:ind w:left="283"/>
        <w:jc w:val="both"/>
      </w:pPr>
      <w:r>
        <w:rPr>
          <w:b/>
          <w:i w:val="0"/>
          <w:color w:val="C98F00"/>
          <w:sz w:val="20"/>
        </w:rPr>
        <w:t xml:space="preserve">▸ </w:t>
      </w:r>
      <w:r>
        <w:rPr>
          <w:b/>
          <w:i w:val="0"/>
          <w:color w:val="111111"/>
          <w:sz w:val="21"/>
        </w:rPr>
        <w:t>"IPPA, mas na barriga é IAPP"</w:t>
      </w:r>
      <w:r>
        <w:rPr>
          <w:b w:val="0"/>
          <w:i w:val="0"/>
          <w:color w:val="1F2933"/>
          <w:sz w:val="21"/>
        </w:rPr>
        <w:t>: inspeção, palpação, percussão, ausculta; no abdome a ausculta vem logo após a inspeção.</w:t>
      </w:r>
    </w:p>
    <w:p>
      <w:pPr>
        <w:spacing w:before="0" w:after="40"/>
        <w:ind w:left="283"/>
        <w:jc w:val="both"/>
      </w:pPr>
      <w:r>
        <w:rPr>
          <w:b/>
          <w:i w:val="0"/>
          <w:color w:val="C98F00"/>
          <w:sz w:val="20"/>
        </w:rPr>
        <w:t xml:space="preserve">▸ </w:t>
      </w:r>
      <w:r>
        <w:rPr>
          <w:b/>
          <w:i w:val="0"/>
          <w:color w:val="111111"/>
          <w:sz w:val="21"/>
        </w:rPr>
        <w:t>"NEX"</w:t>
      </w:r>
      <w:r>
        <w:rPr>
          <w:b w:val="0"/>
          <w:i w:val="0"/>
          <w:color w:val="1F2933"/>
          <w:sz w:val="21"/>
        </w:rPr>
        <w:t>: Nariz, Earlobe (lóbulo da orelha), Xifoide = medida da sonda gástrica.</w:t>
      </w:r>
    </w:p>
    <w:p>
      <w:pPr>
        <w:spacing w:before="0" w:after="40"/>
        <w:ind w:left="283"/>
        <w:jc w:val="both"/>
      </w:pPr>
      <w:r>
        <w:rPr>
          <w:b/>
          <w:i w:val="0"/>
          <w:color w:val="C98F00"/>
          <w:sz w:val="20"/>
        </w:rPr>
        <w:t xml:space="preserve">▸ </w:t>
      </w:r>
      <w:r>
        <w:rPr>
          <w:b/>
          <w:i w:val="0"/>
          <w:color w:val="111111"/>
          <w:sz w:val="21"/>
        </w:rPr>
        <w:t>"Sinal se vê, sintoma se diz"</w:t>
      </w:r>
      <w:r>
        <w:rPr>
          <w:b w:val="0"/>
          <w:i w:val="0"/>
          <w:color w:val="1F2933"/>
          <w:sz w:val="21"/>
        </w:rPr>
        <w:t>: sinal é objetivo; sintoma é relato.</w:t>
      </w:r>
    </w:p>
    <w:p>
      <w:pPr>
        <w:spacing w:before="0" w:after="40"/>
        <w:ind w:left="283"/>
        <w:jc w:val="both"/>
      </w:pPr>
      <w:r>
        <w:rPr>
          <w:b/>
          <w:i w:val="0"/>
          <w:color w:val="C98F00"/>
          <w:sz w:val="20"/>
        </w:rPr>
        <w:t xml:space="preserve">▸ </w:t>
      </w:r>
      <w:r>
        <w:rPr>
          <w:b/>
          <w:i w:val="0"/>
          <w:color w:val="111111"/>
          <w:sz w:val="21"/>
        </w:rPr>
        <w:t>Ângulos "10–45–90"</w:t>
      </w:r>
      <w:r>
        <w:rPr>
          <w:b w:val="0"/>
          <w:i w:val="0"/>
          <w:color w:val="1F2933"/>
          <w:sz w:val="21"/>
        </w:rPr>
        <w:t>: ID 10–15°, SC 45° (ou 90° com agulha curta), IM 90°.</w:t>
      </w:r>
    </w:p>
    <w:p>
      <w:pPr>
        <w:spacing w:before="0" w:after="40"/>
        <w:ind w:left="283"/>
        <w:jc w:val="both"/>
      </w:pPr>
      <w:r>
        <w:rPr>
          <w:b/>
          <w:i w:val="0"/>
          <w:color w:val="C98F00"/>
          <w:sz w:val="20"/>
        </w:rPr>
        <w:t xml:space="preserve">▸ </w:t>
      </w:r>
      <w:r>
        <w:rPr>
          <w:b/>
          <w:i w:val="0"/>
          <w:color w:val="111111"/>
          <w:sz w:val="21"/>
        </w:rPr>
        <w:t>"Ventroglútea = VIP"</w:t>
      </w:r>
      <w:r>
        <w:rPr>
          <w:b w:val="0"/>
          <w:i w:val="0"/>
          <w:color w:val="1F2933"/>
          <w:sz w:val="21"/>
        </w:rPr>
        <w:t>: a área mais segura para IM em adultos e crianças acima de 1 ano.</w:t>
      </w:r>
    </w:p>
    <w:p>
      <w:pPr>
        <w:spacing w:before="0" w:after="40"/>
        <w:ind w:left="283"/>
        <w:jc w:val="both"/>
      </w:pPr>
      <w:r>
        <w:rPr>
          <w:b/>
          <w:i w:val="0"/>
          <w:color w:val="C98F00"/>
          <w:sz w:val="20"/>
        </w:rPr>
        <w:t xml:space="preserve">▸ </w:t>
      </w:r>
      <w:r>
        <w:rPr>
          <w:b/>
          <w:i w:val="0"/>
          <w:color w:val="111111"/>
          <w:sz w:val="21"/>
        </w:rPr>
        <w:t>Braden: "nota baixa, risco alto"</w:t>
      </w:r>
      <w:r>
        <w:rPr>
          <w:b w:val="0"/>
          <w:i w:val="0"/>
          <w:color w:val="1F2933"/>
          <w:sz w:val="21"/>
        </w:rPr>
        <w:t>.</w:t>
      </w:r>
    </w:p>
    <w:p>
      <w:pPr>
        <w:spacing w:before="0" w:after="40"/>
        <w:ind w:left="283"/>
        <w:jc w:val="both"/>
      </w:pPr>
      <w:r>
        <w:rPr>
          <w:b/>
          <w:i w:val="0"/>
          <w:color w:val="C98F00"/>
          <w:sz w:val="20"/>
        </w:rPr>
        <w:t xml:space="preserve">▸ </w:t>
      </w:r>
      <w:r>
        <w:rPr>
          <w:b/>
          <w:i w:val="0"/>
          <w:color w:val="111111"/>
          <w:sz w:val="21"/>
        </w:rPr>
        <w:t>"Do limpo para o sujo"</w:t>
      </w:r>
      <w:r>
        <w:rPr>
          <w:b w:val="0"/>
          <w:i w:val="0"/>
          <w:color w:val="1F2933"/>
          <w:sz w:val="21"/>
        </w:rPr>
        <w:t>: regra universal do curativo e da higiene.</w:t>
      </w:r>
    </w:p>
    <w:p>
      <w:r>
        <w:br w:type="page"/>
      </w: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4. QUESTÕES</w:t>
            </w:r>
          </w:p>
        </w:tc>
      </w:tr>
    </w:tbl>
    <w:p>
      <w:pPr>
        <w:spacing w:before="0" w:after="4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01</w:t>
            </w:r>
          </w:p>
        </w:tc>
      </w:tr>
    </w:tbl>
    <w:p>
      <w:pPr>
        <w:spacing w:before="80" w:after="60"/>
        <w:jc w:val="both"/>
      </w:pPr>
      <w:r>
        <w:rPr>
          <w:b w:val="0"/>
          <w:i w:val="0"/>
          <w:color w:val="1F2933"/>
          <w:sz w:val="21"/>
        </w:rPr>
        <w:t>Durante a admissão de um paciente adulto, o técnico em enfermagem verificou: temperatura axilar de 37,5 °C, frequência cardíaca de 110 bpm e frequência respiratória de 24 irpm. Esses achados são descritos, respectivamente, como:</w:t>
      </w:r>
    </w:p>
    <w:p>
      <w:pPr>
        <w:spacing w:before="0" w:after="20"/>
        <w:ind w:left="340"/>
        <w:jc w:val="both"/>
      </w:pPr>
      <w:r>
        <w:rPr>
          <w:b/>
          <w:i w:val="0"/>
          <w:color w:val="111111"/>
          <w:sz w:val="20"/>
        </w:rPr>
        <w:t xml:space="preserve">(A) </w:t>
      </w:r>
      <w:r>
        <w:rPr>
          <w:b w:val="0"/>
          <w:i w:val="0"/>
          <w:color w:val="1F2933"/>
          <w:sz w:val="20"/>
        </w:rPr>
        <w:t>febre, bradicardia e bradipneia.</w:t>
      </w:r>
    </w:p>
    <w:p>
      <w:pPr>
        <w:spacing w:before="0" w:after="20"/>
        <w:ind w:left="340"/>
        <w:jc w:val="both"/>
      </w:pPr>
      <w:r>
        <w:rPr>
          <w:b/>
          <w:i w:val="0"/>
          <w:color w:val="111111"/>
          <w:sz w:val="20"/>
        </w:rPr>
        <w:t xml:space="preserve">(B) </w:t>
      </w:r>
      <w:r>
        <w:rPr>
          <w:b w:val="0"/>
          <w:i w:val="0"/>
          <w:color w:val="1F2933"/>
          <w:sz w:val="20"/>
        </w:rPr>
        <w:t>febrícula, taquicardia e taquipneia.</w:t>
      </w:r>
    </w:p>
    <w:p>
      <w:pPr>
        <w:spacing w:before="0" w:after="20"/>
        <w:ind w:left="340"/>
        <w:jc w:val="both"/>
      </w:pPr>
      <w:r>
        <w:rPr>
          <w:b/>
          <w:i w:val="0"/>
          <w:color w:val="111111"/>
          <w:sz w:val="20"/>
        </w:rPr>
        <w:t xml:space="preserve">(C) </w:t>
      </w:r>
      <w:r>
        <w:rPr>
          <w:b w:val="0"/>
          <w:i w:val="0"/>
          <w:color w:val="1F2933"/>
          <w:sz w:val="20"/>
        </w:rPr>
        <w:t>hipertermia, taquicardia e eupneia.</w:t>
      </w:r>
    </w:p>
    <w:p>
      <w:pPr>
        <w:spacing w:before="0" w:after="20"/>
        <w:ind w:left="340"/>
        <w:jc w:val="both"/>
      </w:pPr>
      <w:r>
        <w:rPr>
          <w:b/>
          <w:i w:val="0"/>
          <w:color w:val="111111"/>
          <w:sz w:val="20"/>
        </w:rPr>
        <w:t xml:space="preserve">(D) </w:t>
      </w:r>
      <w:r>
        <w:rPr>
          <w:b w:val="0"/>
          <w:i w:val="0"/>
          <w:color w:val="1F2933"/>
          <w:sz w:val="20"/>
        </w:rPr>
        <w:t>afebril, normocardia e taquipneia.</w:t>
      </w:r>
    </w:p>
    <w:p>
      <w:pPr>
        <w:spacing w:before="0" w:after="20"/>
        <w:ind w:left="340"/>
        <w:jc w:val="both"/>
      </w:pPr>
      <w:r>
        <w:rPr>
          <w:b/>
          <w:i w:val="0"/>
          <w:color w:val="111111"/>
          <w:sz w:val="20"/>
        </w:rPr>
        <w:t xml:space="preserve">(E) </w:t>
      </w:r>
      <w:r>
        <w:rPr>
          <w:b w:val="0"/>
          <w:i w:val="0"/>
          <w:color w:val="1F2933"/>
          <w:sz w:val="20"/>
        </w:rPr>
        <w:t>febrícula, taquisfigmia e apneia.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B</w:t>
            </w:r>
          </w:p>
          <w:p>
            <w:r>
              <w:rPr>
                <w:b/>
                <w:i w:val="0"/>
                <w:color w:val="111111"/>
                <w:sz w:val="20"/>
              </w:rPr>
              <w:t>Comentário:</w:t>
            </w:r>
          </w:p>
          <w:p>
            <w:r>
              <w:rPr>
                <w:b/>
                <w:i w:val="0"/>
                <w:color w:val="111111"/>
                <w:sz w:val="20"/>
              </w:rPr>
              <w:t>A)</w:t>
            </w:r>
            <w:r>
              <w:rPr>
                <w:b w:val="0"/>
                <w:i w:val="0"/>
                <w:color w:val="1F2933"/>
                <w:sz w:val="20"/>
              </w:rPr>
              <w:t xml:space="preserve"> Incorreta – 37,5 °C é febrícula (37,1 a 37,7 °C); FC de 110 bpm é taquicardia, e não bradicardia; FR de 24 irpm é taquipneia.</w:t>
            </w:r>
          </w:p>
          <w:p>
            <w:r>
              <w:rPr>
                <w:b/>
                <w:i w:val="0"/>
                <w:color w:val="111111"/>
                <w:sz w:val="20"/>
              </w:rPr>
              <w:t>B)</w:t>
            </w:r>
            <w:r>
              <w:rPr>
                <w:b w:val="0"/>
                <w:i w:val="0"/>
                <w:color w:val="1F2933"/>
                <w:sz w:val="20"/>
              </w:rPr>
              <w:t xml:space="preserve"> Correta – febrícula, FC acima de 100 bpm (taquicardia) e FR acima de 20 irpm (taquipneia).</w:t>
            </w:r>
          </w:p>
          <w:p>
            <w:r>
              <w:rPr>
                <w:b/>
                <w:i w:val="0"/>
                <w:color w:val="111111"/>
                <w:sz w:val="20"/>
              </w:rPr>
              <w:t>C)</w:t>
            </w:r>
            <w:r>
              <w:rPr>
                <w:b w:val="0"/>
                <w:i w:val="0"/>
                <w:color w:val="1F2933"/>
                <w:sz w:val="20"/>
              </w:rPr>
              <w:t xml:space="preserve"> Incorreta – hipertermia/febre começa em 37,8 °C, e FR de 24 irpm não é eupneia.</w:t>
            </w:r>
          </w:p>
          <w:p>
            <w:r>
              <w:rPr>
                <w:b/>
                <w:i w:val="0"/>
                <w:color w:val="111111"/>
                <w:sz w:val="20"/>
              </w:rPr>
              <w:t>D)</w:t>
            </w:r>
            <w:r>
              <w:rPr>
                <w:b w:val="0"/>
                <w:i w:val="0"/>
                <w:color w:val="1F2933"/>
                <w:sz w:val="20"/>
              </w:rPr>
              <w:t xml:space="preserve"> Incorreta – 37,5 °C não é afebril e 110 bpm não está na faixa normal (60 a 100 bpm).</w:t>
            </w:r>
          </w:p>
          <w:p>
            <w:r>
              <w:rPr>
                <w:b/>
                <w:i w:val="0"/>
                <w:color w:val="111111"/>
                <w:sz w:val="20"/>
              </w:rPr>
              <w:t>E)</w:t>
            </w:r>
            <w:r>
              <w:rPr>
                <w:b w:val="0"/>
                <w:i w:val="0"/>
                <w:color w:val="1F2933"/>
                <w:sz w:val="20"/>
              </w:rPr>
              <w:t xml:space="preserve"> Incorreta – apneia é a ausência de respiração, o que não ocorre com FR de 24 irpm.</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02</w:t>
            </w:r>
          </w:p>
        </w:tc>
      </w:tr>
    </w:tbl>
    <w:p>
      <w:pPr>
        <w:spacing w:before="80" w:after="60"/>
        <w:jc w:val="both"/>
      </w:pPr>
      <w:r>
        <w:rPr>
          <w:b w:val="0"/>
          <w:i w:val="0"/>
          <w:color w:val="1F2933"/>
          <w:sz w:val="21"/>
        </w:rPr>
        <w:t>No exame físico do abdome, a sequência correta dos métodos propedêuticos é:</w:t>
      </w:r>
    </w:p>
    <w:p>
      <w:pPr>
        <w:spacing w:before="0" w:after="20"/>
        <w:ind w:left="340"/>
        <w:jc w:val="both"/>
      </w:pPr>
      <w:r>
        <w:rPr>
          <w:b/>
          <w:i w:val="0"/>
          <w:color w:val="111111"/>
          <w:sz w:val="20"/>
        </w:rPr>
        <w:t xml:space="preserve">(A) </w:t>
      </w:r>
      <w:r>
        <w:rPr>
          <w:b w:val="0"/>
          <w:i w:val="0"/>
          <w:color w:val="1F2933"/>
          <w:sz w:val="20"/>
        </w:rPr>
        <w:t>inspeção, palpação, percussão e ausculta.</w:t>
      </w:r>
    </w:p>
    <w:p>
      <w:pPr>
        <w:spacing w:before="0" w:after="20"/>
        <w:ind w:left="340"/>
        <w:jc w:val="both"/>
      </w:pPr>
      <w:r>
        <w:rPr>
          <w:b/>
          <w:i w:val="0"/>
          <w:color w:val="111111"/>
          <w:sz w:val="20"/>
        </w:rPr>
        <w:t xml:space="preserve">(B) </w:t>
      </w:r>
      <w:r>
        <w:rPr>
          <w:b w:val="0"/>
          <w:i w:val="0"/>
          <w:color w:val="1F2933"/>
          <w:sz w:val="20"/>
        </w:rPr>
        <w:t>palpação, inspeção, ausculta e percussão.</w:t>
      </w:r>
    </w:p>
    <w:p>
      <w:pPr>
        <w:spacing w:before="0" w:after="20"/>
        <w:ind w:left="340"/>
        <w:jc w:val="both"/>
      </w:pPr>
      <w:r>
        <w:rPr>
          <w:b/>
          <w:i w:val="0"/>
          <w:color w:val="111111"/>
          <w:sz w:val="20"/>
        </w:rPr>
        <w:t xml:space="preserve">(C) </w:t>
      </w:r>
      <w:r>
        <w:rPr>
          <w:b w:val="0"/>
          <w:i w:val="0"/>
          <w:color w:val="1F2933"/>
          <w:sz w:val="20"/>
        </w:rPr>
        <w:t>inspeção, ausculta, percussão e palpação.</w:t>
      </w:r>
    </w:p>
    <w:p>
      <w:pPr>
        <w:spacing w:before="0" w:after="20"/>
        <w:ind w:left="340"/>
        <w:jc w:val="both"/>
      </w:pPr>
      <w:r>
        <w:rPr>
          <w:b/>
          <w:i w:val="0"/>
          <w:color w:val="111111"/>
          <w:sz w:val="20"/>
        </w:rPr>
        <w:t xml:space="preserve">(D) </w:t>
      </w:r>
      <w:r>
        <w:rPr>
          <w:b w:val="0"/>
          <w:i w:val="0"/>
          <w:color w:val="1F2933"/>
          <w:sz w:val="20"/>
        </w:rPr>
        <w:t>ausculta, inspeção, palpação e percussão.</w:t>
      </w:r>
    </w:p>
    <w:p>
      <w:pPr>
        <w:spacing w:before="0" w:after="20"/>
        <w:ind w:left="340"/>
        <w:jc w:val="both"/>
      </w:pPr>
      <w:r>
        <w:rPr>
          <w:b/>
          <w:i w:val="0"/>
          <w:color w:val="111111"/>
          <w:sz w:val="20"/>
        </w:rPr>
        <w:t xml:space="preserve">(E) </w:t>
      </w:r>
      <w:r>
        <w:rPr>
          <w:b w:val="0"/>
          <w:i w:val="0"/>
          <w:color w:val="1F2933"/>
          <w:sz w:val="20"/>
        </w:rPr>
        <w:t>percussão, palpação, inspeção e ausculta.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essa é a ordem geral do exame físico, que não se aplica ao abdome.</w:t>
            </w:r>
          </w:p>
          <w:p>
            <w:r>
              <w:rPr>
                <w:b/>
                <w:i w:val="0"/>
                <w:color w:val="111111"/>
                <w:sz w:val="20"/>
              </w:rPr>
              <w:t>B)</w:t>
            </w:r>
            <w:r>
              <w:rPr>
                <w:b w:val="0"/>
                <w:i w:val="0"/>
                <w:color w:val="1F2933"/>
                <w:sz w:val="20"/>
              </w:rPr>
              <w:t xml:space="preserve"> Incorreta – a inspeção é sempre o primeiro método.</w:t>
            </w:r>
          </w:p>
          <w:p>
            <w:r>
              <w:rPr>
                <w:b/>
                <w:i w:val="0"/>
                <w:color w:val="111111"/>
                <w:sz w:val="20"/>
              </w:rPr>
              <w:t>C)</w:t>
            </w:r>
            <w:r>
              <w:rPr>
                <w:b w:val="0"/>
                <w:i w:val="0"/>
                <w:color w:val="1F2933"/>
                <w:sz w:val="20"/>
              </w:rPr>
              <w:t xml:space="preserve"> Correta – no abdome, ausculta-se antes de percutir e palpar, porque a manipulação altera os ruídos hidroaéreos.</w:t>
            </w:r>
          </w:p>
          <w:p>
            <w:r>
              <w:rPr>
                <w:b/>
                <w:i w:val="0"/>
                <w:color w:val="111111"/>
                <w:sz w:val="20"/>
              </w:rPr>
              <w:t>D)</w:t>
            </w:r>
            <w:r>
              <w:rPr>
                <w:b w:val="0"/>
                <w:i w:val="0"/>
                <w:color w:val="1F2933"/>
                <w:sz w:val="20"/>
              </w:rPr>
              <w:t xml:space="preserve"> Incorreta – a inspeção precede a ausculta.</w:t>
            </w:r>
          </w:p>
          <w:p>
            <w:r>
              <w:rPr>
                <w:b/>
                <w:i w:val="0"/>
                <w:color w:val="111111"/>
                <w:sz w:val="20"/>
              </w:rPr>
              <w:t>E)</w:t>
            </w:r>
            <w:r>
              <w:rPr>
                <w:b w:val="0"/>
                <w:i w:val="0"/>
                <w:color w:val="1F2933"/>
                <w:sz w:val="20"/>
              </w:rPr>
              <w:t xml:space="preserve"> Incorreta – sequência sem fundamento técnico.</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03</w:t>
            </w:r>
          </w:p>
        </w:tc>
      </w:tr>
    </w:tbl>
    <w:p>
      <w:pPr>
        <w:spacing w:before="80" w:after="60"/>
        <w:jc w:val="both"/>
      </w:pPr>
      <w:r>
        <w:rPr>
          <w:b w:val="0"/>
          <w:i w:val="0"/>
          <w:color w:val="1F2933"/>
          <w:sz w:val="21"/>
        </w:rPr>
        <w:t>Para a administração de medicamento por via intramuscular em adulto, a região considerada mais segura, por ser livre de grandes vasos e nervos, é a:</w:t>
      </w:r>
    </w:p>
    <w:p>
      <w:pPr>
        <w:spacing w:before="0" w:after="20"/>
        <w:ind w:left="340"/>
        <w:jc w:val="both"/>
      </w:pPr>
      <w:r>
        <w:rPr>
          <w:b/>
          <w:i w:val="0"/>
          <w:color w:val="111111"/>
          <w:sz w:val="20"/>
        </w:rPr>
        <w:t xml:space="preserve">(A) </w:t>
      </w:r>
      <w:r>
        <w:rPr>
          <w:b w:val="0"/>
          <w:i w:val="0"/>
          <w:color w:val="1F2933"/>
          <w:sz w:val="20"/>
        </w:rPr>
        <w:t>dorsoglútea, no quadrante inferior interno.</w:t>
      </w:r>
    </w:p>
    <w:p>
      <w:pPr>
        <w:spacing w:before="0" w:after="20"/>
        <w:ind w:left="340"/>
        <w:jc w:val="both"/>
      </w:pPr>
      <w:r>
        <w:rPr>
          <w:b/>
          <w:i w:val="0"/>
          <w:color w:val="111111"/>
          <w:sz w:val="20"/>
        </w:rPr>
        <w:t xml:space="preserve">(B) </w:t>
      </w:r>
      <w:r>
        <w:rPr>
          <w:b w:val="0"/>
          <w:i w:val="0"/>
          <w:color w:val="1F2933"/>
          <w:sz w:val="20"/>
        </w:rPr>
        <w:t>deltoidiana, para volumes de até 5 mL.</w:t>
      </w:r>
    </w:p>
    <w:p>
      <w:pPr>
        <w:spacing w:before="0" w:after="20"/>
        <w:ind w:left="340"/>
        <w:jc w:val="both"/>
      </w:pPr>
      <w:r>
        <w:rPr>
          <w:b/>
          <w:i w:val="0"/>
          <w:color w:val="111111"/>
          <w:sz w:val="20"/>
        </w:rPr>
        <w:t xml:space="preserve">(C) </w:t>
      </w:r>
      <w:r>
        <w:rPr>
          <w:b w:val="0"/>
          <w:i w:val="0"/>
          <w:color w:val="1F2933"/>
          <w:sz w:val="20"/>
        </w:rPr>
        <w:t>ventroglútea (de Hochstetter).</w:t>
      </w:r>
    </w:p>
    <w:p>
      <w:pPr>
        <w:spacing w:before="0" w:after="20"/>
        <w:ind w:left="340"/>
        <w:jc w:val="both"/>
      </w:pPr>
      <w:r>
        <w:rPr>
          <w:b/>
          <w:i w:val="0"/>
          <w:color w:val="111111"/>
          <w:sz w:val="20"/>
        </w:rPr>
        <w:t xml:space="preserve">(D) </w:t>
      </w:r>
      <w:r>
        <w:rPr>
          <w:b w:val="0"/>
          <w:i w:val="0"/>
          <w:color w:val="1F2933"/>
          <w:sz w:val="20"/>
        </w:rPr>
        <w:t>face anterior do antebraço.</w:t>
      </w:r>
    </w:p>
    <w:p>
      <w:pPr>
        <w:spacing w:before="0" w:after="20"/>
        <w:ind w:left="340"/>
        <w:jc w:val="both"/>
      </w:pPr>
      <w:r>
        <w:rPr>
          <w:b/>
          <w:i w:val="0"/>
          <w:color w:val="111111"/>
          <w:sz w:val="20"/>
        </w:rPr>
        <w:t xml:space="preserve">(E) </w:t>
      </w:r>
      <w:r>
        <w:rPr>
          <w:b w:val="0"/>
          <w:i w:val="0"/>
          <w:color w:val="1F2933"/>
          <w:sz w:val="20"/>
        </w:rPr>
        <w:t>região abdominal periumbilical.</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na dorsoglútea usa-se o quadrante superior externo; o inferior interno coloca em risco o nervo ciático.</w:t>
            </w:r>
          </w:p>
          <w:p>
            <w:r>
              <w:rPr>
                <w:b/>
                <w:i w:val="0"/>
                <w:color w:val="111111"/>
                <w:sz w:val="20"/>
              </w:rPr>
              <w:t>B)</w:t>
            </w:r>
            <w:r>
              <w:rPr>
                <w:b w:val="0"/>
                <w:i w:val="0"/>
                <w:color w:val="1F2933"/>
                <w:sz w:val="20"/>
              </w:rPr>
              <w:t xml:space="preserve"> Incorreta – o deltoide suporta volumes pequenos (até 2 a 3 mL).</w:t>
            </w:r>
          </w:p>
          <w:p>
            <w:r>
              <w:rPr>
                <w:b/>
                <w:i w:val="0"/>
                <w:color w:val="111111"/>
                <w:sz w:val="20"/>
              </w:rPr>
              <w:t>C)</w:t>
            </w:r>
            <w:r>
              <w:rPr>
                <w:b w:val="0"/>
                <w:i w:val="0"/>
                <w:color w:val="1F2933"/>
                <w:sz w:val="20"/>
              </w:rPr>
              <w:t xml:space="preserve"> Correta – a ventroglútea é a região mais segura, com espessa camada muscular e sem grandes vasos e nervos.</w:t>
            </w:r>
          </w:p>
          <w:p>
            <w:r>
              <w:rPr>
                <w:b/>
                <w:i w:val="0"/>
                <w:color w:val="111111"/>
                <w:sz w:val="20"/>
              </w:rPr>
              <w:t>D)</w:t>
            </w:r>
            <w:r>
              <w:rPr>
                <w:b w:val="0"/>
                <w:i w:val="0"/>
                <w:color w:val="1F2933"/>
                <w:sz w:val="20"/>
              </w:rPr>
              <w:t xml:space="preserve"> Incorreta – o antebraço é local da via intradérmica.</w:t>
            </w:r>
          </w:p>
          <w:p>
            <w:r>
              <w:rPr>
                <w:b/>
                <w:i w:val="0"/>
                <w:color w:val="111111"/>
                <w:sz w:val="20"/>
              </w:rPr>
              <w:t>E)</w:t>
            </w:r>
            <w:r>
              <w:rPr>
                <w:b w:val="0"/>
                <w:i w:val="0"/>
                <w:color w:val="1F2933"/>
                <w:sz w:val="20"/>
              </w:rPr>
              <w:t xml:space="preserve"> Incorreta – o abdome é local da via subcutânea (ex.: insulina, heparina).</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04</w:t>
            </w:r>
          </w:p>
        </w:tc>
      </w:tr>
    </w:tbl>
    <w:p>
      <w:pPr>
        <w:spacing w:before="80" w:after="60"/>
        <w:jc w:val="both"/>
      </w:pPr>
      <w:r>
        <w:rPr>
          <w:b w:val="0"/>
          <w:i w:val="0"/>
          <w:color w:val="1F2933"/>
          <w:sz w:val="21"/>
        </w:rPr>
        <w:t>Sobre a sondagem vesical de demora, assinale a alternativa correta.</w:t>
      </w:r>
    </w:p>
    <w:p>
      <w:pPr>
        <w:spacing w:before="0" w:after="20"/>
        <w:ind w:left="340"/>
        <w:jc w:val="both"/>
      </w:pPr>
      <w:r>
        <w:rPr>
          <w:b/>
          <w:i w:val="0"/>
          <w:color w:val="111111"/>
          <w:sz w:val="20"/>
        </w:rPr>
        <w:t xml:space="preserve">(A) </w:t>
      </w:r>
      <w:r>
        <w:rPr>
          <w:b w:val="0"/>
          <w:i w:val="0"/>
          <w:color w:val="1F2933"/>
          <w:sz w:val="20"/>
        </w:rPr>
        <w:t>É procedimento limpo, dispensando luvas estéreis.</w:t>
      </w:r>
    </w:p>
    <w:p>
      <w:pPr>
        <w:spacing w:before="0" w:after="20"/>
        <w:ind w:left="340"/>
        <w:jc w:val="both"/>
      </w:pPr>
      <w:r>
        <w:rPr>
          <w:b/>
          <w:i w:val="0"/>
          <w:color w:val="111111"/>
          <w:sz w:val="20"/>
        </w:rPr>
        <w:t xml:space="preserve">(B) </w:t>
      </w:r>
      <w:r>
        <w:rPr>
          <w:b w:val="0"/>
          <w:i w:val="0"/>
          <w:color w:val="1F2933"/>
          <w:sz w:val="20"/>
        </w:rPr>
        <w:t>A bolsa coletora deve ser mantida acima do nível da bexiga para facilitar a drenagem.</w:t>
      </w:r>
    </w:p>
    <w:p>
      <w:pPr>
        <w:spacing w:before="0" w:after="20"/>
        <w:ind w:left="340"/>
        <w:jc w:val="both"/>
      </w:pPr>
      <w:r>
        <w:rPr>
          <w:b/>
          <w:i w:val="0"/>
          <w:color w:val="111111"/>
          <w:sz w:val="20"/>
        </w:rPr>
        <w:t xml:space="preserve">(C) </w:t>
      </w:r>
      <w:r>
        <w:rPr>
          <w:b w:val="0"/>
          <w:i w:val="0"/>
          <w:color w:val="1F2933"/>
          <w:sz w:val="20"/>
        </w:rPr>
        <w:t>O balonete da sonda Foley deve ser insuflado com água destilada, conforme o volume indicado pelo fabricante.</w:t>
      </w:r>
    </w:p>
    <w:p>
      <w:pPr>
        <w:spacing w:before="0" w:after="20"/>
        <w:ind w:left="340"/>
        <w:jc w:val="both"/>
      </w:pPr>
      <w:r>
        <w:rPr>
          <w:b/>
          <w:i w:val="0"/>
          <w:color w:val="111111"/>
          <w:sz w:val="20"/>
        </w:rPr>
        <w:t xml:space="preserve">(D) </w:t>
      </w:r>
      <w:r>
        <w:rPr>
          <w:b w:val="0"/>
          <w:i w:val="0"/>
          <w:color w:val="1F2933"/>
          <w:sz w:val="20"/>
        </w:rPr>
        <w:t>No paciente do sexo masculino, o pênis deve ser mantido paralelo às pernas durante a introdução.</w:t>
      </w:r>
    </w:p>
    <w:p>
      <w:pPr>
        <w:spacing w:before="0" w:after="20"/>
        <w:ind w:left="340"/>
        <w:jc w:val="both"/>
      </w:pPr>
      <w:r>
        <w:rPr>
          <w:b/>
          <w:i w:val="0"/>
          <w:color w:val="111111"/>
          <w:sz w:val="20"/>
        </w:rPr>
        <w:t xml:space="preserve">(E) </w:t>
      </w:r>
      <w:r>
        <w:rPr>
          <w:b w:val="0"/>
          <w:i w:val="0"/>
          <w:color w:val="1F2933"/>
          <w:sz w:val="20"/>
        </w:rPr>
        <w:t>A bolsa coletora pode ser apoiada no chão desde que fechada.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a sondagem vesical é procedimento estéril (luvas, campo e material estéreis).</w:t>
            </w:r>
          </w:p>
          <w:p>
            <w:r>
              <w:rPr>
                <w:b/>
                <w:i w:val="0"/>
                <w:color w:val="111111"/>
                <w:sz w:val="20"/>
              </w:rPr>
              <w:t>B)</w:t>
            </w:r>
            <w:r>
              <w:rPr>
                <w:b w:val="0"/>
                <w:i w:val="0"/>
                <w:color w:val="1F2933"/>
                <w:sz w:val="20"/>
              </w:rPr>
              <w:t xml:space="preserve"> Incorreta – a bolsa deve ficar abaixo do nível da bexiga para evitar refluxo e infecção.</w:t>
            </w:r>
          </w:p>
          <w:p>
            <w:r>
              <w:rPr>
                <w:b/>
                <w:i w:val="0"/>
                <w:color w:val="111111"/>
                <w:sz w:val="20"/>
              </w:rPr>
              <w:t>C)</w:t>
            </w:r>
            <w:r>
              <w:rPr>
                <w:b w:val="0"/>
                <w:i w:val="0"/>
                <w:color w:val="1F2933"/>
                <w:sz w:val="20"/>
              </w:rPr>
              <w:t xml:space="preserve"> Correta – o balonete é insuflado com água destilada no volume indicado (geralmente 10 mL); soro fisiológico pode cristalizar.</w:t>
            </w:r>
          </w:p>
          <w:p>
            <w:r>
              <w:rPr>
                <w:b/>
                <w:i w:val="0"/>
                <w:color w:val="111111"/>
                <w:sz w:val="20"/>
              </w:rPr>
              <w:t>D)</w:t>
            </w:r>
            <w:r>
              <w:rPr>
                <w:b w:val="0"/>
                <w:i w:val="0"/>
                <w:color w:val="1F2933"/>
                <w:sz w:val="20"/>
              </w:rPr>
              <w:t xml:space="preserve"> Incorreta – o pênis é posicionado a cerca de 90° em relação ao corpo para retificar a uretra.</w:t>
            </w:r>
          </w:p>
          <w:p>
            <w:r>
              <w:rPr>
                <w:b/>
                <w:i w:val="0"/>
                <w:color w:val="111111"/>
                <w:sz w:val="20"/>
              </w:rPr>
              <w:t>E)</w:t>
            </w:r>
            <w:r>
              <w:rPr>
                <w:b w:val="0"/>
                <w:i w:val="0"/>
                <w:color w:val="1F2933"/>
                <w:sz w:val="20"/>
              </w:rPr>
              <w:t xml:space="preserve"> Incorreta – a bolsa nunca deve tocar o chão.</w:t>
            </w:r>
          </w:p>
        </w:tc>
      </w:tr>
    </w:tbl>
    <w:p>
      <w:pPr>
        <w:spacing w:before="0" w:after="120"/>
        <w:jc w:val="both"/>
      </w:pPr>
    </w:p>
    <w:tbl>
      <w:tblPr>
        <w:tblW w:type="auto" w:w="0"/>
        <w:tblLook w:firstColumn="1" w:firstRow="1" w:lastColumn="0" w:lastRow="0" w:noHBand="0" w:noVBand="1" w:val="04A0"/>
      </w:tblPr>
      <w:tblGrid>
        <w:gridCol w:w="9638"/>
      </w:tblGrid>
      <w:tr>
        <w:tc>
          <w:tcPr>
            <w:tcW w:type="dxa" w:w="9638"/>
            <w:shd w:val="clear" w:color="auto" w:fill="111111"/>
          </w:tcPr>
          <w:p>
            <w:pPr>
              <w:keepNext/>
            </w:pPr>
            <w:r>
              <w:rPr>
                <w:b/>
                <w:i w:val="0"/>
                <w:color w:val="FDB404"/>
                <w:sz w:val="22"/>
              </w:rPr>
              <w:t>QUESTÃO 05</w:t>
            </w:r>
          </w:p>
        </w:tc>
      </w:tr>
    </w:tbl>
    <w:p>
      <w:pPr>
        <w:spacing w:before="80" w:after="60"/>
        <w:jc w:val="both"/>
      </w:pPr>
      <w:r>
        <w:rPr>
          <w:b w:val="0"/>
          <w:i w:val="0"/>
          <w:color w:val="1F2933"/>
          <w:sz w:val="21"/>
        </w:rPr>
        <w:t>Paciente acamado apresenta, na região sacral, perda total da espessura da pele, com tecido adiposo visível, sem exposição de músculo, tendão ou osso. Segundo a classificação do NPIAP, trata-se de lesão por pressão:</w:t>
      </w:r>
    </w:p>
    <w:p>
      <w:pPr>
        <w:spacing w:before="0" w:after="20"/>
        <w:ind w:left="340"/>
        <w:jc w:val="both"/>
      </w:pPr>
      <w:r>
        <w:rPr>
          <w:b/>
          <w:i w:val="0"/>
          <w:color w:val="111111"/>
          <w:sz w:val="20"/>
        </w:rPr>
        <w:t xml:space="preserve">(A) </w:t>
      </w:r>
      <w:r>
        <w:rPr>
          <w:b w:val="0"/>
          <w:i w:val="0"/>
          <w:color w:val="1F2933"/>
          <w:sz w:val="20"/>
        </w:rPr>
        <w:t>estágio 1.</w:t>
      </w:r>
    </w:p>
    <w:p>
      <w:pPr>
        <w:spacing w:before="0" w:after="20"/>
        <w:ind w:left="340"/>
        <w:jc w:val="both"/>
      </w:pPr>
      <w:r>
        <w:rPr>
          <w:b/>
          <w:i w:val="0"/>
          <w:color w:val="111111"/>
          <w:sz w:val="20"/>
        </w:rPr>
        <w:t xml:space="preserve">(B) </w:t>
      </w:r>
      <w:r>
        <w:rPr>
          <w:b w:val="0"/>
          <w:i w:val="0"/>
          <w:color w:val="1F2933"/>
          <w:sz w:val="20"/>
        </w:rPr>
        <w:t>estágio 2.</w:t>
      </w:r>
    </w:p>
    <w:p>
      <w:pPr>
        <w:spacing w:before="0" w:after="20"/>
        <w:ind w:left="340"/>
        <w:jc w:val="both"/>
      </w:pPr>
      <w:r>
        <w:rPr>
          <w:b/>
          <w:i w:val="0"/>
          <w:color w:val="111111"/>
          <w:sz w:val="20"/>
        </w:rPr>
        <w:t xml:space="preserve">(C) </w:t>
      </w:r>
      <w:r>
        <w:rPr>
          <w:b w:val="0"/>
          <w:i w:val="0"/>
          <w:color w:val="1F2933"/>
          <w:sz w:val="20"/>
        </w:rPr>
        <w:t>estágio 3.</w:t>
      </w:r>
    </w:p>
    <w:p>
      <w:pPr>
        <w:spacing w:before="0" w:after="20"/>
        <w:ind w:left="340"/>
        <w:jc w:val="both"/>
      </w:pPr>
      <w:r>
        <w:rPr>
          <w:b/>
          <w:i w:val="0"/>
          <w:color w:val="111111"/>
          <w:sz w:val="20"/>
        </w:rPr>
        <w:t xml:space="preserve">(D) </w:t>
      </w:r>
      <w:r>
        <w:rPr>
          <w:b w:val="0"/>
          <w:i w:val="0"/>
          <w:color w:val="1F2933"/>
          <w:sz w:val="20"/>
        </w:rPr>
        <w:t>estágio 4.</w:t>
      </w:r>
    </w:p>
    <w:p>
      <w:pPr>
        <w:spacing w:before="0" w:after="20"/>
        <w:ind w:left="340"/>
        <w:jc w:val="both"/>
      </w:pPr>
      <w:r>
        <w:rPr>
          <w:b/>
          <w:i w:val="0"/>
          <w:color w:val="111111"/>
          <w:sz w:val="20"/>
        </w:rPr>
        <w:t xml:space="preserve">(E) </w:t>
      </w:r>
      <w:r>
        <w:rPr>
          <w:b w:val="0"/>
          <w:i w:val="0"/>
          <w:color w:val="1F2933"/>
          <w:sz w:val="20"/>
        </w:rPr>
        <w:t>tissular profunda.</w:t>
      </w:r>
    </w:p>
    <w:tbl>
      <w:tblPr>
        <w:tblW w:type="auto" w:w="0"/>
        <w:tblLook w:firstColumn="1" w:firstRow="1" w:lastColumn="0" w:lastRow="0" w:noHBand="0" w:noVBand="1" w:val="04A0"/>
      </w:tblPr>
      <w:tblGrid>
        <w:gridCol w:w="9638"/>
      </w:tblGrid>
      <w:tr>
        <w:tc>
          <w:tcPr>
            <w:tcW w:type="dxa" w:w="9638"/>
            <w:shd w:val="clear" w:color="auto" w:fill="FFF3D1"/>
          </w:tcPr>
          <w:p>
            <w:r>
              <w:rPr>
                <w:b/>
                <w:i w:val="0"/>
                <w:color w:val="1E7B34"/>
                <w:sz w:val="21"/>
              </w:rPr>
              <w:t>✔ GABARITO: C</w:t>
            </w:r>
          </w:p>
          <w:p>
            <w:r>
              <w:rPr>
                <w:b/>
                <w:i w:val="0"/>
                <w:color w:val="111111"/>
                <w:sz w:val="20"/>
              </w:rPr>
              <w:t>Comentário:</w:t>
            </w:r>
          </w:p>
          <w:p>
            <w:r>
              <w:rPr>
                <w:b/>
                <w:i w:val="0"/>
                <w:color w:val="111111"/>
                <w:sz w:val="20"/>
              </w:rPr>
              <w:t>A)</w:t>
            </w:r>
            <w:r>
              <w:rPr>
                <w:b w:val="0"/>
                <w:i w:val="0"/>
                <w:color w:val="1F2933"/>
                <w:sz w:val="20"/>
              </w:rPr>
              <w:t xml:space="preserve"> Incorreta – o estágio 1 tem pele íntegra com eritema que não embranquece.</w:t>
            </w:r>
          </w:p>
          <w:p>
            <w:r>
              <w:rPr>
                <w:b/>
                <w:i w:val="0"/>
                <w:color w:val="111111"/>
                <w:sz w:val="20"/>
              </w:rPr>
              <w:t>B)</w:t>
            </w:r>
            <w:r>
              <w:rPr>
                <w:b w:val="0"/>
                <w:i w:val="0"/>
                <w:color w:val="1F2933"/>
                <w:sz w:val="20"/>
              </w:rPr>
              <w:t xml:space="preserve"> Incorreta – o estágio 2 é perda parcial da pele, com exposição da derme.</w:t>
            </w:r>
          </w:p>
          <w:p>
            <w:r>
              <w:rPr>
                <w:b/>
                <w:i w:val="0"/>
                <w:color w:val="111111"/>
                <w:sz w:val="20"/>
              </w:rPr>
              <w:t>C)</w:t>
            </w:r>
            <w:r>
              <w:rPr>
                <w:b w:val="0"/>
                <w:i w:val="0"/>
                <w:color w:val="1F2933"/>
                <w:sz w:val="20"/>
              </w:rPr>
              <w:t xml:space="preserve"> Correta – perda total da pele com gordura visível, sem estruturas profundas expostas, caracteriza o estágio 3.</w:t>
            </w:r>
          </w:p>
          <w:p>
            <w:r>
              <w:rPr>
                <w:b/>
                <w:i w:val="0"/>
                <w:color w:val="111111"/>
                <w:sz w:val="20"/>
              </w:rPr>
              <w:t>D)</w:t>
            </w:r>
            <w:r>
              <w:rPr>
                <w:b w:val="0"/>
                <w:i w:val="0"/>
                <w:color w:val="1F2933"/>
                <w:sz w:val="20"/>
              </w:rPr>
              <w:t xml:space="preserve"> Incorreta – o estágio 4 expõe músculo, tendão, cartilagem ou osso.</w:t>
            </w:r>
          </w:p>
          <w:p>
            <w:r>
              <w:rPr>
                <w:b/>
                <w:i w:val="0"/>
                <w:color w:val="111111"/>
                <w:sz w:val="20"/>
              </w:rPr>
              <w:t>E)</w:t>
            </w:r>
            <w:r>
              <w:rPr>
                <w:b w:val="0"/>
                <w:i w:val="0"/>
                <w:color w:val="1F2933"/>
                <w:sz w:val="20"/>
              </w:rPr>
              <w:t xml:space="preserve"> Incorreta – a lesão tissular profunda é área persistente vermelho-escura, marrom ou púrpura, com pele íntegra ou não.</w:t>
            </w:r>
          </w:p>
        </w:tc>
      </w:tr>
    </w:tbl>
    <w:p>
      <w:pPr>
        <w:spacing w:before="0" w:after="120"/>
        <w:jc w:val="both"/>
      </w:pPr>
    </w:p>
    <w:p>
      <w:pPr>
        <w:spacing w:before="0" w:after="80"/>
        <w:jc w:val="both"/>
      </w:pPr>
    </w:p>
    <w:tbl>
      <w:tblPr>
        <w:tblW w:type="auto" w:w="0"/>
        <w:jc w:val="center"/>
        <w:tblLook w:firstColumn="1" w:firstRow="1" w:lastColumn="0" w:lastRow="0" w:noHBand="0" w:noVBand="1" w:val="04A0"/>
      </w:tblPr>
      <w:tblGrid>
        <w:gridCol w:w="9638"/>
      </w:tblGrid>
      <w:tr>
        <w:tc>
          <w:tcPr>
            <w:tcW w:type="dxa" w:w="9638"/>
            <w:shd w:val="clear" w:color="auto" w:fill="111111"/>
          </w:tcPr>
          <w:p>
            <w:r>
              <w:rPr>
                <w:b/>
                <w:i w:val="0"/>
                <w:color w:val="FDB404"/>
                <w:sz w:val="26"/>
              </w:rPr>
              <w:t>5. REVISÃO DO CAPÍTULO</w:t>
            </w:r>
          </w:p>
        </w:tc>
      </w:tr>
    </w:tbl>
    <w:p>
      <w:pPr>
        <w:spacing w:before="0" w:after="40"/>
        <w:jc w:val="both"/>
      </w:pPr>
    </w:p>
    <w:p>
      <w:pPr>
        <w:spacing w:before="0" w:after="80"/>
        <w:jc w:val="both"/>
      </w:pPr>
      <w:r>
        <w:rPr>
          <w:b w:val="0"/>
          <w:i w:val="0"/>
          <w:color w:val="1F2933"/>
          <w:sz w:val="21"/>
        </w:rPr>
        <w:t>Resumo em tópicos: sinais vitais e terminologia; sinal × sintoma; IPPA e a exceção do abdome; posições; vias parenterais (ângulos, volumes, locais); SNG, SNE e sondagem vesical; curativos; LPP e Braden; oxigenoterapia.</w:t>
      </w:r>
    </w:p>
    <w:p>
      <w:pPr>
        <w:spacing w:before="0" w:after="80"/>
        <w:jc w:val="both"/>
      </w:pPr>
      <w:r>
        <w:rPr>
          <w:b w:val="0"/>
          <w:i w:val="0"/>
          <w:color w:val="1F2933"/>
          <w:sz w:val="21"/>
        </w:rPr>
        <w:t>Quadro-resumo: FC 60–100 bpm; FR 12–20 irpm; T axilar até 37,0 °C, febre a partir de 37,8 °C; PA alterada ≥ 140/90 mmHg; SpO2 ≥ 95%; mudança de decúbito a cada 2 h.</w:t>
      </w:r>
    </w:p>
    <w:p>
      <w:pPr>
        <w:spacing w:before="0" w:after="80"/>
        <w:jc w:val="both"/>
      </w:pPr>
      <w:r>
        <w:rPr>
          <w:b w:val="0"/>
          <w:i w:val="0"/>
          <w:color w:val="1F2933"/>
          <w:sz w:val="21"/>
        </w:rPr>
        <w:t>Pegadinhas: aplicar IPPA ao abdome; dizer que sondagem vesical é técnica limpa; achar que a dorsoglútea é a região mais segura; confundir estágio 2 com estágio 3 de LPP.</w:t>
      </w:r>
    </w:p>
    <w:p>
      <w:pPr>
        <w:spacing w:before="0" w:after="80"/>
        <w:jc w:val="both"/>
      </w:pPr>
      <w:r>
        <w:rPr>
          <w:b w:val="0"/>
          <w:i w:val="0"/>
          <w:color w:val="1F2933"/>
          <w:sz w:val="21"/>
        </w:rPr>
        <w:t>Erros comuns: classificar 37,5 °C como febre; achar que Braden alto significa risco alto; confirmar SNG apenas por ausculta.</w:t>
      </w:r>
    </w:p>
    <w:sectPr w:rsidR="00FC693F" w:rsidRPr="0006063C" w:rsidSect="00034616">
      <w:headerReference w:type="default" r:id="rId9"/>
      <w:footerReference w:type="default" r:id="rId10"/>
      <w:pgSz w:w="11906" w:h="16838"/>
      <w:pgMar w:top="1247" w:right="1134" w:bottom="1474" w:left="1134" w:header="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2835" w:val="left"/>
        <w:tab w:pos="9638" w:val="left"/>
      </w:tabs>
    </w:pPr>
    <w:r>
      <w:rPr>
        <w:b w:val="0"/>
        <w:i w:val="0"/>
        <w:color w:val="1F2933"/>
        <w:sz w:val="16"/>
      </w:rPr>
      <w:t>TÉCNICO EM ENFERMAGEM (SES-TO)</w:t>
      <w:tab/>
    </w:r>
    <w:r>
      <w:drawing>
        <wp:inline xmlns:a="http://schemas.openxmlformats.org/drawingml/2006/main" xmlns:pic="http://schemas.openxmlformats.org/drawingml/2006/picture">
          <wp:extent cx="1930500" cy="468000"/>
          <wp:docPr id="1" name="Picture 1"/>
          <wp:cNvGraphicFramePr>
            <a:graphicFrameLocks noChangeAspect="1"/>
          </wp:cNvGraphicFramePr>
          <a:graphic>
            <a:graphicData uri="http://schemas.openxmlformats.org/drawingml/2006/picture">
              <pic:pic>
                <pic:nvPicPr>
                  <pic:cNvPr id="0" name="logo_rodape.png"/>
                  <pic:cNvPicPr/>
                </pic:nvPicPr>
                <pic:blipFill>
                  <a:blip r:embed="rId1"/>
                  <a:stretch>
                    <a:fillRect/>
                  </a:stretch>
                </pic:blipFill>
                <pic:spPr>
                  <a:xfrm>
                    <a:off x="0" y="0"/>
                    <a:ext cx="1930500" cy="468000"/>
                  </a:xfrm>
                  <a:prstGeom prst="rect"/>
                </pic:spPr>
              </pic:pic>
            </a:graphicData>
          </a:graphic>
        </wp:inline>
      </w:drawing>
    </w:r>
    <w:r>
      <w:rPr>
        <w:b w:val="0"/>
        <w:i w:val="0"/>
        <w:color w:val="1F2933"/>
        <w:sz w:val="18"/>
      </w:rPr>
      <w:tab/>
      <w:t xml:space="preserve">Página </w:t>
    </w:r>
    <w:r>
      <w:rPr>
        <w:b w:val="0"/>
        <w:i w:val="0"/>
        <w:color w:val="1F2933"/>
        <w:sz w:val="18"/>
      </w:rPr>
      <w:fldChar w:fldCharType="begin"/>
      <w:instrText xml:space="preserve">PAGE</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1080000</wp:posOffset>
          </wp:positionH>
          <wp:positionV relativeFrom="page">
            <wp:posOffset>2646000</wp:posOffset>
          </wp:positionV>
          <wp:extent cx="5400000" cy="5400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marca_dagua_g.png"/>
                  <pic:cNvPicPr/>
                </pic:nvPicPr>
                <pic:blipFill>
                  <a:blip r:embed="rId1"/>
                  <a:stretch>
                    <a:fillRect/>
                  </a:stretch>
                </pic:blipFill>
                <pic:spPr>
                  <a:xfrm>
                    <a:off x="0" y="0"/>
                    <a:ext cx="5400000" cy="540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