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EPIDEMIOLOGIA, VIGILÂNCIA, PREVENÇÃO E CONTROLE DAS IRAS E NA COMUNIDADE, DOENÇAS TRANSMISSÍVEIS, DE NOTIFICAÇÃO COMPULSÓRIA E IMUNOPREVENÍVEIS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10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10.1 Conceitos de epidemiologia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Epidemiologia</w:t>
      </w:r>
      <w:r>
        <w:rPr>
          <w:b w:val="0"/>
          <w:i w:val="0"/>
          <w:color w:val="1F2933"/>
          <w:sz w:val="21"/>
        </w:rPr>
        <w:t xml:space="preserve"> estuda a distribuição e os determinantes dos estados de saúde e doença nas populações, aplicando esse conhecimento ao controle dos problemas de saúde.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Termo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Definição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Endemia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Ocorrência habitual de uma doença em determinada região, dentro do esperado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Epidemia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Aumento da ocorrência acima do esperado em determinada região e período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Surto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Epidemia localizada (mesmo local, como escola ou hospital), em geral com casos relacionados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Pandemia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Epidemia de grande extensão, atingindo vários países e continentes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Incidência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Número de </w:t>
            </w:r>
            <w:r>
              <w:rPr>
                <w:b/>
                <w:i w:val="0"/>
                <w:color w:val="111111"/>
                <w:sz w:val="19"/>
              </w:rPr>
              <w:t>casos novos</w:t>
            </w:r>
            <w:r>
              <w:rPr>
                <w:b w:val="0"/>
                <w:i w:val="0"/>
                <w:color w:val="1F2933"/>
                <w:sz w:val="19"/>
              </w:rPr>
              <w:t xml:space="preserve"> em determinado período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Prevalência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Número </w:t>
            </w:r>
            <w:r>
              <w:rPr>
                <w:b/>
                <w:i w:val="0"/>
                <w:color w:val="111111"/>
                <w:sz w:val="19"/>
              </w:rPr>
              <w:t>total de casos</w:t>
            </w:r>
            <w:r>
              <w:rPr>
                <w:b w:val="0"/>
                <w:i w:val="0"/>
                <w:color w:val="1F2933"/>
                <w:sz w:val="19"/>
              </w:rPr>
              <w:t xml:space="preserve"> (novos e antigos) existentes em determinado momento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Letalidade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Proporção de óbitos entre os </w:t>
            </w:r>
            <w:r>
              <w:rPr>
                <w:b/>
                <w:i w:val="0"/>
                <w:color w:val="111111"/>
                <w:sz w:val="19"/>
              </w:rPr>
              <w:t>doentes</w:t>
            </w:r>
            <w:r>
              <w:rPr>
                <w:b w:val="0"/>
                <w:i w:val="0"/>
                <w:color w:val="1F2933"/>
                <w:sz w:val="19"/>
              </w:rPr>
              <w:t xml:space="preserve"> de determinada doença (gravidade)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Mortalidade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Proporção de óbitos em relação à </w:t>
            </w:r>
            <w:r>
              <w:rPr>
                <w:b/>
                <w:i w:val="0"/>
                <w:color w:val="111111"/>
                <w:sz w:val="19"/>
              </w:rPr>
              <w:t>população total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Cadeia de transmissão:</w:t>
      </w:r>
      <w:r>
        <w:rPr>
          <w:b w:val="0"/>
          <w:i w:val="0"/>
          <w:color w:val="1F2933"/>
          <w:sz w:val="21"/>
        </w:rPr>
        <w:t xml:space="preserve"> agente etiológico → reservatório → porta de saída → modo de transmissão → porta de entrada → hospedeiro suscetível. Conceitos: </w:t>
      </w:r>
      <w:r>
        <w:rPr>
          <w:b/>
          <w:i w:val="0"/>
          <w:color w:val="111111"/>
          <w:sz w:val="21"/>
        </w:rPr>
        <w:t>período de incubação</w:t>
      </w:r>
      <w:r>
        <w:rPr>
          <w:b w:val="0"/>
          <w:i w:val="0"/>
          <w:color w:val="1F2933"/>
          <w:sz w:val="21"/>
        </w:rPr>
        <w:t xml:space="preserve"> (da infecção até os primeiros sintomas), </w:t>
      </w:r>
      <w:r>
        <w:rPr>
          <w:b/>
          <w:i w:val="0"/>
          <w:color w:val="111111"/>
          <w:sz w:val="21"/>
        </w:rPr>
        <w:t>período de transmissibilidade</w:t>
      </w:r>
      <w:r>
        <w:rPr>
          <w:b w:val="0"/>
          <w:i w:val="0"/>
          <w:color w:val="1F2933"/>
          <w:sz w:val="21"/>
        </w:rPr>
        <w:t xml:space="preserve"> (em que o agente pode ser transmitido), </w:t>
      </w:r>
      <w:r>
        <w:rPr>
          <w:b/>
          <w:i w:val="0"/>
          <w:color w:val="111111"/>
          <w:sz w:val="21"/>
        </w:rPr>
        <w:t>portador</w:t>
      </w:r>
      <w:r>
        <w:rPr>
          <w:b w:val="0"/>
          <w:i w:val="0"/>
          <w:color w:val="1F2933"/>
          <w:sz w:val="21"/>
        </w:rPr>
        <w:t xml:space="preserve"> (abriga o agente sem manifestar a doença, mas pode transmiti-lo), </w:t>
      </w:r>
      <w:r>
        <w:rPr>
          <w:b/>
          <w:i w:val="0"/>
          <w:color w:val="111111"/>
          <w:sz w:val="21"/>
        </w:rPr>
        <w:t>vetor</w:t>
      </w:r>
      <w:r>
        <w:rPr>
          <w:b w:val="0"/>
          <w:i w:val="0"/>
          <w:color w:val="1F2933"/>
          <w:sz w:val="21"/>
        </w:rPr>
        <w:t xml:space="preserve"> (ser vivo que transmite o agente, como o </w:t>
      </w:r>
      <w:r>
        <w:rPr>
          <w:b w:val="0"/>
          <w:i/>
          <w:color w:val="1F2933"/>
          <w:sz w:val="21"/>
        </w:rPr>
        <w:t>Aedes aegypti</w:t>
      </w:r>
      <w:r>
        <w:rPr>
          <w:b w:val="0"/>
          <w:i w:val="0"/>
          <w:color w:val="1F2933"/>
          <w:sz w:val="21"/>
        </w:rPr>
        <w:t xml:space="preserve">), </w:t>
      </w:r>
      <w:r>
        <w:rPr>
          <w:b/>
          <w:i w:val="0"/>
          <w:color w:val="111111"/>
          <w:sz w:val="21"/>
        </w:rPr>
        <w:t>zoonose</w:t>
      </w:r>
      <w:r>
        <w:rPr>
          <w:b w:val="0"/>
          <w:i w:val="0"/>
          <w:color w:val="1F2933"/>
          <w:sz w:val="21"/>
        </w:rPr>
        <w:t xml:space="preserve"> (doença transmitida de animais ao homem, como raiva e leptospirose).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Níveis de prevenção (Leavell e Clark):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Nível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Objetivo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Prevenção primária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Promoção da saúde e proteção específica, </w:t>
            </w:r>
            <w:r>
              <w:rPr>
                <w:b/>
                <w:i w:val="0"/>
                <w:color w:val="111111"/>
                <w:sz w:val="19"/>
              </w:rPr>
              <w:t>antes</w:t>
            </w:r>
            <w:r>
              <w:rPr>
                <w:b w:val="0"/>
                <w:i w:val="0"/>
                <w:color w:val="1F2933"/>
                <w:sz w:val="19"/>
              </w:rPr>
              <w:t xml:space="preserve"> da doença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Vacinação, saneamento, uso de preservativo, educação em saúde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Prevenção secundária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Diagnóstico precoce e tratamento imediato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Rastreamento (Papanicolau, mamografia), busca ativa de sintomáticos respiratórios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Prevenção terciária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Limitação de incapacidade e reabilitação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Fisioterapia pós-AVC, reabilitação de sequelas de hanseníase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Prevenção quaternária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Evitar intervenções desnecessárias (iatrogenia)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Evitar exames e medicações sem indicação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10.2 Vigilância em saúde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Lei nº 8.080/1990 define </w:t>
      </w:r>
      <w:r>
        <w:rPr>
          <w:b/>
          <w:i w:val="0"/>
          <w:color w:val="111111"/>
          <w:sz w:val="21"/>
        </w:rPr>
        <w:t>vigilância epidemiológica</w:t>
      </w:r>
      <w:r>
        <w:rPr>
          <w:b w:val="0"/>
          <w:i w:val="0"/>
          <w:color w:val="1F2933"/>
          <w:sz w:val="21"/>
        </w:rPr>
        <w:t xml:space="preserve"> como o conjunto de ações que proporciona o conhecimento, a detecção ou prevenção de qualquer mudança nos fatores determinantes e condicionantes da saúde individual ou coletiva, com a finalidade de recomendar e adotar as medidas de prevenção e controle. A </w:t>
      </w:r>
      <w:r>
        <w:rPr>
          <w:b/>
          <w:i w:val="0"/>
          <w:color w:val="111111"/>
          <w:sz w:val="21"/>
        </w:rPr>
        <w:t>vigilância sanitária</w:t>
      </w:r>
      <w:r>
        <w:rPr>
          <w:b w:val="0"/>
          <w:i w:val="0"/>
          <w:color w:val="1F2933"/>
          <w:sz w:val="21"/>
        </w:rPr>
        <w:t xml:space="preserve"> é o conjunto de ações capaz de eliminar, diminuir ou prevenir riscos à saúde decorrentes do meio ambiente, da produção e circulação de bens e da prestação de serviços. Integram ainda a vigilância em saúde a vigilância ambiental e a vigilância em saúde do trabalhador.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10.3 Notificação compulsória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Regida pela </w:t>
      </w:r>
      <w:r>
        <w:rPr>
          <w:b/>
          <w:i w:val="0"/>
          <w:color w:val="111111"/>
          <w:sz w:val="21"/>
        </w:rPr>
        <w:t>Portaria de Consolidação GM/MS nº 4/2017</w:t>
      </w:r>
      <w:r>
        <w:rPr>
          <w:b w:val="0"/>
          <w:i w:val="0"/>
          <w:color w:val="1F2933"/>
          <w:sz w:val="21"/>
        </w:rPr>
        <w:t xml:space="preserve"> (Anexo 1 do Anexo V, com atualizações periódicas, como a Portaria GM/MS nº 5.201/2024). A notificação é </w:t>
      </w:r>
      <w:r>
        <w:rPr>
          <w:b/>
          <w:i w:val="0"/>
          <w:color w:val="111111"/>
          <w:sz w:val="21"/>
        </w:rPr>
        <w:t>obrigatória para médicos, outros profissionais de saúde</w:t>
      </w:r>
      <w:r>
        <w:rPr>
          <w:b w:val="0"/>
          <w:i w:val="0"/>
          <w:color w:val="1F2933"/>
          <w:sz w:val="21"/>
        </w:rPr>
        <w:t xml:space="preserve"> (incluindo a enfermagem) e responsáveis por estabelecimentos de saúde, públicos ou privados. Também deve ser feita a </w:t>
      </w:r>
      <w:r>
        <w:rPr>
          <w:b/>
          <w:i w:val="0"/>
          <w:color w:val="111111"/>
          <w:sz w:val="21"/>
        </w:rPr>
        <w:t>notificação de caso suspeito</w:t>
      </w:r>
      <w:r>
        <w:rPr>
          <w:b w:val="0"/>
          <w:i w:val="0"/>
          <w:color w:val="1F2933"/>
          <w:sz w:val="21"/>
        </w:rPr>
        <w:t>, sem aguardar a confirmação. A comunicação pode ser feita por qualquer cidadão.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Notificação imediata:</w:t>
      </w:r>
      <w:r>
        <w:rPr>
          <w:b w:val="0"/>
          <w:i w:val="0"/>
          <w:color w:val="1F2933"/>
          <w:sz w:val="21"/>
        </w:rPr>
        <w:t xml:space="preserve"> em até </w:t>
      </w:r>
      <w:r>
        <w:rPr>
          <w:b/>
          <w:i w:val="0"/>
          <w:color w:val="111111"/>
          <w:sz w:val="21"/>
        </w:rPr>
        <w:t>24 horas</w:t>
      </w:r>
      <w:r>
        <w:rPr>
          <w:b w:val="0"/>
          <w:i w:val="0"/>
          <w:color w:val="1F2933"/>
          <w:sz w:val="21"/>
        </w:rPr>
        <w:t xml:space="preserve">, à Secretaria Municipal de Saúde (e, em alguns casos, à Estadual e ao MS). Exemplos: acidente de trabalho grave ou fatal e com crianças e adolescentes, </w:t>
      </w:r>
      <w:r>
        <w:rPr>
          <w:b/>
          <w:i w:val="0"/>
          <w:color w:val="111111"/>
          <w:sz w:val="21"/>
        </w:rPr>
        <w:t>raiva humana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sarampo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rubéola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poliomielite/paralisia flácida aguda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cólera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febre amarela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febre do Chikungunya em áreas sem transmissão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óbito por dengue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doença de Chagas aguda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difteria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botulismo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tétano</w:t>
      </w:r>
      <w:r>
        <w:rPr>
          <w:b w:val="0"/>
          <w:i w:val="0"/>
          <w:color w:val="1F2933"/>
          <w:sz w:val="21"/>
        </w:rPr>
        <w:t xml:space="preserve"> (acidental e neonatal), </w:t>
      </w:r>
      <w:r>
        <w:rPr>
          <w:b/>
          <w:i w:val="0"/>
          <w:color w:val="111111"/>
          <w:sz w:val="21"/>
        </w:rPr>
        <w:t>hantavirose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meningite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malária fora da região amazônica</w:t>
      </w:r>
      <w:r>
        <w:rPr>
          <w:b w:val="0"/>
          <w:i w:val="0"/>
          <w:color w:val="1F2933"/>
          <w:sz w:val="21"/>
        </w:rPr>
        <w:t xml:space="preserve">, acidente por animal potencialmente transmissor da raiva, </w:t>
      </w:r>
      <w:r>
        <w:rPr>
          <w:b/>
          <w:i w:val="0"/>
          <w:color w:val="111111"/>
          <w:sz w:val="21"/>
        </w:rPr>
        <w:t>violência sexual e tentativa de suicídio</w:t>
      </w:r>
      <w:r>
        <w:rPr>
          <w:b w:val="0"/>
          <w:i w:val="0"/>
          <w:color w:val="1F2933"/>
          <w:sz w:val="21"/>
        </w:rPr>
        <w:t xml:space="preserve">, eventos de saúde pública, </w:t>
      </w:r>
      <w:r>
        <w:rPr>
          <w:b/>
          <w:i w:val="0"/>
          <w:color w:val="111111"/>
          <w:sz w:val="21"/>
        </w:rPr>
        <w:t>evento adverso grave ou óbito pós-vacinação</w:t>
      </w:r>
      <w:r>
        <w:rPr>
          <w:b w:val="0"/>
          <w:i w:val="0"/>
          <w:color w:val="1F2933"/>
          <w:sz w:val="21"/>
        </w:rPr>
        <w:t>, peste, varíola, influenza por novo subtipo.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Notificação semanal:</w:t>
      </w:r>
      <w:r>
        <w:rPr>
          <w:b w:val="0"/>
          <w:i w:val="0"/>
          <w:color w:val="1F2933"/>
          <w:sz w:val="21"/>
        </w:rPr>
        <w:t xml:space="preserve"> em até </w:t>
      </w:r>
      <w:r>
        <w:rPr>
          <w:b/>
          <w:i w:val="0"/>
          <w:color w:val="111111"/>
          <w:sz w:val="21"/>
        </w:rPr>
        <w:t>7 dias</w:t>
      </w:r>
      <w:r>
        <w:rPr>
          <w:b w:val="0"/>
          <w:i w:val="0"/>
          <w:color w:val="1F2933"/>
          <w:sz w:val="21"/>
        </w:rPr>
        <w:t xml:space="preserve">. Exemplos: </w:t>
      </w:r>
      <w:r>
        <w:rPr>
          <w:b/>
          <w:i w:val="0"/>
          <w:color w:val="111111"/>
          <w:sz w:val="21"/>
        </w:rPr>
        <w:t>dengue</w:t>
      </w:r>
      <w:r>
        <w:rPr>
          <w:b w:val="0"/>
          <w:i w:val="0"/>
          <w:color w:val="1F2933"/>
          <w:sz w:val="21"/>
        </w:rPr>
        <w:t xml:space="preserve"> (casos), </w:t>
      </w:r>
      <w:r>
        <w:rPr>
          <w:b/>
          <w:i w:val="0"/>
          <w:color w:val="111111"/>
          <w:sz w:val="21"/>
        </w:rPr>
        <w:t>hanseníase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tuberculose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HIV/aids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sífilis</w:t>
      </w:r>
      <w:r>
        <w:rPr>
          <w:b w:val="0"/>
          <w:i w:val="0"/>
          <w:color w:val="1F2933"/>
          <w:sz w:val="21"/>
        </w:rPr>
        <w:t xml:space="preserve"> (adquirida, em gestante e congênita), </w:t>
      </w:r>
      <w:r>
        <w:rPr>
          <w:b/>
          <w:i w:val="0"/>
          <w:color w:val="111111"/>
          <w:sz w:val="21"/>
        </w:rPr>
        <w:t>hepatites virais</w:t>
      </w:r>
      <w:r>
        <w:rPr>
          <w:b w:val="0"/>
          <w:i w:val="0"/>
          <w:color w:val="1F2933"/>
          <w:sz w:val="21"/>
        </w:rPr>
        <w:t xml:space="preserve">, leishmaniose, esquistossomose, </w:t>
      </w:r>
      <w:r>
        <w:rPr>
          <w:b/>
          <w:i w:val="0"/>
          <w:color w:val="111111"/>
          <w:sz w:val="21"/>
        </w:rPr>
        <w:t>violência doméstica e outras violências</w:t>
      </w:r>
      <w:r>
        <w:rPr>
          <w:b w:val="0"/>
          <w:i w:val="0"/>
          <w:color w:val="1F2933"/>
          <w:sz w:val="21"/>
        </w:rPr>
        <w:t>, acidente de trabalho com exposição a material biológico, leptospirose.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</w:t>
      </w:r>
      <w:r>
        <w:rPr>
          <w:b/>
          <w:i w:val="0"/>
          <w:color w:val="111111"/>
          <w:sz w:val="21"/>
        </w:rPr>
        <w:t>SINAN</w:t>
      </w:r>
      <w:r>
        <w:rPr>
          <w:b w:val="0"/>
          <w:i w:val="0"/>
          <w:color w:val="1F2933"/>
          <w:sz w:val="21"/>
        </w:rPr>
        <w:t xml:space="preserve"> (Sistema de Informação de Agravos de Notificação) recebe as notificações por meio da </w:t>
      </w:r>
      <w:r>
        <w:rPr>
          <w:b/>
          <w:i w:val="0"/>
          <w:color w:val="111111"/>
          <w:sz w:val="21"/>
        </w:rPr>
        <w:t>Ficha de Notificação</w:t>
      </w:r>
      <w:r>
        <w:rPr>
          <w:b w:val="0"/>
          <w:i w:val="0"/>
          <w:color w:val="1F2933"/>
          <w:sz w:val="21"/>
        </w:rPr>
        <w:t xml:space="preserve"> e da </w:t>
      </w:r>
      <w:r>
        <w:rPr>
          <w:b/>
          <w:i w:val="0"/>
          <w:color w:val="111111"/>
          <w:sz w:val="21"/>
        </w:rPr>
        <w:t>Ficha de Investigação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10.4 Doenças imunopreveníveis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Doenças evitáveis por vacinação: sarampo, rubéola, caxumba, varicela, poliomielite, difteria, tétano, coqueluche, hepatites A e B, febre amarela, meningites (meningococo, pneumococo, Hib), tuberculose (formas graves), influenza, rotavírus, HPV e covid-19.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Sarampo:</w:t>
      </w:r>
      <w:r>
        <w:rPr>
          <w:b w:val="0"/>
          <w:i w:val="0"/>
          <w:color w:val="1F2933"/>
          <w:sz w:val="21"/>
        </w:rPr>
        <w:t xml:space="preserve"> febre alta, exantema maculopapular (início no rosto, em direção craniocaudal), tosse, coriza, conjuntivite e </w:t>
      </w:r>
      <w:r>
        <w:rPr>
          <w:b/>
          <w:i w:val="0"/>
          <w:color w:val="111111"/>
          <w:sz w:val="21"/>
        </w:rPr>
        <w:t>manchas de Koplik</w:t>
      </w:r>
      <w:r>
        <w:rPr>
          <w:b w:val="0"/>
          <w:i w:val="0"/>
          <w:color w:val="1F2933"/>
          <w:sz w:val="21"/>
        </w:rPr>
        <w:t xml:space="preserve"> (na mucosa oral). Transmissão por aerossóis – </w:t>
      </w:r>
      <w:r>
        <w:rPr>
          <w:b/>
          <w:i w:val="0"/>
          <w:color w:val="111111"/>
          <w:sz w:val="21"/>
        </w:rPr>
        <w:t>precaução por aerossóis</w:t>
      </w:r>
      <w:r>
        <w:rPr>
          <w:b w:val="0"/>
          <w:i w:val="0"/>
          <w:color w:val="1F2933"/>
          <w:sz w:val="21"/>
        </w:rPr>
        <w:t>. Notificação imediata.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Coqueluche:</w:t>
      </w:r>
      <w:r>
        <w:rPr>
          <w:b w:val="0"/>
          <w:i w:val="0"/>
          <w:color w:val="1F2933"/>
          <w:sz w:val="21"/>
        </w:rPr>
        <w:t xml:space="preserve"> tosse paroxística seguida de "guincho" inspiratório; prevenção com DTP/pentavalente e dTpa na gestante. Precaução por gotículas.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Tétano:</w:t>
      </w:r>
      <w:r>
        <w:rPr>
          <w:b w:val="0"/>
          <w:i w:val="0"/>
          <w:color w:val="1F2933"/>
          <w:sz w:val="21"/>
        </w:rPr>
        <w:t xml:space="preserve"> não é transmitido de pessoa a pessoa; </w:t>
      </w:r>
      <w:r>
        <w:rPr>
          <w:b w:val="0"/>
          <w:i/>
          <w:color w:val="1F2933"/>
          <w:sz w:val="21"/>
        </w:rPr>
        <w:t>Clostridium tetani</w:t>
      </w:r>
      <w:r>
        <w:rPr>
          <w:b w:val="0"/>
          <w:i w:val="0"/>
          <w:color w:val="1F2933"/>
          <w:sz w:val="21"/>
        </w:rPr>
        <w:t xml:space="preserve"> penetra em ferimentos. </w:t>
      </w:r>
      <w:r>
        <w:rPr>
          <w:b/>
          <w:i w:val="0"/>
          <w:color w:val="111111"/>
          <w:sz w:val="21"/>
        </w:rPr>
        <w:t>Tétano neonatal</w:t>
      </w:r>
      <w:r>
        <w:rPr>
          <w:b w:val="0"/>
          <w:i w:val="0"/>
          <w:color w:val="1F2933"/>
          <w:sz w:val="21"/>
        </w:rPr>
        <w:t xml:space="preserve"> previne-se com a vacinação da gestante e o cuidado com o coto umbilical (álcool 70%). Sinais: trismo, riso sardônico, opistótono.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Poliomielite:</w:t>
      </w:r>
      <w:r>
        <w:rPr>
          <w:b w:val="0"/>
          <w:i w:val="0"/>
          <w:color w:val="1F2933"/>
          <w:sz w:val="21"/>
        </w:rPr>
        <w:t xml:space="preserve"> paralisia flácida aguda; o Brasil é livre de circulação desde 1989; vacinação com VIP.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Difteria:</w:t>
      </w:r>
      <w:r>
        <w:rPr>
          <w:b w:val="0"/>
          <w:i w:val="0"/>
          <w:color w:val="1F2933"/>
          <w:sz w:val="21"/>
        </w:rPr>
        <w:t xml:space="preserve"> placas pseudomembranosas branco-acinzentadas na garganta.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Meningite:</w:t>
      </w:r>
      <w:r>
        <w:rPr>
          <w:b w:val="0"/>
          <w:i w:val="0"/>
          <w:color w:val="1F2933"/>
          <w:sz w:val="21"/>
        </w:rPr>
        <w:t xml:space="preserve"> febre, cefaleia, vômitos, </w:t>
      </w:r>
      <w:r>
        <w:rPr>
          <w:b/>
          <w:i w:val="0"/>
          <w:color w:val="111111"/>
          <w:sz w:val="21"/>
        </w:rPr>
        <w:t>rigidez de nuca</w:t>
      </w:r>
      <w:r>
        <w:rPr>
          <w:b w:val="0"/>
          <w:i w:val="0"/>
          <w:color w:val="1F2933"/>
          <w:sz w:val="21"/>
        </w:rPr>
        <w:t xml:space="preserve"> (sinais de Kernig e Brudzinski); na meningocócica pode haver </w:t>
      </w:r>
      <w:r>
        <w:rPr>
          <w:b/>
          <w:i w:val="0"/>
          <w:color w:val="111111"/>
          <w:sz w:val="21"/>
        </w:rPr>
        <w:t>petéquias/sufusões</w:t>
      </w:r>
      <w:r>
        <w:rPr>
          <w:b w:val="0"/>
          <w:i w:val="0"/>
          <w:color w:val="1F2933"/>
          <w:sz w:val="21"/>
        </w:rPr>
        <w:t xml:space="preserve"> (meningococcemia). Precaução por gotículas nas primeiras 24 h de antibiótico.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Vacinas e conceitos:</w:t>
      </w:r>
      <w:r>
        <w:rPr>
          <w:b w:val="0"/>
          <w:i w:val="0"/>
          <w:color w:val="1F2933"/>
          <w:sz w:val="21"/>
        </w:rPr>
        <w:t xml:space="preserve"> imunidade </w:t>
      </w:r>
      <w:r>
        <w:rPr>
          <w:b/>
          <w:i w:val="0"/>
          <w:color w:val="111111"/>
          <w:sz w:val="21"/>
        </w:rPr>
        <w:t>ativa</w:t>
      </w:r>
      <w:r>
        <w:rPr>
          <w:b w:val="0"/>
          <w:i w:val="0"/>
          <w:color w:val="1F2933"/>
          <w:sz w:val="21"/>
        </w:rPr>
        <w:t xml:space="preserve"> (o próprio organismo produz anticorpos – vacina ou doença) × </w:t>
      </w:r>
      <w:r>
        <w:rPr>
          <w:b/>
          <w:i w:val="0"/>
          <w:color w:val="111111"/>
          <w:sz w:val="21"/>
        </w:rPr>
        <w:t>passiva</w:t>
      </w:r>
      <w:r>
        <w:rPr>
          <w:b w:val="0"/>
          <w:i w:val="0"/>
          <w:color w:val="1F2933"/>
          <w:sz w:val="21"/>
        </w:rPr>
        <w:t xml:space="preserve"> (recebe anticorpos prontos – soro, imunoglobulina, anticorpos maternos via placenta e leite). Vacinas </w:t>
      </w:r>
      <w:r>
        <w:rPr>
          <w:b/>
          <w:i w:val="0"/>
          <w:color w:val="111111"/>
          <w:sz w:val="21"/>
        </w:rPr>
        <w:t>vivas atenuadas</w:t>
      </w:r>
      <w:r>
        <w:rPr>
          <w:b w:val="0"/>
          <w:i w:val="0"/>
          <w:color w:val="1F2933"/>
          <w:sz w:val="21"/>
        </w:rPr>
        <w:t xml:space="preserve">: BCG, tríplice viral, varicela, febre amarela, rotavírus, VOP. Vacinas inativadas/subunidades: VIP, hepatite B, pentavalente, influenza, pneumocócicas, meningocócicas, HPV. Intervalo entre duas vacinas vivas injetáveis não administradas no mesmo dia: </w:t>
      </w:r>
      <w:r>
        <w:rPr>
          <w:b/>
          <w:i w:val="0"/>
          <w:color w:val="111111"/>
          <w:sz w:val="21"/>
        </w:rPr>
        <w:t>30 dias</w:t>
      </w:r>
      <w:r>
        <w:rPr>
          <w:b w:val="0"/>
          <w:i w:val="0"/>
          <w:color w:val="1F2933"/>
          <w:sz w:val="21"/>
        </w:rPr>
        <w:t xml:space="preserve"> (exceção: febre amarela e tríplice viral em menores de 2 anos não devem ser dadas no mesmo dia).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10.5 Infecções Relacionadas à Assistência à Saúde (IRAS)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IRAS são infecções adquiridas após a admissão do paciente, manifestadas durante a internação ou após a alta, quando relacionadas à internação ou a procedimentos. Critério tradicional: infecção que se manifesta após </w:t>
      </w:r>
      <w:r>
        <w:rPr>
          <w:b/>
          <w:i w:val="0"/>
          <w:color w:val="111111"/>
          <w:sz w:val="21"/>
        </w:rPr>
        <w:t>72 horas</w:t>
      </w:r>
      <w:r>
        <w:rPr>
          <w:b w:val="0"/>
          <w:i w:val="0"/>
          <w:color w:val="1F2933"/>
          <w:sz w:val="21"/>
        </w:rPr>
        <w:t xml:space="preserve"> da internação (ou antes, quando relacionada a procedimentos invasivos), excetuadas as em incubação na admissão. Infecção de sítio cirúrgico pode surgir até </w:t>
      </w:r>
      <w:r>
        <w:rPr>
          <w:b/>
          <w:i w:val="0"/>
          <w:color w:val="111111"/>
          <w:sz w:val="21"/>
        </w:rPr>
        <w:t>30 dias</w:t>
      </w:r>
      <w:r>
        <w:rPr>
          <w:b w:val="0"/>
          <w:i w:val="0"/>
          <w:color w:val="1F2933"/>
          <w:sz w:val="21"/>
        </w:rPr>
        <w:t xml:space="preserve"> após a cirurgia (ou até </w:t>
      </w:r>
      <w:r>
        <w:rPr>
          <w:b/>
          <w:i w:val="0"/>
          <w:color w:val="111111"/>
          <w:sz w:val="21"/>
        </w:rPr>
        <w:t>90 dias</w:t>
      </w:r>
      <w:r>
        <w:rPr>
          <w:b w:val="0"/>
          <w:i w:val="0"/>
          <w:color w:val="1F2933"/>
          <w:sz w:val="21"/>
        </w:rPr>
        <w:t xml:space="preserve"> se houver implante).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Principais IRAS e medidas de prevenção (bundles):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IRAS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Prevenção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Infecção primária de corrente sanguínea associada a cateter central (IPCS)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Higiene das mãos, barreira máxima na inserção, clorexidina alcoólica, desinfecção dos conectores, retirada precoce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Pneumonia associada à ventilação mecânica (PAV)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Cabeceira 30–45°, higiene oral, cuff 20–30 cmH2O, interrupção diária da sedação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Infecção do trato urinário associada a cateter vesical (ITU-AC)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Indicação precisa, técnica estéril na inserção, sistema fechado, bolsa abaixo da bexiga, retirada precoce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Infecção de sítio cirúrgico (ISC)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Banho pré-operatório, tricotomia com tricotomizador próxima à cirurgia, antibioticoprofilaxia em até 60 min antes da incisão, controle glicêmico e normotermia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medida isolada </w:t>
      </w:r>
      <w:r>
        <w:rPr>
          <w:b/>
          <w:i w:val="0"/>
          <w:color w:val="111111"/>
          <w:sz w:val="21"/>
        </w:rPr>
        <w:t>mais importante e simples</w:t>
      </w:r>
      <w:r>
        <w:rPr>
          <w:b w:val="0"/>
          <w:i w:val="0"/>
          <w:color w:val="1F2933"/>
          <w:sz w:val="21"/>
        </w:rPr>
        <w:t xml:space="preserve"> de prevenção das IRAS é a </w:t>
      </w:r>
      <w:r>
        <w:rPr>
          <w:b/>
          <w:i w:val="0"/>
          <w:color w:val="111111"/>
          <w:sz w:val="21"/>
        </w:rPr>
        <w:t>higiene das mãos</w:t>
      </w:r>
      <w:r>
        <w:rPr>
          <w:b w:val="0"/>
          <w:i w:val="0"/>
          <w:color w:val="1F2933"/>
          <w:sz w:val="21"/>
        </w:rPr>
        <w:t xml:space="preserve">. Microrganismos multirresistentes (MRSA, enterobactérias produtoras de carbapenemase – KPC, </w:t>
      </w:r>
      <w:r>
        <w:rPr>
          <w:b w:val="0"/>
          <w:i/>
          <w:color w:val="1F2933"/>
          <w:sz w:val="21"/>
        </w:rPr>
        <w:t>Acinetobacter</w:t>
      </w:r>
      <w:r>
        <w:rPr>
          <w:b w:val="0"/>
          <w:i w:val="0"/>
          <w:color w:val="1F2933"/>
          <w:sz w:val="21"/>
        </w:rPr>
        <w:t xml:space="preserve">) exigem </w:t>
      </w:r>
      <w:r>
        <w:rPr>
          <w:b/>
          <w:i w:val="0"/>
          <w:color w:val="111111"/>
          <w:sz w:val="21"/>
        </w:rPr>
        <w:t>precaução de contato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10.6 Orientações aos pacientes e familiares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Orientar sobre higiene das mãos, etiqueta respiratória (cobrir a boca e o nariz com o antebraço ao tossir ou espirrar), uso de máscara por sintomáticos respiratórios, adesão ao tratamento, vacinação, eliminação de criadouros do </w:t>
      </w:r>
      <w:r>
        <w:rPr>
          <w:b w:val="0"/>
          <w:i/>
          <w:color w:val="1F2933"/>
          <w:sz w:val="21"/>
        </w:rPr>
        <w:t>Aedes</w:t>
      </w:r>
      <w:r>
        <w:rPr>
          <w:b w:val="0"/>
          <w:i w:val="0"/>
          <w:color w:val="1F2933"/>
          <w:sz w:val="21"/>
        </w:rPr>
        <w:t>, cuidados com água e alimentos e restrição de visitas quando indicada.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Endemia, epidemia, surto e pandemia; incidência × prevalência; letalidade × mortalidade.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Cadeia de transmissão; portador; vetor; zoonose.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Níveis de prevenção (primária a quaternária).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Vigilância epidemiológica × sanitária (Lei 8.080/1990).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Notificação imediata (24 h) × semanal (7 dias); notificar caso suspeito; SINAN.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Sarampo: notificação imediata e precaução por aerossóis.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Imunidade ativa × passiva; vacinas vivas atenuadas.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IRAS: 72 h; ISC até 30/90 dias; bundles; higiene das mãos.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"Incidência é novidade, prevalência é estoque"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"Letalidade olha os doentes, mortalidade olha todo mundo"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"Surto é epidemia de endereço certo"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"Primária evita, secundária detecta, terciária reabilita, quaternária protege do excesso"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"Grave, raro ou explosivo = notifica em 24 h"</w:t>
      </w:r>
      <w:r>
        <w:rPr>
          <w:b w:val="0"/>
          <w:i w:val="0"/>
          <w:color w:val="1F2933"/>
          <w:sz w:val="21"/>
        </w:rPr>
        <w:t xml:space="preserve"> (sarampo, raiva, pólio, febre amarela, óbito por dengue).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"Vivas: BCG, febre amarela, tríplice viral, varicela, rotavírus"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Em determinado município, o número de casos de dengue em uma semana ultrapassou significativamente o esperado para o período. Essa situação caracteriza: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endemia.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epidemia.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pandemia.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prevalência.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letalidade.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endemia é a ocorrência dentro do esperado.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aumento acima do esperado em determinado local e período é epidemia.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pandemia atinge vários países e continentes.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prevalência é medida de frequência, não situação epidemiológica.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letalidade mede a proporção de óbitos entre os doentes.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A realização do exame de Papanicolau para detecção precoce de lesões do colo do útero é exemplo de ação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prevenção primária.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prevenção secundária.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prevenção terciária.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prevenção quaternária.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promoção da saúde.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primária atua antes da doença (como a vacina contra HPV).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rastreamento e diagnóstico precoce são prevenção secundária.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terciária visa reabilitação e limitação de sequelas.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quaternária evita intervenções desnecessárias.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promoção da saúde integra o nível primário.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Entre as doenças e agravos abaixo, é de notificação compulsória imediata (em até 24 horas):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caso de hanseníase.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caso de tuberculose.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caso suspeito de sarampo.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caso de hepatite viral crônica.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caso de sífilis adquirida.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hanseníase é de notificação semanal.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tuberculose é de notificação semanal.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o sarampo é de notificação imediata, inclusive na suspeita.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as hepatites virais são de notificação semanal.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sífilis adquirida é de notificação semanal.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recém-nascido que recebe anticorpos da mãe pela placenta e pelo leite materno apresenta imunidade: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ativa natural.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ativa artificial.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passiva natural.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passiva artificial.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inata adquirida.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ativa natural ocorre quando o próprio organismo produz anticorpos após a doença.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ativa artificial decorre da vacinação.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anticorpos prontos transferidos naturalmente da mãe caracterizam imunidade passiva natural.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passiva artificial ocorre com soros e imunoglobulinas.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termo sem correspondência na classificação.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Considera-se a medida isolada mais importante e eficaz para a prevenção das infecções relacionadas à assistência à saúde: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o uso rotineiro de antibióticos profiláticos em todos os pacientes.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a higiene das mãos.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o uso de luvas em todos os procedimentos, dispensando a higiene das mãos.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a troca diária de todos os cateteres.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o isolamento de todos os pacientes internados.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uso indiscriminado de antibióticos favorece a resistência microbiana.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higiene das mãos é a medida mais simples e eficaz.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as luvas não substituem a higiene das mãos.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trocas rotineiras sem indicação aumentam a manipulação e o risco.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isolamento é indicado conforme o agente e o modo de transmissão.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conceitos epidemiológicos; cadeia de transmissão; níveis de prevenção; vigilância epidemiológica e sanitária; notificação compulsória (imediata × semanal; SINAN); doenças imunopreveníveis; tipos de imunidade; IRAS e bundles; orientações à comunidade.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notificação imediata em 24 h; semanal em 7 dias; IRAS após 72 h; ISC até 30 dias (90 com implante); vacinas vivas com intervalo de 30 dias.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esperar confirmação para notificar; confundir incidência e prevalência; achar que só o médico notifica; luva substituir a higiene das mãos.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classificar rastreamento como prevenção primária; achar que tétano é contagioso.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