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0"/>
        <w:jc w:val="both"/>
      </w:pP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3240000" cy="10133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roje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10133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0"/>
        <w:jc w:val="center"/>
      </w:pPr>
      <w:r>
        <w:rPr>
          <w:b/>
          <w:i w:val="0"/>
          <w:color w:val="FDB404"/>
          <w:sz w:val="22"/>
        </w:rPr>
        <w:t>VEM GABARITAR COM A GENTE</w:t>
      </w:r>
    </w:p>
    <w:p>
      <w:pPr>
        <w:spacing w:before="0" w:after="80"/>
        <w:jc w:val="center"/>
      </w:pPr>
      <w:r>
        <w:rPr>
          <w:b/>
          <w:i w:val="0"/>
          <w:color w:val="111111"/>
          <w:sz w:val="60"/>
        </w:rPr>
        <w:t>APOSTILA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jc w:val="center"/>
            </w:pPr>
            <w:r>
              <w:rPr>
                <w:b/>
                <w:i w:val="0"/>
                <w:color w:val="FDB404"/>
                <w:sz w:val="36"/>
              </w:rPr>
              <w:t>TÉCNICO EM ENFERMAGEM</w:t>
            </w:r>
          </w:p>
        </w:tc>
      </w:tr>
    </w:tbl>
    <w:p>
      <w:pPr>
        <w:spacing w:before="0" w:after="280"/>
        <w:jc w:val="both"/>
      </w:pPr>
    </w:p>
    <w:p>
      <w:pPr>
        <w:spacing w:before="0" w:after="600"/>
        <w:jc w:val="center"/>
      </w:pPr>
      <w:r>
        <w:rPr>
          <w:b/>
          <w:i w:val="0"/>
          <w:color w:val="111111"/>
          <w:sz w:val="30"/>
        </w:rPr>
        <w:t>FARMACOLOGIA APLICADA À ENFERMAGEM: PRINCÍPIOS BÁSICOS, CÁLCULOS, DILUIÇÕES E INTERAÇÕES MEDICAMENTOSAS</w:t>
      </w:r>
    </w:p>
    <w:p>
      <w:pPr>
        <w:spacing w:before="0" w:after="40"/>
        <w:jc w:val="center"/>
      </w:pPr>
      <w:r>
        <w:rPr>
          <w:b/>
          <w:i w:val="0"/>
          <w:color w:val="111111"/>
          <w:sz w:val="28"/>
        </w:rPr>
        <w:t>Secretaria de Estado da Saúde do Tocantins</w:t>
      </w:r>
    </w:p>
    <w:p>
      <w:pPr>
        <w:spacing w:before="0" w:after="800"/>
        <w:jc w:val="center"/>
      </w:pPr>
      <w:r>
        <w:rPr>
          <w:b w:val="0"/>
          <w:i w:val="0"/>
          <w:color w:val="1F2933"/>
          <w:sz w:val="24"/>
        </w:rPr>
        <w:t>Cargo: Técnico em Enfermagem · Assunto 14 do edital · 2026</w:t>
      </w:r>
    </w:p>
    <w:p>
      <w:pPr>
        <w:spacing w:before="0" w:after="80"/>
        <w:jc w:val="center"/>
      </w:pPr>
      <w:r>
        <w:rPr>
          <w:b/>
          <w:i/>
          <w:color w:val="111111"/>
          <w:sz w:val="24"/>
        </w:rPr>
        <w:t>“O crescimento mora no desconforto.”</w:t>
      </w:r>
    </w:p>
    <w:p>
      <w:pPr>
        <w:spacing w:before="0" w:after="80"/>
        <w:jc w:val="center"/>
      </w:pPr>
      <w:r>
        <w:rPr>
          <w:b w:val="0"/>
          <w:i w:val="0"/>
          <w:color w:val="1F2933"/>
          <w:sz w:val="20"/>
        </w:rPr>
        <w:t>@projeto.gabaritando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1. RESUMO TEÓRICO</w:t>
            </w:r>
          </w:p>
        </w:tc>
      </w:tr>
    </w:tbl>
    <w:p>
      <w:pPr>
        <w:spacing w:before="0" w:after="4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14.1 Princípios básicos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Farmacocinética</w:t>
      </w:r>
      <w:r>
        <w:rPr>
          <w:b w:val="0"/>
          <w:i w:val="0"/>
          <w:color w:val="1F2933"/>
          <w:sz w:val="21"/>
        </w:rPr>
        <w:t xml:space="preserve"> é o que o organismo faz com o fármaco: </w:t>
      </w:r>
      <w:r>
        <w:rPr>
          <w:b/>
          <w:i w:val="0"/>
          <w:color w:val="111111"/>
          <w:sz w:val="21"/>
        </w:rPr>
        <w:t>absorção, distribuição, metabolização</w:t>
      </w:r>
      <w:r>
        <w:rPr>
          <w:b w:val="0"/>
          <w:i w:val="0"/>
          <w:color w:val="1F2933"/>
          <w:sz w:val="21"/>
        </w:rPr>
        <w:t xml:space="preserve"> (principalmente no </w:t>
      </w:r>
      <w:r>
        <w:rPr>
          <w:b/>
          <w:i w:val="0"/>
          <w:color w:val="111111"/>
          <w:sz w:val="21"/>
        </w:rPr>
        <w:t>fígado</w:t>
      </w:r>
      <w:r>
        <w:rPr>
          <w:b w:val="0"/>
          <w:i w:val="0"/>
          <w:color w:val="1F2933"/>
          <w:sz w:val="21"/>
        </w:rPr>
        <w:t xml:space="preserve">) e </w:t>
      </w:r>
      <w:r>
        <w:rPr>
          <w:b/>
          <w:i w:val="0"/>
          <w:color w:val="111111"/>
          <w:sz w:val="21"/>
        </w:rPr>
        <w:t>excreção</w:t>
      </w:r>
      <w:r>
        <w:rPr>
          <w:b w:val="0"/>
          <w:i w:val="0"/>
          <w:color w:val="1F2933"/>
          <w:sz w:val="21"/>
        </w:rPr>
        <w:t xml:space="preserve"> (principalmente pelos </w:t>
      </w:r>
      <w:r>
        <w:rPr>
          <w:b/>
          <w:i w:val="0"/>
          <w:color w:val="111111"/>
          <w:sz w:val="21"/>
        </w:rPr>
        <w:t>rins</w:t>
      </w:r>
      <w:r>
        <w:rPr>
          <w:b w:val="0"/>
          <w:i w:val="0"/>
          <w:color w:val="1F2933"/>
          <w:sz w:val="21"/>
        </w:rPr>
        <w:t xml:space="preserve">). </w:t>
      </w:r>
      <w:r>
        <w:rPr>
          <w:b/>
          <w:i w:val="0"/>
          <w:color w:val="111111"/>
          <w:sz w:val="21"/>
        </w:rPr>
        <w:t>Farmacodinâmica</w:t>
      </w:r>
      <w:r>
        <w:rPr>
          <w:b w:val="0"/>
          <w:i w:val="0"/>
          <w:color w:val="1F2933"/>
          <w:sz w:val="21"/>
        </w:rPr>
        <w:t xml:space="preserve"> é o que o fármaco faz no organismo (mecanismo de ação e efeitos).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Conceitos: </w:t>
      </w:r>
      <w:r>
        <w:rPr>
          <w:b/>
          <w:i w:val="0"/>
          <w:color w:val="111111"/>
          <w:sz w:val="21"/>
        </w:rPr>
        <w:t>meia-vida</w:t>
      </w:r>
      <w:r>
        <w:rPr>
          <w:b w:val="0"/>
          <w:i w:val="0"/>
          <w:color w:val="1F2933"/>
          <w:sz w:val="21"/>
        </w:rPr>
        <w:t xml:space="preserve"> (tempo para a concentração plasmática cair pela metade), </w:t>
      </w:r>
      <w:r>
        <w:rPr>
          <w:b/>
          <w:i w:val="0"/>
          <w:color w:val="111111"/>
          <w:sz w:val="21"/>
        </w:rPr>
        <w:t>efeito colateral</w:t>
      </w:r>
      <w:r>
        <w:rPr>
          <w:b w:val="0"/>
          <w:i w:val="0"/>
          <w:color w:val="1F2933"/>
          <w:sz w:val="21"/>
        </w:rPr>
        <w:t xml:space="preserve"> (efeito previsível além do desejado), </w:t>
      </w:r>
      <w:r>
        <w:rPr>
          <w:b/>
          <w:i w:val="0"/>
          <w:color w:val="111111"/>
          <w:sz w:val="21"/>
        </w:rPr>
        <w:t>reação adversa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efeito tóxico</w:t>
      </w:r>
      <w:r>
        <w:rPr>
          <w:b w:val="0"/>
          <w:i w:val="0"/>
          <w:color w:val="1F2933"/>
          <w:sz w:val="21"/>
        </w:rPr>
        <w:t xml:space="preserve"> (dose excessiva), </w:t>
      </w:r>
      <w:r>
        <w:rPr>
          <w:b/>
          <w:i w:val="0"/>
          <w:color w:val="111111"/>
          <w:sz w:val="21"/>
        </w:rPr>
        <w:t>tolerância</w:t>
      </w:r>
      <w:r>
        <w:rPr>
          <w:b w:val="0"/>
          <w:i w:val="0"/>
          <w:color w:val="1F2933"/>
          <w:sz w:val="21"/>
        </w:rPr>
        <w:t xml:space="preserve"> (necessidade de doses maiores para o mesmo efeito), </w:t>
      </w:r>
      <w:r>
        <w:rPr>
          <w:b/>
          <w:i w:val="0"/>
          <w:color w:val="111111"/>
          <w:sz w:val="21"/>
        </w:rPr>
        <w:t>dependência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idiossincrasia</w:t>
      </w:r>
      <w:r>
        <w:rPr>
          <w:b w:val="0"/>
          <w:i w:val="0"/>
          <w:color w:val="1F2933"/>
          <w:sz w:val="21"/>
        </w:rPr>
        <w:t xml:space="preserve"> (resposta incomum, de origem genética), </w:t>
      </w:r>
      <w:r>
        <w:rPr>
          <w:b/>
          <w:i w:val="0"/>
          <w:color w:val="111111"/>
          <w:sz w:val="21"/>
        </w:rPr>
        <w:t>efeito placebo</w:t>
      </w:r>
      <w:r>
        <w:rPr>
          <w:b w:val="0"/>
          <w:i w:val="0"/>
          <w:color w:val="1F2933"/>
          <w:sz w:val="21"/>
        </w:rPr>
        <w:t xml:space="preserve">, </w:t>
      </w:r>
      <w:r>
        <w:rPr>
          <w:b/>
          <w:i w:val="0"/>
          <w:color w:val="111111"/>
          <w:sz w:val="21"/>
        </w:rPr>
        <w:t>janela terapêutica</w:t>
      </w:r>
      <w:r>
        <w:rPr>
          <w:b w:val="0"/>
          <w:i w:val="0"/>
          <w:color w:val="1F2933"/>
          <w:sz w:val="21"/>
        </w:rPr>
        <w:t xml:space="preserve"> (faixa entre a dose eficaz e a tóxica – estreita em digoxina, lítio, fenitoína, aminofilina, varfarina).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Biodisponibilidade:</w:t>
      </w:r>
      <w:r>
        <w:rPr>
          <w:b w:val="0"/>
          <w:i w:val="0"/>
          <w:color w:val="1F2933"/>
          <w:sz w:val="21"/>
        </w:rPr>
        <w:t xml:space="preserve"> a via </w:t>
      </w:r>
      <w:r>
        <w:rPr>
          <w:b/>
          <w:i w:val="0"/>
          <w:color w:val="111111"/>
          <w:sz w:val="21"/>
        </w:rPr>
        <w:t>endovenosa</w:t>
      </w:r>
      <w:r>
        <w:rPr>
          <w:b w:val="0"/>
          <w:i w:val="0"/>
          <w:color w:val="1F2933"/>
          <w:sz w:val="21"/>
        </w:rPr>
        <w:t xml:space="preserve"> tem biodisponibilidade de </w:t>
      </w:r>
      <w:r>
        <w:rPr>
          <w:b/>
          <w:i w:val="0"/>
          <w:color w:val="111111"/>
          <w:sz w:val="21"/>
        </w:rPr>
        <w:t>100%</w:t>
      </w:r>
      <w:r>
        <w:rPr>
          <w:b w:val="0"/>
          <w:i w:val="0"/>
          <w:color w:val="1F2933"/>
          <w:sz w:val="21"/>
        </w:rPr>
        <w:t xml:space="preserve"> e início de ação mais rápido. A via oral sofre o </w:t>
      </w:r>
      <w:r>
        <w:rPr>
          <w:b/>
          <w:i w:val="0"/>
          <w:color w:val="111111"/>
          <w:sz w:val="21"/>
        </w:rPr>
        <w:t>efeito de primeira passagem</w:t>
      </w:r>
      <w:r>
        <w:rPr>
          <w:b w:val="0"/>
          <w:i w:val="0"/>
          <w:color w:val="1F2933"/>
          <w:sz w:val="21"/>
        </w:rPr>
        <w:t xml:space="preserve"> hepática. A via sublingual evita esse efeito (ex.: nitroglicerina/isossorbida).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Medicamentos potencialmente perigosos (alta vigilância – MPP):</w:t>
      </w:r>
      <w:r>
        <w:rPr>
          <w:b w:val="0"/>
          <w:i w:val="0"/>
          <w:color w:val="1F2933"/>
          <w:sz w:val="21"/>
        </w:rPr>
        <w:t xml:space="preserve"> insulinas, anticoagulantes (heparina, varfarina), </w:t>
      </w:r>
      <w:r>
        <w:rPr>
          <w:b/>
          <w:i w:val="0"/>
          <w:color w:val="111111"/>
          <w:sz w:val="21"/>
        </w:rPr>
        <w:t>cloreto de potássio concentrado</w:t>
      </w:r>
      <w:r>
        <w:rPr>
          <w:b w:val="0"/>
          <w:i w:val="0"/>
          <w:color w:val="1F2933"/>
          <w:sz w:val="21"/>
        </w:rPr>
        <w:t xml:space="preserve"> (nunca administrar em bolus – risco de parada cardíaca; sempre diluído e em infusão controlada), opioides, quimioterápicos, sedativos, bloqueadores neuromusculares, soluções hipertônicas (glicose 50%, cloreto de sódio 20%). Exigem dupla checagem e armazenamento diferenciado.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14.2 Grupos farmacológicos mais cobrados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Grupo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Exemplos</w:t>
            </w:r>
          </w:p>
        </w:tc>
        <w:tc>
          <w:tcPr>
            <w:tcW w:type="dxa" w:w="3213"/>
            <w:shd w:val="clear" w:color="auto" w:fill="111111"/>
          </w:tcPr>
          <w:p>
            <w:r>
              <w:rPr>
                <w:b/>
                <w:i w:val="0"/>
                <w:color w:val="FDB404"/>
                <w:sz w:val="19"/>
              </w:rPr>
              <w:t>Cuidados de enfermagem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Analgésicos/antitérmicos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Dipirona, paracetamol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Paracetamol em altas doses é hepatotóxico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Anti-inflamatórios (AINEs)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Diclofenaco, ibuprofeno, cetoprofeno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Irritação gástrica (administrar após refeição); evitar na dengue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Opioides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Morfina, tramadol, fentanil</w:t>
            </w:r>
          </w:p>
        </w:tc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Depressão respiratória</w:t>
            </w:r>
            <w:r>
              <w:rPr>
                <w:b w:val="0"/>
                <w:i w:val="0"/>
                <w:color w:val="1F2933"/>
                <w:sz w:val="19"/>
              </w:rPr>
              <w:t xml:space="preserve">, constipação, retenção urinária; antídoto: </w:t>
            </w:r>
            <w:r>
              <w:rPr>
                <w:b/>
                <w:i w:val="0"/>
                <w:color w:val="111111"/>
                <w:sz w:val="19"/>
              </w:rPr>
              <w:t>naloxona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Anticoagulantes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Heparina (SC/EV), enoxaparina (SC), varfarina (oral)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Observar sangramentos; heparina SC sem aspirar e sem massagear; antídotos: </w:t>
            </w:r>
            <w:r>
              <w:rPr>
                <w:b/>
                <w:i w:val="0"/>
                <w:color w:val="111111"/>
                <w:sz w:val="19"/>
              </w:rPr>
              <w:t>protamina</w:t>
            </w:r>
            <w:r>
              <w:rPr>
                <w:b w:val="0"/>
                <w:i w:val="0"/>
                <w:color w:val="1F2933"/>
                <w:sz w:val="19"/>
              </w:rPr>
              <w:t xml:space="preserve"> (heparina) e </w:t>
            </w:r>
            <w:r>
              <w:rPr>
                <w:b/>
                <w:i w:val="0"/>
                <w:color w:val="111111"/>
                <w:sz w:val="19"/>
              </w:rPr>
              <w:t>vitamina K</w:t>
            </w:r>
            <w:r>
              <w:rPr>
                <w:b w:val="0"/>
                <w:i w:val="0"/>
                <w:color w:val="1F2933"/>
                <w:sz w:val="19"/>
              </w:rPr>
              <w:t xml:space="preserve"> (varfarina)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Diuréticos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Furosemida, hidroclorotiazida, espironolactona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 xml:space="preserve">Balanço hídrico, peso; furosemida e tiazídicos causam </w:t>
            </w:r>
            <w:r>
              <w:rPr>
                <w:b/>
                <w:i w:val="0"/>
                <w:color w:val="111111"/>
                <w:sz w:val="19"/>
              </w:rPr>
              <w:t>hipopotassemia</w:t>
            </w:r>
            <w:r>
              <w:rPr>
                <w:b w:val="0"/>
                <w:i w:val="0"/>
                <w:color w:val="1F2933"/>
                <w:sz w:val="19"/>
              </w:rPr>
              <w:t>; espironolactona poupa potássio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Cardiotônicos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Digoxina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Verificar pulso apical por 1 minuto; suspender e comunicar se &lt; 60 bpm; sinais de intoxicação: náuseas, visão amarelada, arritmias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Antibióticos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Penicilinas, cefalosporinas, vancomicina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Respeitar horário rigoroso; perguntar sobre alergia; vancomicina infundida lentamente (no mínimo 60 min – risco de "síndrome do homem vermelho")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r>
              <w:rPr>
                <w:b/>
                <w:i w:val="0"/>
                <w:color w:val="111111"/>
                <w:sz w:val="19"/>
              </w:rPr>
              <w:t>Broncodilatadores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Salbutamol, fenoterol, aminofilina</w:t>
            </w:r>
          </w:p>
        </w:tc>
        <w:tc>
          <w:tcPr>
            <w:tcW w:type="dxa" w:w="3213"/>
            <w:shd w:val="clear" w:color="auto" w:fill="F2F2F2"/>
          </w:tcPr>
          <w:p>
            <w:r>
              <w:rPr>
                <w:b w:val="0"/>
                <w:i w:val="0"/>
                <w:color w:val="1F2933"/>
                <w:sz w:val="19"/>
              </w:rPr>
              <w:t>Taquicardia, tremores</w:t>
            </w:r>
          </w:p>
        </w:tc>
      </w:tr>
      <w:tr>
        <w:tc>
          <w:tcPr>
            <w:tcW w:type="dxa" w:w="3213"/>
          </w:tcPr>
          <w:p>
            <w:r>
              <w:rPr>
                <w:b/>
                <w:i w:val="0"/>
                <w:color w:val="111111"/>
                <w:sz w:val="19"/>
              </w:rPr>
              <w:t>Corticoides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Hidrocortisona, prednisona, dexametasona</w:t>
            </w:r>
          </w:p>
        </w:tc>
        <w:tc>
          <w:tcPr>
            <w:tcW w:type="dxa" w:w="3213"/>
          </w:tcPr>
          <w:p>
            <w:r>
              <w:rPr>
                <w:b w:val="0"/>
                <w:i w:val="0"/>
                <w:color w:val="1F2933"/>
                <w:sz w:val="19"/>
              </w:rPr>
              <w:t>Hiperglicemia, retenção hídrica; não suspender abruptamente após uso prolongado</w:t>
            </w:r>
          </w:p>
        </w:tc>
      </w:tr>
    </w:tbl>
    <w:p>
      <w:pPr>
        <w:spacing w:before="0" w:after="120"/>
        <w:jc w:val="both"/>
      </w:pP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14.3 Cálculos de medicamentos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Regra de três</w:t>
      </w:r>
      <w:r>
        <w:rPr>
          <w:b w:val="0"/>
          <w:i w:val="0"/>
          <w:color w:val="1F2933"/>
          <w:sz w:val="21"/>
        </w:rPr>
        <w:t xml:space="preserve"> é a base. Exemplo: prescrição de 250 mg de um antibiótico; frasco de 500 mg diluído em 10 mL. 500 mg — 10 mL; 250 mg — x → x = </w:t>
      </w:r>
      <w:r>
        <w:rPr>
          <w:b/>
          <w:i w:val="0"/>
          <w:color w:val="111111"/>
          <w:sz w:val="21"/>
        </w:rPr>
        <w:t>5 mL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Concentrações de soluções:</w:t>
      </w:r>
      <w:r>
        <w:rPr>
          <w:b w:val="0"/>
          <w:i w:val="0"/>
          <w:color w:val="1F2933"/>
          <w:sz w:val="21"/>
        </w:rPr>
        <w:t xml:space="preserve"> a porcentagem indica </w:t>
      </w:r>
      <w:r>
        <w:rPr>
          <w:b/>
          <w:i w:val="0"/>
          <w:color w:val="111111"/>
          <w:sz w:val="21"/>
        </w:rPr>
        <w:t>gramas em 100 mL</w:t>
      </w:r>
      <w:r>
        <w:rPr>
          <w:b w:val="0"/>
          <w:i w:val="0"/>
          <w:color w:val="1F2933"/>
          <w:sz w:val="21"/>
        </w:rPr>
        <w:t>. Soro glicosado 5% = 5 g de glicose em 100 mL (50 g em 1.000 mL). Cloreto de sódio 0,9% = 0,9 g em 100 mL. Ampola de glicose 50% com 10 mL = 5 g. Ampola de KCl 19,1% com 10 mL = 1,91 g ≈ 25 mEq (2,5 mEq/mL). Ampola de NaCl 20% com 10 mL = 2 g.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Transformação de soro (aumentar a concentração):</w:t>
      </w:r>
      <w:r>
        <w:rPr>
          <w:b w:val="0"/>
          <w:i w:val="0"/>
          <w:color w:val="1F2933"/>
          <w:sz w:val="21"/>
        </w:rPr>
        <w:t xml:space="preserve"> prescrição de SG 10% 500 mL tendo SG 5% 500 mL e ampolas de glicose 50% (10 mL). SG 10% 500 mL = 50 g; SG 5% 500 mL = 25 g; faltam 25 g. Ampola de 50%: 50 g em 100 mL → 25 g em </w:t>
      </w:r>
      <w:r>
        <w:rPr>
          <w:b/>
          <w:i w:val="0"/>
          <w:color w:val="111111"/>
          <w:sz w:val="21"/>
        </w:rPr>
        <w:t>50 mL</w:t>
      </w:r>
      <w:r>
        <w:rPr>
          <w:b w:val="0"/>
          <w:i w:val="0"/>
          <w:color w:val="1F2933"/>
          <w:sz w:val="21"/>
        </w:rPr>
        <w:t xml:space="preserve"> (5 ampolas). Para manter o volume, desprezam-se 50 mL do soro antes de acrescentar (o volume desprezado também contém glicose; em provas, aplica-se o cálculo conforme o que a questão pedir).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Gotejamento: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Macrogotas:</w:t>
      </w:r>
      <w:r>
        <w:rPr>
          <w:b w:val="0"/>
          <w:i w:val="0"/>
          <w:color w:val="1F2933"/>
          <w:sz w:val="21"/>
        </w:rPr>
        <w:t xml:space="preserve"> nº de gotas/min = V ÷ (T × 3), com V em mL e T em horas (1 mL = 20 gotas).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Microgotas:</w:t>
      </w:r>
      <w:r>
        <w:rPr>
          <w:b w:val="0"/>
          <w:i w:val="0"/>
          <w:color w:val="1F2933"/>
          <w:sz w:val="21"/>
        </w:rPr>
        <w:t xml:space="preserve"> nº de microgotas/min = V ÷ T (1 mL = 60 microgotas); ou seja, microgotas/min = mL/h.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Com tempo em minutos: gotas/min = (V × 20) ÷ minutos; microgotas/min = (V × 60) ÷ minutos.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 xml:space="preserve">Relação: </w:t>
      </w:r>
      <w:r>
        <w:rPr>
          <w:b/>
          <w:i w:val="0"/>
          <w:color w:val="111111"/>
          <w:sz w:val="21"/>
        </w:rPr>
        <w:t>1 gota = 3 microgotas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Exemplo 1: SF 0,9% 1.000 mL em 8 h → 1.000 ÷ (8 × 3) = 1.000 ÷ 24 ≈ </w:t>
      </w:r>
      <w:r>
        <w:rPr>
          <w:b/>
          <w:i w:val="0"/>
          <w:color w:val="111111"/>
          <w:sz w:val="21"/>
        </w:rPr>
        <w:t>41,6 → 42 gotas/min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Exemplo 2: 500 mL em 6 h em microgotas → 500 ÷ 6 ≈ </w:t>
      </w:r>
      <w:r>
        <w:rPr>
          <w:b/>
          <w:i w:val="0"/>
          <w:color w:val="111111"/>
          <w:sz w:val="21"/>
        </w:rPr>
        <w:t>83 microgotas/min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Exemplo 3: 100 mL de antibiótico em 30 min → (100 × 20) ÷ 30 ≈ </w:t>
      </w:r>
      <w:r>
        <w:rPr>
          <w:b/>
          <w:i w:val="0"/>
          <w:color w:val="111111"/>
          <w:sz w:val="21"/>
        </w:rPr>
        <w:t>67 gotas/min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Bomba de infusão:</w:t>
      </w:r>
      <w:r>
        <w:rPr>
          <w:b w:val="0"/>
          <w:i w:val="0"/>
          <w:color w:val="1F2933"/>
          <w:sz w:val="21"/>
        </w:rPr>
        <w:t xml:space="preserve"> programa-se em </w:t>
      </w:r>
      <w:r>
        <w:rPr>
          <w:b/>
          <w:i w:val="0"/>
          <w:color w:val="111111"/>
          <w:sz w:val="21"/>
        </w:rPr>
        <w:t>mL/h</w:t>
      </w:r>
      <w:r>
        <w:rPr>
          <w:b w:val="0"/>
          <w:i w:val="0"/>
          <w:color w:val="1F2933"/>
          <w:sz w:val="21"/>
        </w:rPr>
        <w:t>. Ex.: 1.000 mL em 24 h = 41,6 mL/h.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Penicilina G cristalina (unidades):</w:t>
      </w:r>
      <w:r>
        <w:rPr>
          <w:b w:val="0"/>
          <w:i w:val="0"/>
          <w:color w:val="1F2933"/>
          <w:sz w:val="21"/>
        </w:rPr>
        <w:t xml:space="preserve"> frasco de 5.000.000 UI. Ao diluir em 8 mL de AD, o volume final fica em cerca de </w:t>
      </w:r>
      <w:r>
        <w:rPr>
          <w:b/>
          <w:i w:val="0"/>
          <w:color w:val="111111"/>
          <w:sz w:val="21"/>
        </w:rPr>
        <w:t>10 mL</w:t>
      </w:r>
      <w:r>
        <w:rPr>
          <w:b w:val="0"/>
          <w:i w:val="0"/>
          <w:color w:val="1F2933"/>
          <w:sz w:val="21"/>
        </w:rPr>
        <w:t xml:space="preserve"> (o pó ocupa cerca de 2 mL). Logo, 5.000.000 UI — 10 mL. Para 2.000.000 UI → x = </w:t>
      </w:r>
      <w:r>
        <w:rPr>
          <w:b/>
          <w:i w:val="0"/>
          <w:color w:val="111111"/>
          <w:sz w:val="21"/>
        </w:rPr>
        <w:t>4 mL</w:t>
      </w:r>
      <w:r>
        <w:rPr>
          <w:b w:val="0"/>
          <w:i w:val="0"/>
          <w:color w:val="1F2933"/>
          <w:sz w:val="21"/>
        </w:rPr>
        <w:t>. Frasco de 1.000.000 UI: o pó acrescenta cerca de 0,4 mL ao volume.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Insulina:</w:t>
      </w:r>
      <w:r>
        <w:rPr>
          <w:b w:val="0"/>
          <w:i w:val="0"/>
          <w:color w:val="1F2933"/>
          <w:sz w:val="21"/>
        </w:rPr>
        <w:t xml:space="preserve"> seringa de insulina graduada em unidades (100 UI/mL). Se houver só seringa de 3 mL ou 1 mL comum: 100 UI — 1 mL; 10 UI — x → x = </w:t>
      </w:r>
      <w:r>
        <w:rPr>
          <w:b/>
          <w:i w:val="0"/>
          <w:color w:val="111111"/>
          <w:sz w:val="21"/>
        </w:rPr>
        <w:t>0,1 mL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Heparina:</w:t>
      </w:r>
      <w:r>
        <w:rPr>
          <w:b w:val="0"/>
          <w:i w:val="0"/>
          <w:color w:val="1F2933"/>
          <w:sz w:val="21"/>
        </w:rPr>
        <w:t xml:space="preserve"> frasco de 5.000 UI/0,25 mL (SC) ou 5.000 UI/mL (EV). Prescrição de 2.500 UI com frasco de 5.000 UI/mL → </w:t>
      </w:r>
      <w:r>
        <w:rPr>
          <w:b/>
          <w:i w:val="0"/>
          <w:color w:val="111111"/>
          <w:sz w:val="21"/>
        </w:rPr>
        <w:t>0,5 mL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  <w:r>
        <w:rPr>
          <w:b/>
          <w:i w:val="0"/>
          <w:color w:val="111111"/>
          <w:sz w:val="21"/>
        </w:rPr>
        <w:t>Conversões úteis:</w:t>
      </w:r>
      <w:r>
        <w:rPr>
          <w:b w:val="0"/>
          <w:i w:val="0"/>
          <w:color w:val="1F2933"/>
          <w:sz w:val="21"/>
        </w:rPr>
        <w:t xml:space="preserve"> 1 g = 1.000 mg; 1 mg = 1.000 mcg (µg); 1 L = 1.000 mL; 1 colher de sopa ≈ 15 mL; 1 colher de chá ≈ 5 mL.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14.4 Diluição e reconstituição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Reconstituir o pó com o diluente indicado (água destilada, SF 0,9% ou diluente próprio), homogeneizar sem formar espuma (rolar o frasco), observar a estabilidade após diluição, rotular com nome do paciente, medicamento, dose, diluente, volume, data, hora e responsável. Medicamentos fotossensíveis (nitroprussiato de sódio, anfotericina B) exigem equipo e frasco protegidos da luz.</w:t>
      </w:r>
    </w:p>
    <w:p>
      <w:pPr>
        <w:spacing w:before="160" w:after="60"/>
        <w:jc w:val="both"/>
      </w:pPr>
      <w:r>
        <w:rPr>
          <w:b/>
          <w:i w:val="0"/>
          <w:color w:val="FDB404"/>
          <w:sz w:val="25"/>
        </w:rPr>
        <w:t xml:space="preserve">■ </w:t>
      </w:r>
      <w:r>
        <w:rPr>
          <w:b/>
          <w:i w:val="0"/>
          <w:color w:val="111111"/>
          <w:sz w:val="25"/>
        </w:rPr>
        <w:t>14.5 Interações medicamentosas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 xml:space="preserve">Interação medicamentosa é a alteração do efeito de um fármaco causada por outro fármaco, alimento, bebida ou agente químico. Pode ser </w:t>
      </w:r>
      <w:r>
        <w:rPr>
          <w:b/>
          <w:i w:val="0"/>
          <w:color w:val="111111"/>
          <w:sz w:val="21"/>
        </w:rPr>
        <w:t>sinérgica</w:t>
      </w:r>
      <w:r>
        <w:rPr>
          <w:b w:val="0"/>
          <w:i w:val="0"/>
          <w:color w:val="1F2933"/>
          <w:sz w:val="21"/>
        </w:rPr>
        <w:t xml:space="preserve"> (potencialização – aumento do efeito) ou </w:t>
      </w:r>
      <w:r>
        <w:rPr>
          <w:b/>
          <w:i w:val="0"/>
          <w:color w:val="111111"/>
          <w:sz w:val="21"/>
        </w:rPr>
        <w:t>antagônica</w:t>
      </w:r>
      <w:r>
        <w:rPr>
          <w:b w:val="0"/>
          <w:i w:val="0"/>
          <w:color w:val="1F2933"/>
          <w:sz w:val="21"/>
        </w:rPr>
        <w:t xml:space="preserve"> (redução ou anulação do efeito), farmacocinética ou farmacodinâmica, e também físico-química (</w:t>
      </w:r>
      <w:r>
        <w:rPr>
          <w:b/>
          <w:i w:val="0"/>
          <w:color w:val="111111"/>
          <w:sz w:val="21"/>
        </w:rPr>
        <w:t>incompatibilidade</w:t>
      </w:r>
      <w:r>
        <w:rPr>
          <w:b w:val="0"/>
          <w:i w:val="0"/>
          <w:color w:val="1F2933"/>
          <w:sz w:val="21"/>
        </w:rPr>
        <w:t xml:space="preserve"> na mesma seringa ou via – formação de precipitado, turvação, mudança de cor).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Exemplos clássicos: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Varfarina + AAS/AINEs:</w:t>
      </w:r>
      <w:r>
        <w:rPr>
          <w:b w:val="0"/>
          <w:i w:val="0"/>
          <w:color w:val="1F2933"/>
          <w:sz w:val="21"/>
        </w:rPr>
        <w:t xml:space="preserve"> aumento do risco de sangramento.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Varfarina + alimentos ricos em vitamina K</w:t>
      </w:r>
      <w:r>
        <w:rPr>
          <w:b w:val="0"/>
          <w:i w:val="0"/>
          <w:color w:val="1F2933"/>
          <w:sz w:val="21"/>
        </w:rPr>
        <w:t xml:space="preserve"> (verduras verde-escuras): redução do efeito anticoagulante – orientar consumo regular, sem excessos.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Álcool + benzodiazepínicos/opioides:</w:t>
      </w:r>
      <w:r>
        <w:rPr>
          <w:b w:val="0"/>
          <w:i w:val="0"/>
          <w:color w:val="1F2933"/>
          <w:sz w:val="21"/>
        </w:rPr>
        <w:t xml:space="preserve"> depressão do sistema nervoso central e respiratória.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Antiácidos e leite + tetraciclinas e ciprofloxacino:</w:t>
      </w:r>
      <w:r>
        <w:rPr>
          <w:b w:val="0"/>
          <w:i w:val="0"/>
          <w:color w:val="1F2933"/>
          <w:sz w:val="21"/>
        </w:rPr>
        <w:t xml:space="preserve"> redução da absorção do antibiótico (formação de quelatos com cálcio, magnésio, alumínio).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Rifampicina + anticoncepcional oral:</w:t>
      </w:r>
      <w:r>
        <w:rPr>
          <w:b w:val="0"/>
          <w:i w:val="0"/>
          <w:color w:val="1F2933"/>
          <w:sz w:val="21"/>
        </w:rPr>
        <w:t xml:space="preserve"> redução do efeito do anticoncepcional.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Diurético de alça + digoxina:</w:t>
      </w:r>
      <w:r>
        <w:rPr>
          <w:b w:val="0"/>
          <w:i w:val="0"/>
          <w:color w:val="1F2933"/>
          <w:sz w:val="21"/>
        </w:rPr>
        <w:t xml:space="preserve"> a hipopotassemia aumenta o risco de intoxicação digitálica.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IECA + espironolactona ou suplemento de potássio:</w:t>
      </w:r>
      <w:r>
        <w:rPr>
          <w:b w:val="0"/>
          <w:i w:val="0"/>
          <w:color w:val="1F2933"/>
          <w:sz w:val="21"/>
        </w:rPr>
        <w:t xml:space="preserve"> risco de </w:t>
      </w:r>
      <w:r>
        <w:rPr>
          <w:b/>
          <w:i w:val="0"/>
          <w:color w:val="111111"/>
          <w:sz w:val="21"/>
        </w:rPr>
        <w:t>hiperpotassemia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Levotiroxina:</w:t>
      </w:r>
      <w:r>
        <w:rPr>
          <w:b w:val="0"/>
          <w:i w:val="0"/>
          <w:color w:val="1F2933"/>
          <w:sz w:val="21"/>
        </w:rPr>
        <w:t xml:space="preserve"> administrar em jejum, 30 a 60 minutos antes do café da manhã.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Sulfato ferroso:</w:t>
      </w:r>
      <w:r>
        <w:rPr>
          <w:b w:val="0"/>
          <w:i w:val="0"/>
          <w:color w:val="1F2933"/>
          <w:sz w:val="21"/>
        </w:rPr>
        <w:t xml:space="preserve"> absorção melhor com vitamina C (suco de laranja) e pior com leite, café e chá; orientar que as fezes podem ficar escuras.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Fenitoína:</w:t>
      </w:r>
      <w:r>
        <w:rPr>
          <w:b w:val="0"/>
          <w:i w:val="0"/>
          <w:color w:val="1F2933"/>
          <w:sz w:val="21"/>
        </w:rPr>
        <w:t xml:space="preserve"> incompatível com soro glicosado (precipita) – diluir apenas em </w:t>
      </w:r>
      <w:r>
        <w:rPr>
          <w:b/>
          <w:i w:val="0"/>
          <w:color w:val="111111"/>
          <w:sz w:val="21"/>
        </w:rPr>
        <w:t>SF 0,9%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2. PONTOS QUE MAIS CAEM EM PROVA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Farmacocinética (absorção, distribuição, metabolismo, excreção) × farmacodinâmica.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Via EV com biodisponibilidade de 100%.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Medicamentos de alta vigilância; KCl nunca em bolus.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Antídotos: naloxona (opioide), protamina (heparina), vitamina K (varfarina), flumazenil (benzodiazepínico), gluconato de cálcio (sulfato de magnésio).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Cálculos por regra de três; concentração de soros; transformação de soro.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Fórmulas de gotejamento; 1 mL = 20 gotas = 60 microgotas.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Penicilina cristalina: 5.000.000 UI em volume final de 10 mL.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 w:val="0"/>
          <w:i w:val="0"/>
          <w:color w:val="1F2933"/>
          <w:sz w:val="21"/>
        </w:rPr>
        <w:t>Interações: varfarina, tetraciclina com leite, fenitoína só com SF, levotiroxina em jejum.</w:t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3. MACETES E DICAS DE MEMORIZAÇÃO</w:t>
            </w:r>
          </w:p>
        </w:tc>
      </w:tr>
    </w:tbl>
    <w:p>
      <w:pPr>
        <w:spacing w:before="0" w:after="40"/>
        <w:jc w:val="both"/>
      </w:pP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"V sobre T vezes 3"</w:t>
      </w:r>
      <w:r>
        <w:rPr>
          <w:b w:val="0"/>
          <w:i w:val="0"/>
          <w:color w:val="1F2933"/>
          <w:sz w:val="21"/>
        </w:rPr>
        <w:t>: macrogotas por minuto com tempo em horas.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"Microgota por minuto é igual a mL por hora"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"Uma gota vale três microgotas"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"Por cento é grama em cem mL"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"Potássio na veia, só diluído e devagar"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"NaPro-K": Naloxona-opioide, Protamina-heparina, vitamina K-varfarina</w:t>
      </w:r>
      <w:r>
        <w:rPr>
          <w:b w:val="0"/>
          <w:i w:val="0"/>
          <w:color w:val="1F2933"/>
          <w:sz w:val="21"/>
        </w:rPr>
        <w:t>.</w:t>
      </w:r>
    </w:p>
    <w:p>
      <w:pPr>
        <w:spacing w:before="0" w:after="40"/>
        <w:ind w:left="283"/>
        <w:jc w:val="both"/>
      </w:pPr>
      <w:r>
        <w:rPr>
          <w:b/>
          <w:i w:val="0"/>
          <w:color w:val="C98F00"/>
          <w:sz w:val="20"/>
        </w:rPr>
        <w:t xml:space="preserve">▸ </w:t>
      </w:r>
      <w:r>
        <w:rPr>
          <w:b/>
          <w:i w:val="0"/>
          <w:color w:val="111111"/>
          <w:sz w:val="21"/>
        </w:rPr>
        <w:t>"Fenitoína odeia glicose"</w:t>
      </w:r>
      <w:r>
        <w:rPr>
          <w:b w:val="0"/>
          <w:i w:val="0"/>
          <w:color w:val="1F2933"/>
          <w:sz w:val="21"/>
        </w:rPr>
        <w:t>.</w:t>
      </w:r>
    </w:p>
    <w:p>
      <w:r>
        <w:br w:type="page"/>
      </w: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4. QUESTÕES</w:t>
            </w:r>
          </w:p>
        </w:tc>
      </w:tr>
    </w:tbl>
    <w:p>
      <w:pPr>
        <w:spacing w:before="0" w:after="4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01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Foi prescrito soro fisiológico 0,9% 1.500 mL para correr em 12 horas, em equipo de macrogotas. O gotejamento será de aproximadamente: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21 gotas/min.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42 gotas/min.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63 gotas/min.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125 gotas/min.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14 gotas/min.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B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valor correspondente a 750 mL em 12 h.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1.500 ÷ (12 × 3) = 1.500 ÷ 36 ≈ 41,6 → 42 gotas/min.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erro no denominador.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esse seria o resultado em microgotas (1.500 ÷ 12 = 125 microgotas/min).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cálculo sem fundamento.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02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Prescrição: cefalotina 750 mg EV de 6/6 h. Disponível: frasco-ampola de 1 g, a ser diluído em 10 mL de água destilada. Quantos mL devem ser aspirados?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5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6,5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7,5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8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10 mL.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corresponderia a 500 mg.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erro de cálculo.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1.000 mg — 10 mL; 750 mg — x → x = 7,5 mL.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corresponderia a 800 mg.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corresponderia à dose total de 1 g.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03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Prescrição: penicilina G cristalina 3.000.000 UI EV. Disponível: frasco de 5.000.000 UI. Ao reconstituir com 8 mL de água destilada, obtém-se volume final de 10 mL. Deve-se aspirar: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3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4,8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5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6 mL.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8 mL.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D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desconsidera a proporção.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esse valor seria obtido usando 8 mL como volume final, ignorando o volume do pó.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corresponderia a 2.500.000 UI.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5.000.000 UI — 10 mL; 3.000.000 UI — x → x = 6 mL.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erro de cálculo.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04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O antídoto utilizado na intoxicação por heparina é: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naloxona.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flumazenil.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sulfato de protamina.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vitamina K.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gluconato de cálcio.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naloxona reverte opioides.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flumazenil reverte benzodiazepínicos.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protamina neutraliza a heparina.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 vitamina K é o antídoto da varfarina.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gluconato de cálcio reverte a intoxicação por sulfato de magnésio.</w:t>
            </w:r>
          </w:p>
        </w:tc>
      </w:tr>
    </w:tbl>
    <w:p>
      <w:pPr>
        <w:spacing w:before="0" w:after="120"/>
        <w:jc w:val="both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pPr>
              <w:keepNext/>
            </w:pPr>
            <w:r>
              <w:rPr>
                <w:b/>
                <w:i w:val="0"/>
                <w:color w:val="FDB404"/>
                <w:sz w:val="22"/>
              </w:rPr>
              <w:t>QUESTÃO 05</w:t>
            </w:r>
          </w:p>
        </w:tc>
      </w:tr>
    </w:tbl>
    <w:p>
      <w:pPr>
        <w:spacing w:before="80" w:after="60"/>
        <w:jc w:val="both"/>
      </w:pPr>
      <w:r>
        <w:rPr>
          <w:b w:val="0"/>
          <w:i w:val="0"/>
          <w:color w:val="1F2933"/>
          <w:sz w:val="21"/>
        </w:rPr>
        <w:t>Paciente em uso de varfarina recebe orientações do técnico em enfermagem. É orientação correta: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(A) </w:t>
      </w:r>
      <w:r>
        <w:rPr>
          <w:b w:val="0"/>
          <w:i w:val="0"/>
          <w:color w:val="1F2933"/>
          <w:sz w:val="20"/>
        </w:rPr>
        <w:t>usar ácido acetilsalicílico para dores de cabeça, pois potencializa o tratamento.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(B) </w:t>
      </w:r>
      <w:r>
        <w:rPr>
          <w:b w:val="0"/>
          <w:i w:val="0"/>
          <w:color w:val="1F2933"/>
          <w:sz w:val="20"/>
        </w:rPr>
        <w:t>consumir grande quantidade de verduras verde-escuras diariamente para melhorar o efeito.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(C) </w:t>
      </w:r>
      <w:r>
        <w:rPr>
          <w:b w:val="0"/>
          <w:i w:val="0"/>
          <w:color w:val="1F2933"/>
          <w:sz w:val="20"/>
        </w:rPr>
        <w:t>manter consumo regular e moderado de alimentos ricos em vitamina K e evitar anti-inflamatórios sem orientação médica, observando sinais de sangramento.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(D) </w:t>
      </w:r>
      <w:r>
        <w:rPr>
          <w:b w:val="0"/>
          <w:i w:val="0"/>
          <w:color w:val="1F2933"/>
          <w:sz w:val="20"/>
        </w:rPr>
        <w:t>suspender o medicamento quando houver sangramento gengival, sem comunicar a equipe.</w:t>
      </w:r>
    </w:p>
    <w:p>
      <w:pPr>
        <w:spacing w:before="0" w:after="20"/>
        <w:ind w:left="340"/>
        <w:jc w:val="both"/>
      </w:pPr>
      <w:r>
        <w:rPr>
          <w:b/>
          <w:i w:val="0"/>
          <w:color w:val="111111"/>
          <w:sz w:val="20"/>
        </w:rPr>
        <w:t xml:space="preserve">(E) </w:t>
      </w:r>
      <w:r>
        <w:rPr>
          <w:b w:val="0"/>
          <w:i w:val="0"/>
          <w:color w:val="1F2933"/>
          <w:sz w:val="20"/>
        </w:rPr>
        <w:t>tomar o medicamento com leite para aumentar a absorção.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3D1"/>
          </w:tcPr>
          <w:p>
            <w:r>
              <w:rPr>
                <w:b/>
                <w:i w:val="0"/>
                <w:color w:val="1E7B34"/>
                <w:sz w:val="21"/>
              </w:rPr>
              <w:t>✔ GABARITO: C</w:t>
            </w:r>
          </w:p>
          <w:p>
            <w:r>
              <w:rPr>
                <w:b/>
                <w:i w:val="0"/>
                <w:color w:val="111111"/>
                <w:sz w:val="20"/>
              </w:rPr>
              <w:t>Comentário:</w:t>
            </w:r>
          </w:p>
          <w:p>
            <w:r>
              <w:rPr>
                <w:b/>
                <w:i w:val="0"/>
                <w:color w:val="111111"/>
                <w:sz w:val="20"/>
              </w:rPr>
              <w:t>A)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AAS aumenta o risco de sangramento.</w:t>
            </w:r>
          </w:p>
          <w:p>
            <w:r>
              <w:rPr>
                <w:b/>
                <w:i w:val="0"/>
                <w:color w:val="111111"/>
                <w:sz w:val="20"/>
              </w:rPr>
              <w:t>B)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o excesso de vitamina K reduz o efeito anticoagulante.</w:t>
            </w:r>
          </w:p>
          <w:p>
            <w:r>
              <w:rPr>
                <w:b/>
                <w:i w:val="0"/>
                <w:color w:val="111111"/>
                <w:sz w:val="20"/>
              </w:rPr>
              <w:t>C)</w:t>
            </w:r>
            <w:r>
              <w:rPr>
                <w:b w:val="0"/>
                <w:i w:val="0"/>
                <w:color w:val="1F2933"/>
                <w:sz w:val="20"/>
              </w:rPr>
              <w:t xml:space="preserve"> Correta – a regularidade da dieta e a vigilância de sangramentos são fundamentais.</w:t>
            </w:r>
          </w:p>
          <w:p>
            <w:r>
              <w:rPr>
                <w:b/>
                <w:i w:val="0"/>
                <w:color w:val="111111"/>
                <w:sz w:val="20"/>
              </w:rPr>
              <w:t>D)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sinais de sangramento devem ser comunicados à equipe.</w:t>
            </w:r>
          </w:p>
          <w:p>
            <w:r>
              <w:rPr>
                <w:b/>
                <w:i w:val="0"/>
                <w:color w:val="111111"/>
                <w:sz w:val="20"/>
              </w:rPr>
              <w:t>E)</w:t>
            </w:r>
            <w:r>
              <w:rPr>
                <w:b w:val="0"/>
                <w:i w:val="0"/>
                <w:color w:val="1F2933"/>
                <w:sz w:val="20"/>
              </w:rPr>
              <w:t xml:space="preserve"> Incorreta – não há essa recomendação para a varfarina.</w:t>
            </w:r>
          </w:p>
        </w:tc>
      </w:tr>
    </w:tbl>
    <w:p>
      <w:pPr>
        <w:spacing w:before="0" w:after="120"/>
        <w:jc w:val="both"/>
      </w:pPr>
    </w:p>
    <w:p>
      <w:pPr>
        <w:spacing w:before="0" w:after="80"/>
        <w:jc w:val="both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11111"/>
          </w:tcPr>
          <w:p>
            <w:r>
              <w:rPr>
                <w:b/>
                <w:i w:val="0"/>
                <w:color w:val="FDB404"/>
                <w:sz w:val="26"/>
              </w:rPr>
              <w:t>5. REVISÃO DO CAPÍTULO</w:t>
            </w:r>
          </w:p>
        </w:tc>
      </w:tr>
    </w:tbl>
    <w:p>
      <w:pPr>
        <w:spacing w:before="0" w:after="40"/>
        <w:jc w:val="both"/>
      </w:pP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Resumo em tópicos: farmacocinética e farmacodinâmica; conceitos; medicamentos de alta vigilância; grupos farmacológicos e antídotos; regra de três; concentrações e transformação de soro; gotejamento; penicilina, insulina e heparina; diluição; interações e incompatibilidades.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Quadro-resumo: gotas/min = V ÷ (T × 3); microgotas/min = V ÷ T; 1 mL = 20 gotas = 60 microgotas; SG 5% = 5 g/100 mL; penicilina 5.000.000 UI em 10 mL; insulina 100 UI/mL.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Pegadinhas: KCl em bolus; esquecer o volume do pó da penicilina; confundir antídotos; diluir fenitoína em SG.</w:t>
      </w:r>
    </w:p>
    <w:p>
      <w:pPr>
        <w:spacing w:before="0" w:after="80"/>
        <w:jc w:val="both"/>
      </w:pPr>
      <w:r>
        <w:rPr>
          <w:b w:val="0"/>
          <w:i w:val="0"/>
          <w:color w:val="1F2933"/>
          <w:sz w:val="21"/>
        </w:rPr>
        <w:t>Erros comuns: multiplicar em vez de dividir no gotejamento; confundir mg com mcg; administrar digoxina com pulso abaixo de 60 bpm.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474" w:left="1134" w:header="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2835" w:val="left"/>
        <w:tab w:pos="9638" w:val="left"/>
      </w:tabs>
    </w:pPr>
    <w:r>
      <w:rPr>
        <w:b w:val="0"/>
        <w:i w:val="0"/>
        <w:color w:val="1F2933"/>
        <w:sz w:val="16"/>
      </w:rPr>
      <w:t>TÉCNICO EM ENFERMAGEM (SES-TO)</w:t>
      <w:tab/>
    </w:r>
    <w:r>
      <w:drawing>
        <wp:inline xmlns:a="http://schemas.openxmlformats.org/drawingml/2006/main" xmlns:pic="http://schemas.openxmlformats.org/drawingml/2006/picture">
          <wp:extent cx="1930500" cy="468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30500" cy="468000"/>
                  </a:xfrm>
                  <a:prstGeom prst="rect"/>
                </pic:spPr>
              </pic:pic>
            </a:graphicData>
          </a:graphic>
        </wp:inline>
      </w:drawing>
    </w:r>
    <w:r>
      <w:rPr>
        <w:b w:val="0"/>
        <w:i w:val="0"/>
        <w:color w:val="1F2933"/>
        <w:sz w:val="18"/>
      </w:rPr>
      <w:tab/>
      <w:t xml:space="preserve">Página </w:t>
    </w:r>
    <w:r>
      <w:rPr>
        <w:b w:val="0"/>
        <w:i w:val="0"/>
        <w:color w:val="1F2933"/>
        <w:sz w:val="18"/>
      </w:rPr>
      <w:fldChar w:fldCharType="begin"/>
      <w:instrText xml:space="preserve">PAGE</w:instrText>
      <w:fldChar w:fldCharType="separate"/>
      <w:t xml:space="preserve"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1080000</wp:posOffset>
          </wp:positionH>
          <wp:positionV relativeFrom="page">
            <wp:posOffset>2646000</wp:posOffset>
          </wp:positionV>
          <wp:extent cx="5400000" cy="5400000"/>
          <wp:effectExtent l="0" t="0" r="0" b="0"/>
          <wp:wrapNone/>
          <wp:docPr id="1" name="Picture 1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marca_dagua_g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00000" cy="5400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3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