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0"/>
        <w:jc w:val="both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3240000" cy="1013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roje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13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0"/>
        <w:jc w:val="center"/>
      </w:pPr>
      <w:r>
        <w:rPr>
          <w:b/>
          <w:i w:val="0"/>
          <w:color w:val="FDB404"/>
          <w:sz w:val="22"/>
        </w:rPr>
        <w:t>VEM GABARITAR COM A GENTE</w:t>
      </w:r>
    </w:p>
    <w:p>
      <w:pPr>
        <w:spacing w:before="0" w:after="80"/>
        <w:jc w:val="center"/>
      </w:pPr>
      <w:r>
        <w:rPr>
          <w:b/>
          <w:i w:val="0"/>
          <w:color w:val="111111"/>
          <w:sz w:val="60"/>
        </w:rPr>
        <w:t>APOSTILA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jc w:val="center"/>
            </w:pPr>
            <w:r>
              <w:rPr>
                <w:b/>
                <w:i w:val="0"/>
                <w:color w:val="FDB404"/>
                <w:sz w:val="36"/>
              </w:rPr>
              <w:t>TÉCNICO EM ENFERMAGEM</w:t>
            </w:r>
          </w:p>
        </w:tc>
      </w:tr>
    </w:tbl>
    <w:p>
      <w:pPr>
        <w:spacing w:before="0" w:after="280"/>
        <w:jc w:val="both"/>
      </w:pPr>
    </w:p>
    <w:p>
      <w:pPr>
        <w:spacing w:before="0" w:after="600"/>
        <w:jc w:val="center"/>
      </w:pPr>
      <w:r>
        <w:rPr>
          <w:b/>
          <w:i w:val="0"/>
          <w:color w:val="111111"/>
          <w:sz w:val="30"/>
        </w:rPr>
        <w:t>NOÇÕES DE NUTRIÇÃO E DIETÉTICA</w:t>
      </w:r>
    </w:p>
    <w:p>
      <w:pPr>
        <w:spacing w:before="0" w:after="40"/>
        <w:jc w:val="center"/>
      </w:pPr>
      <w:r>
        <w:rPr>
          <w:b/>
          <w:i w:val="0"/>
          <w:color w:val="111111"/>
          <w:sz w:val="28"/>
        </w:rPr>
        <w:t>Secretaria de Estado da Saúde do Tocantins</w:t>
      </w:r>
    </w:p>
    <w:p>
      <w:pPr>
        <w:spacing w:before="0" w:after="800"/>
        <w:jc w:val="center"/>
      </w:pPr>
      <w:r>
        <w:rPr>
          <w:b w:val="0"/>
          <w:i w:val="0"/>
          <w:color w:val="1F2933"/>
          <w:sz w:val="24"/>
        </w:rPr>
        <w:t>Cargo: Técnico em Enfermagem · Assunto 16 do edital · 2026</w:t>
      </w:r>
    </w:p>
    <w:p>
      <w:pPr>
        <w:spacing w:before="0" w:after="80"/>
        <w:jc w:val="center"/>
      </w:pPr>
      <w:r>
        <w:rPr>
          <w:b/>
          <w:i/>
          <w:color w:val="111111"/>
          <w:sz w:val="24"/>
        </w:rPr>
        <w:t>“O crescimento mora no desconforto.”</w:t>
      </w:r>
    </w:p>
    <w:p>
      <w:pPr>
        <w:spacing w:before="0" w:after="80"/>
        <w:jc w:val="center"/>
      </w:pPr>
      <w:r>
        <w:rPr>
          <w:b w:val="0"/>
          <w:i w:val="0"/>
          <w:color w:val="1F2933"/>
          <w:sz w:val="20"/>
        </w:rPr>
        <w:t>@projeto.gabaritando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1. RESUMO TEÓRICO</w:t>
            </w:r>
          </w:p>
        </w:tc>
      </w:tr>
    </w:tbl>
    <w:p>
      <w:pPr>
        <w:spacing w:before="0" w:after="40"/>
        <w:jc w:val="both"/>
      </w:pP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16.1 Nutrientes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Macronutrientes</w:t>
      </w:r>
      <w:r>
        <w:rPr>
          <w:b w:val="0"/>
          <w:i w:val="0"/>
          <w:color w:val="1F2933"/>
          <w:sz w:val="21"/>
        </w:rPr>
        <w:t xml:space="preserve"> (fornecem energia):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Nutriente</w:t>
            </w:r>
          </w:p>
        </w:tc>
        <w:tc>
          <w:tcPr>
            <w:tcW w:type="dxa" w:w="2409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Calorias por grama</w:t>
            </w:r>
          </w:p>
        </w:tc>
        <w:tc>
          <w:tcPr>
            <w:tcW w:type="dxa" w:w="2409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Função</w:t>
            </w:r>
          </w:p>
        </w:tc>
        <w:tc>
          <w:tcPr>
            <w:tcW w:type="dxa" w:w="2409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Fontes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i w:val="0"/>
                <w:color w:val="111111"/>
                <w:sz w:val="19"/>
              </w:rPr>
              <w:t>Carboidratos</w:t>
            </w:r>
          </w:p>
        </w:tc>
        <w:tc>
          <w:tcPr>
            <w:tcW w:type="dxa" w:w="2409"/>
          </w:tcPr>
          <w:p>
            <w:r>
              <w:rPr>
                <w:b/>
                <w:i w:val="0"/>
                <w:color w:val="111111"/>
                <w:sz w:val="19"/>
              </w:rPr>
              <w:t>4 kcal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>Principal fonte de energia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>Arroz, pães, massas, tubérculos, frutas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Proteínas</w:t>
            </w:r>
          </w:p>
        </w:tc>
        <w:tc>
          <w:tcPr>
            <w:tcW w:type="dxa" w:w="240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4 kcal</w:t>
            </w:r>
          </w:p>
        </w:tc>
        <w:tc>
          <w:tcPr>
            <w:tcW w:type="dxa" w:w="240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Construção e reparação de tecidos (plástica), enzimas, anticorpos</w:t>
            </w:r>
          </w:p>
        </w:tc>
        <w:tc>
          <w:tcPr>
            <w:tcW w:type="dxa" w:w="240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Carnes, ovos, leite, leguminosas (feijão, lentilha)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i w:val="0"/>
                <w:color w:val="111111"/>
                <w:sz w:val="19"/>
              </w:rPr>
              <w:t>Lipídios (gorduras)</w:t>
            </w:r>
          </w:p>
        </w:tc>
        <w:tc>
          <w:tcPr>
            <w:tcW w:type="dxa" w:w="2409"/>
          </w:tcPr>
          <w:p>
            <w:r>
              <w:rPr>
                <w:b/>
                <w:i w:val="0"/>
                <w:color w:val="111111"/>
                <w:sz w:val="19"/>
              </w:rPr>
              <w:t>9 kcal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>Reserva de energia, absorção de vitaminas lipossolúveis, hormônios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>Óleos, manteiga, castanhas, carnes gordas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Micronutrientes</w:t>
      </w:r>
      <w:r>
        <w:rPr>
          <w:b w:val="0"/>
          <w:i w:val="0"/>
          <w:color w:val="1F2933"/>
          <w:sz w:val="21"/>
        </w:rPr>
        <w:t xml:space="preserve"> (vitaminas e minerais – função reguladora): vitaminas </w:t>
      </w:r>
      <w:r>
        <w:rPr>
          <w:b/>
          <w:i w:val="0"/>
          <w:color w:val="111111"/>
          <w:sz w:val="21"/>
        </w:rPr>
        <w:t>lipossolúveis</w:t>
      </w:r>
      <w:r>
        <w:rPr>
          <w:b w:val="0"/>
          <w:i w:val="0"/>
          <w:color w:val="1F2933"/>
          <w:sz w:val="21"/>
        </w:rPr>
        <w:t xml:space="preserve"> (</w:t>
      </w:r>
      <w:r>
        <w:rPr>
          <w:b/>
          <w:i w:val="0"/>
          <w:color w:val="111111"/>
          <w:sz w:val="21"/>
        </w:rPr>
        <w:t>A, D, E, K</w:t>
      </w:r>
      <w:r>
        <w:rPr>
          <w:b w:val="0"/>
          <w:i w:val="0"/>
          <w:color w:val="1F2933"/>
          <w:sz w:val="21"/>
        </w:rPr>
        <w:t xml:space="preserve">) e </w:t>
      </w:r>
      <w:r>
        <w:rPr>
          <w:b/>
          <w:i w:val="0"/>
          <w:color w:val="111111"/>
          <w:sz w:val="21"/>
        </w:rPr>
        <w:t>hidrossolúveis</w:t>
      </w:r>
      <w:r>
        <w:rPr>
          <w:b w:val="0"/>
          <w:i w:val="0"/>
          <w:color w:val="1F2933"/>
          <w:sz w:val="21"/>
        </w:rPr>
        <w:t xml:space="preserve"> (complexo B e C).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Micronutriente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Deficiência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Fontes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Vitamina 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Cegueira noturna, xeroftalmia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Fígado, cenoura, abóbora, manga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Vitamina D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Raquitismo (criança), osteomalácia (adulto)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Exposição solar, peixes, ovos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Vitamina K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Distúrbios de coagulação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Verduras verde-escuras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Vitamina C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Escorbuto (sangramento gengival)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Frutas cítricas, acerola, goiaba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Vitamina B12 e ácido fólico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Anemia megaloblástica; ácido fólico – defeitos do tubo neural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B12: carnes; folato: folhas verdes, feijão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Vitamina B1 (tiamina)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Beribéri; encefalopatia de Wernicke (etilistas)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Cereais integrais, carne de porco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Ferro</w:t>
            </w:r>
          </w:p>
        </w:tc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Anemia ferropriva</w:t>
            </w:r>
            <w:r>
              <w:rPr>
                <w:b w:val="0"/>
                <w:i w:val="0"/>
                <w:color w:val="1F2933"/>
                <w:sz w:val="19"/>
              </w:rPr>
              <w:t xml:space="preserve"> (a mais comum)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Carnes vermelhas, fígado, feijão (melhor absorvido com vitamina C)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Iodo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Bócio, hipotireoidismo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Sal iodado</w:t>
            </w:r>
            <w:r>
              <w:rPr>
                <w:b w:val="0"/>
                <w:i w:val="0"/>
                <w:color w:val="1F2933"/>
                <w:sz w:val="19"/>
              </w:rPr>
              <w:t>, frutos do mar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Cálcio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Osteoporose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Leite e derivados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Fibras alimentares regulam o trânsito intestinal e ajudam no controle da glicemia e do colesterol. A água é essencial (cerca de 30 a 35 mL/kg/dia no adulto saudável).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16.2 Guia Alimentar para a População Brasileira (2014)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Classifica os alimentos pelo </w:t>
      </w:r>
      <w:r>
        <w:rPr>
          <w:b/>
          <w:i w:val="0"/>
          <w:color w:val="111111"/>
          <w:sz w:val="21"/>
        </w:rPr>
        <w:t>grau de processamento</w:t>
      </w:r>
      <w:r>
        <w:rPr>
          <w:b w:val="0"/>
          <w:i w:val="0"/>
          <w:color w:val="1F2933"/>
          <w:sz w:val="21"/>
        </w:rPr>
        <w:t>: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In natura ou minimamente processados:</w:t>
      </w:r>
      <w:r>
        <w:rPr>
          <w:b w:val="0"/>
          <w:i w:val="0"/>
          <w:color w:val="1F2933"/>
          <w:sz w:val="21"/>
        </w:rPr>
        <w:t xml:space="preserve"> devem ser a </w:t>
      </w:r>
      <w:r>
        <w:rPr>
          <w:b/>
          <w:i w:val="0"/>
          <w:color w:val="111111"/>
          <w:sz w:val="21"/>
        </w:rPr>
        <w:t>base da alimentação</w:t>
      </w:r>
      <w:r>
        <w:rPr>
          <w:b w:val="0"/>
          <w:i w:val="0"/>
          <w:color w:val="1F2933"/>
          <w:sz w:val="21"/>
        </w:rPr>
        <w:t xml:space="preserve"> (frutas, legumes, verduras, arroz, feijão, ovos, leite, carnes frescas).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Ingredientes culinários processados:</w:t>
      </w:r>
      <w:r>
        <w:rPr>
          <w:b w:val="0"/>
          <w:i w:val="0"/>
          <w:color w:val="1F2933"/>
          <w:sz w:val="21"/>
        </w:rPr>
        <w:t xml:space="preserve"> óleos, gorduras, sal e açúcar – usar em </w:t>
      </w:r>
      <w:r>
        <w:rPr>
          <w:b/>
          <w:i w:val="0"/>
          <w:color w:val="111111"/>
          <w:sz w:val="21"/>
        </w:rPr>
        <w:t>pequenas quantidades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Processados:</w:t>
      </w:r>
      <w:r>
        <w:rPr>
          <w:b w:val="0"/>
          <w:i w:val="0"/>
          <w:color w:val="1F2933"/>
          <w:sz w:val="21"/>
        </w:rPr>
        <w:t xml:space="preserve"> conservas, queijos, pães feitos com farinha, sal e fermento – </w:t>
      </w:r>
      <w:r>
        <w:rPr>
          <w:b/>
          <w:i w:val="0"/>
          <w:color w:val="111111"/>
          <w:sz w:val="21"/>
        </w:rPr>
        <w:t>limitar</w:t>
      </w:r>
      <w:r>
        <w:rPr>
          <w:b w:val="0"/>
          <w:i w:val="0"/>
          <w:color w:val="1F2933"/>
          <w:sz w:val="21"/>
        </w:rPr>
        <w:t xml:space="preserve"> o consumo.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Ultraprocessados:</w:t>
      </w:r>
      <w:r>
        <w:rPr>
          <w:b w:val="0"/>
          <w:i w:val="0"/>
          <w:color w:val="1F2933"/>
          <w:sz w:val="21"/>
        </w:rPr>
        <w:t xml:space="preserve"> refrigerantes, biscoitos recheados, salgadinhos, embutidos, macarrão instantâneo – </w:t>
      </w:r>
      <w:r>
        <w:rPr>
          <w:b/>
          <w:i w:val="0"/>
          <w:color w:val="111111"/>
          <w:sz w:val="21"/>
        </w:rPr>
        <w:t>evitar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 "regra de ouro" é: </w:t>
      </w:r>
      <w:r>
        <w:rPr>
          <w:b/>
          <w:i w:val="0"/>
          <w:color w:val="111111"/>
          <w:sz w:val="21"/>
        </w:rPr>
        <w:t>prefira sempre alimentos in natura ou minimamente processados e preparações culinárias a alimentos ultraprocessados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16.3 Dietas hospitalares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Dieta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Consistência / características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Indicação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Geral (livre)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Sem restrições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Pacientes sem necessidade de modificação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Branda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Alimentos abrandados pela cocção, sem frituras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Transição para a dieta geral, dificuldade leve de mastigação, pós-operatório tardio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Pastosa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Alimentos amassados, em purê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Dificuldade de mastigação e deglutição, pós-operatório de cabeça e pescoço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Líquida-pastosa (semilíquida)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Líquidos e alimentos de consistência cremosa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Transição de líquida para pastosa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Líquida completa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Todos os alimentos líquidos (leite, sucos, sopas liquidificadas)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Pós-operatório, preparo de exames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Líquida restrita (de prova / clara)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Água, chás, caldos coados, gelatina, sucos coados sem resíduos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Primeira dieta após cirurgia, preparo de colonoscopia; deixa poucos resíduos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Zero (jejum)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Nada por via oral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Pré-operatório, preparo de exames, risco de broncoaspiração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Dietas especiais:</w:t>
      </w:r>
      <w:r>
        <w:rPr>
          <w:b w:val="0"/>
          <w:i w:val="0"/>
          <w:color w:val="1F2933"/>
          <w:sz w:val="21"/>
        </w:rPr>
        <w:t xml:space="preserve"> hipossódica (HAS, ICC, cirrose, DRC), para diabéticos (controle de carboidratos simples e fracionamento – 5 a 6 refeições), hipolipídica (dislipidemia, pancreatite), hiperproteica (queimados, desnutridos, cicatrização), hipoproteica (DRC não dialítica, encefalopatia hepática), rica em fibras (constipação), sem glúten (doença celíaca), sem lactose (intolerância à lactose).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16.4 Nutrição enteral e parenteral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Nutrição enteral (NE):</w:t>
      </w:r>
      <w:r>
        <w:rPr>
          <w:b w:val="0"/>
          <w:i w:val="0"/>
          <w:color w:val="1F2933"/>
          <w:sz w:val="21"/>
        </w:rPr>
        <w:t xml:space="preserve"> administração de dieta pelo trato gastrintestinal, por sonda (nasogástrica, nasoenteral, gastrostomia, jejunostomia), quando o paciente </w:t>
      </w:r>
      <w:r>
        <w:rPr>
          <w:b/>
          <w:i w:val="0"/>
          <w:color w:val="111111"/>
          <w:sz w:val="21"/>
        </w:rPr>
        <w:t>não pode ou não deve se alimentar pela boca, mas tem o intestino funcionante</w:t>
      </w:r>
      <w:r>
        <w:rPr>
          <w:b w:val="0"/>
          <w:i w:val="0"/>
          <w:color w:val="1F2933"/>
          <w:sz w:val="21"/>
        </w:rPr>
        <w:t xml:space="preserve">. Regulamentada pela </w:t>
      </w:r>
      <w:r>
        <w:rPr>
          <w:b/>
          <w:i w:val="0"/>
          <w:color w:val="111111"/>
          <w:sz w:val="21"/>
        </w:rPr>
        <w:t>RDC ANVISA nº 503/2021</w:t>
      </w:r>
      <w:r>
        <w:rPr>
          <w:b w:val="0"/>
          <w:i w:val="0"/>
          <w:color w:val="1F2933"/>
          <w:sz w:val="21"/>
        </w:rPr>
        <w:t xml:space="preserve"> (que substituiu a RDC 63/2000).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Cuidados de enfermagem na NE: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Confirmar o posicionamento da sonda antes de iniciar a dieta (radiografia, na sonda nasoenteral).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Manter a </w:t>
      </w:r>
      <w:r>
        <w:rPr>
          <w:b/>
          <w:i w:val="0"/>
          <w:color w:val="111111"/>
          <w:sz w:val="21"/>
        </w:rPr>
        <w:t>cabeceira elevada entre 30° e 45°</w:t>
      </w:r>
      <w:r>
        <w:rPr>
          <w:b w:val="0"/>
          <w:i w:val="0"/>
          <w:color w:val="1F2933"/>
          <w:sz w:val="21"/>
        </w:rPr>
        <w:t xml:space="preserve"> durante a infusão e por </w:t>
      </w:r>
      <w:r>
        <w:rPr>
          <w:b/>
          <w:i w:val="0"/>
          <w:color w:val="111111"/>
          <w:sz w:val="21"/>
        </w:rPr>
        <w:t>30 a 60 minutos após</w:t>
      </w:r>
      <w:r>
        <w:rPr>
          <w:b w:val="0"/>
          <w:i w:val="0"/>
          <w:color w:val="1F2933"/>
          <w:sz w:val="21"/>
        </w:rPr>
        <w:t xml:space="preserve"> (prevenção de broncoaspiração).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Conferir rótulo: nome do paciente, composição, volume, velocidade, data e hora de preparo e validade.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Administração </w:t>
      </w:r>
      <w:r>
        <w:rPr>
          <w:b/>
          <w:i w:val="0"/>
          <w:color w:val="111111"/>
          <w:sz w:val="21"/>
        </w:rPr>
        <w:t>intermitente</w:t>
      </w:r>
      <w:r>
        <w:rPr>
          <w:b w:val="0"/>
          <w:i w:val="0"/>
          <w:color w:val="1F2933"/>
          <w:sz w:val="21"/>
        </w:rPr>
        <w:t xml:space="preserve"> (gravitacional ou em bolus com seringa) ou </w:t>
      </w:r>
      <w:r>
        <w:rPr>
          <w:b/>
          <w:i w:val="0"/>
          <w:color w:val="111111"/>
          <w:sz w:val="21"/>
        </w:rPr>
        <w:t>contínua</w:t>
      </w:r>
      <w:r>
        <w:rPr>
          <w:b w:val="0"/>
          <w:i w:val="0"/>
          <w:color w:val="1F2933"/>
          <w:sz w:val="21"/>
        </w:rPr>
        <w:t xml:space="preserve"> (bomba de infusão).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Lavar a sonda com 20 a 30 mL de água</w:t>
      </w:r>
      <w:r>
        <w:rPr>
          <w:b w:val="0"/>
          <w:i w:val="0"/>
          <w:color w:val="1F2933"/>
          <w:sz w:val="21"/>
        </w:rPr>
        <w:t xml:space="preserve"> filtrada (em adultos) antes e depois de cada dieta e de cada medicamento, para evitar obstrução.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Não misturar medicamentos com a dieta; triturar apenas comprimidos que podem ser triturados (não triturar revestidos, de liberação prolongada ou sublinguais) e administrar cada um separadamente.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Dieta em sistema aberto (frasco manipulado): tempo máximo de infusão de cerca de </w:t>
      </w:r>
      <w:r>
        <w:rPr>
          <w:b/>
          <w:i w:val="0"/>
          <w:color w:val="111111"/>
          <w:sz w:val="21"/>
        </w:rPr>
        <w:t>4 horas</w:t>
      </w:r>
      <w:r>
        <w:rPr>
          <w:b w:val="0"/>
          <w:i w:val="0"/>
          <w:color w:val="1F2933"/>
          <w:sz w:val="21"/>
        </w:rPr>
        <w:t xml:space="preserve"> em temperatura ambiente; sistema fechado: até </w:t>
      </w:r>
      <w:r>
        <w:rPr>
          <w:b/>
          <w:i w:val="0"/>
          <w:color w:val="111111"/>
          <w:sz w:val="21"/>
        </w:rPr>
        <w:t>24 horas</w:t>
      </w:r>
      <w:r>
        <w:rPr>
          <w:b w:val="0"/>
          <w:i w:val="0"/>
          <w:color w:val="1F2933"/>
          <w:sz w:val="21"/>
        </w:rPr>
        <w:t xml:space="preserve"> (conforme o fabricante).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Observar complicações: </w:t>
      </w:r>
      <w:r>
        <w:rPr>
          <w:b/>
          <w:i w:val="0"/>
          <w:color w:val="111111"/>
          <w:sz w:val="21"/>
        </w:rPr>
        <w:t>diarreia</w:t>
      </w:r>
      <w:r>
        <w:rPr>
          <w:b w:val="0"/>
          <w:i w:val="0"/>
          <w:color w:val="1F2933"/>
          <w:sz w:val="21"/>
        </w:rPr>
        <w:t xml:space="preserve"> (a mais comum), distensão abdominal, vômitos, resíduo gástrico elevado, broncoaspiração, deslocamento ou obstrução da sonda.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Registrar volume infundido e aceitação.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Nutrição parenteral (NP):</w:t>
      </w:r>
      <w:r>
        <w:rPr>
          <w:b w:val="0"/>
          <w:i w:val="0"/>
          <w:color w:val="1F2933"/>
          <w:sz w:val="21"/>
        </w:rPr>
        <w:t xml:space="preserve"> administração de nutrientes por </w:t>
      </w:r>
      <w:r>
        <w:rPr>
          <w:b/>
          <w:i w:val="0"/>
          <w:color w:val="111111"/>
          <w:sz w:val="21"/>
        </w:rPr>
        <w:t>via endovenosa</w:t>
      </w:r>
      <w:r>
        <w:rPr>
          <w:b w:val="0"/>
          <w:i w:val="0"/>
          <w:color w:val="1F2933"/>
          <w:sz w:val="21"/>
        </w:rPr>
        <w:t xml:space="preserve"> (central ou periférica), quando o trato gastrintestinal </w:t>
      </w:r>
      <w:r>
        <w:rPr>
          <w:b/>
          <w:i w:val="0"/>
          <w:color w:val="111111"/>
          <w:sz w:val="21"/>
        </w:rPr>
        <w:t>não pode ser usado</w:t>
      </w:r>
      <w:r>
        <w:rPr>
          <w:b w:val="0"/>
          <w:i w:val="0"/>
          <w:color w:val="1F2933"/>
          <w:sz w:val="21"/>
        </w:rPr>
        <w:t xml:space="preserve"> ou é insuficiente. Regulamentada pela Portaria SVS/MS nº 272/1998. Cuidados: via </w:t>
      </w:r>
      <w:r>
        <w:rPr>
          <w:b/>
          <w:i w:val="0"/>
          <w:color w:val="111111"/>
          <w:sz w:val="21"/>
        </w:rPr>
        <w:t>exclusiva</w:t>
      </w:r>
      <w:r>
        <w:rPr>
          <w:b w:val="0"/>
          <w:i w:val="0"/>
          <w:color w:val="1F2933"/>
          <w:sz w:val="21"/>
        </w:rPr>
        <w:t xml:space="preserve"> do cateter para a NP (não administrar medicamentos nem coletar sangue pela mesma via), uso obrigatório de </w:t>
      </w:r>
      <w:r>
        <w:rPr>
          <w:b/>
          <w:i w:val="0"/>
          <w:color w:val="111111"/>
          <w:sz w:val="21"/>
        </w:rPr>
        <w:t>bomba de infusão</w:t>
      </w:r>
      <w:r>
        <w:rPr>
          <w:b w:val="0"/>
          <w:i w:val="0"/>
          <w:color w:val="1F2933"/>
          <w:sz w:val="21"/>
        </w:rPr>
        <w:t xml:space="preserve">, </w:t>
      </w:r>
      <w:r>
        <w:rPr>
          <w:b/>
          <w:i w:val="0"/>
          <w:color w:val="111111"/>
          <w:sz w:val="21"/>
        </w:rPr>
        <w:t>técnica asséptica rigorosa</w:t>
      </w:r>
      <w:r>
        <w:rPr>
          <w:b w:val="0"/>
          <w:i w:val="0"/>
          <w:color w:val="1F2933"/>
          <w:sz w:val="21"/>
        </w:rPr>
        <w:t xml:space="preserve">, troca da bolsa e do equipo a cada </w:t>
      </w:r>
      <w:r>
        <w:rPr>
          <w:b/>
          <w:i w:val="0"/>
          <w:color w:val="111111"/>
          <w:sz w:val="21"/>
        </w:rPr>
        <w:t>24 horas</w:t>
      </w:r>
      <w:r>
        <w:rPr>
          <w:b w:val="0"/>
          <w:i w:val="0"/>
          <w:color w:val="1F2933"/>
          <w:sz w:val="21"/>
        </w:rPr>
        <w:t xml:space="preserve">, conservação sob refrigeração (2 °C a 8 °C) até o uso e retirada da geladeira cerca de 1 hora antes, proteção da luz quando houver vitaminas, </w:t>
      </w:r>
      <w:r>
        <w:rPr>
          <w:b/>
          <w:i w:val="0"/>
          <w:color w:val="111111"/>
          <w:sz w:val="21"/>
        </w:rPr>
        <w:t>controle de glicemia capilar</w:t>
      </w:r>
      <w:r>
        <w:rPr>
          <w:b w:val="0"/>
          <w:i w:val="0"/>
          <w:color w:val="1F2933"/>
          <w:sz w:val="21"/>
        </w:rPr>
        <w:t xml:space="preserve"> (risco de hiperglicemia; a suspensão abrupta pode causar hipoglicemia), balanço hídrico e peso diário. Nunca acelerar a infusão para compensar atraso.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16.5 Avaliação nutricional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Medidas antropométricas: peso, altura, </w:t>
      </w:r>
      <w:r>
        <w:rPr>
          <w:b/>
          <w:i w:val="0"/>
          <w:color w:val="111111"/>
          <w:sz w:val="21"/>
        </w:rPr>
        <w:t>IMC</w:t>
      </w:r>
      <w:r>
        <w:rPr>
          <w:b w:val="0"/>
          <w:i w:val="0"/>
          <w:color w:val="1F2933"/>
          <w:sz w:val="21"/>
        </w:rPr>
        <w:t xml:space="preserve"> (ver Assunto 9), circunferência abdominal, circunferência da panturrilha (idosos – &lt; 31 cm indica perda de massa muscular), pregas cutâneas. No </w:t>
      </w:r>
      <w:r>
        <w:rPr>
          <w:b/>
          <w:i w:val="0"/>
          <w:color w:val="111111"/>
          <w:sz w:val="21"/>
        </w:rPr>
        <w:t>idoso</w:t>
      </w:r>
      <w:r>
        <w:rPr>
          <w:b w:val="0"/>
          <w:i w:val="0"/>
          <w:color w:val="1F2933"/>
          <w:sz w:val="21"/>
        </w:rPr>
        <w:t xml:space="preserve">, considera-se eutrofia o IMC entre </w:t>
      </w:r>
      <w:r>
        <w:rPr>
          <w:b/>
          <w:i w:val="0"/>
          <w:color w:val="111111"/>
          <w:sz w:val="21"/>
        </w:rPr>
        <w:t>22 e 27 kg/m²</w:t>
      </w:r>
      <w:r>
        <w:rPr>
          <w:b w:val="0"/>
          <w:i w:val="0"/>
          <w:color w:val="1F2933"/>
          <w:sz w:val="21"/>
        </w:rPr>
        <w:t xml:space="preserve"> (critério de Lipschitz), baixo peso &lt; 22 e sobrepeso &gt; 27. Na criança, usam-se as curvas da OMS da Caderneta da Criança (peso/idade, estatura/idade, IMC/idade).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Desnutrição energético-proteica:</w:t>
      </w:r>
      <w:r>
        <w:rPr>
          <w:b w:val="0"/>
          <w:i w:val="0"/>
          <w:color w:val="1F2933"/>
          <w:sz w:val="21"/>
        </w:rPr>
        <w:t xml:space="preserve"> marasmo (déficit calórico global – emagrecimento intenso, "aspecto de velho") e kwashiorkor (déficit predominantemente proteico – </w:t>
      </w:r>
      <w:r>
        <w:rPr>
          <w:b/>
          <w:i w:val="0"/>
          <w:color w:val="111111"/>
          <w:sz w:val="21"/>
        </w:rPr>
        <w:t>edema</w:t>
      </w:r>
      <w:r>
        <w:rPr>
          <w:b w:val="0"/>
          <w:i w:val="0"/>
          <w:color w:val="1F2933"/>
          <w:sz w:val="21"/>
        </w:rPr>
        <w:t>, alterações de cabelo e pele, hepatomegalia).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2. PONTOS QUE MAIS CAEM EM PROVA</w:t>
            </w:r>
          </w:p>
        </w:tc>
      </w:tr>
    </w:tbl>
    <w:p>
      <w:pPr>
        <w:spacing w:before="0" w:after="40"/>
        <w:jc w:val="both"/>
      </w:pP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Calorias: carboidrato 4, proteína 4, lipídio 9 kcal/g.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Vitaminas lipossolúveis A, D, E, K; deficiências clássicas (escorbuto, raquitismo, cegueira noturna).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Anemia ferropriva; ferro e vitamina C.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Guia Alimentar: base de alimentos in natura; evitar ultraprocessados.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Consistências das dietas hospitalares; dieta líquida restrita como primeira após cirurgia.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NE: cabeceira 30–45°, lavagem da sonda com água, diarreia como complicação mais comum.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NP: via exclusiva, bomba de infusão, troca a cada 24 h, controle glicêmico.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IMC do idoso (22–27).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3. MACETES E DICAS DE MEMORIZAÇÃO</w:t>
            </w:r>
          </w:p>
        </w:tc>
      </w:tr>
    </w:tbl>
    <w:p>
      <w:pPr>
        <w:spacing w:before="0" w:after="40"/>
        <w:jc w:val="both"/>
      </w:pP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"4-4-9"</w:t>
      </w:r>
      <w:r>
        <w:rPr>
          <w:b w:val="0"/>
          <w:i w:val="0"/>
          <w:color w:val="1F2933"/>
          <w:sz w:val="21"/>
        </w:rPr>
        <w:t>: carboidrato, proteína, gordura.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"ADEK se dissolve em gordura"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"Escorbuto sangra a gengiva por falta de C"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"Intestino funciona? Use-o"</w:t>
      </w:r>
      <w:r>
        <w:rPr>
          <w:b w:val="0"/>
          <w:i w:val="0"/>
          <w:color w:val="1F2933"/>
          <w:sz w:val="21"/>
        </w:rPr>
        <w:t>: enteral antes da parenteral.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"Parenteral tem via só dela"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"Kwashiorkor incha, marasmo seca"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"Idoso: 22 a 27 está bom"</w:t>
      </w:r>
      <w:r>
        <w:rPr>
          <w:b w:val="0"/>
          <w:i w:val="0"/>
          <w:color w:val="1F2933"/>
          <w:sz w:val="21"/>
        </w:rPr>
        <w:t>.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4. QUESTÕES</w:t>
            </w:r>
          </w:p>
        </w:tc>
      </w:tr>
    </w:tbl>
    <w:p>
      <w:pPr>
        <w:spacing w:before="0" w:after="4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01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Durante a administração de dieta enteral por sonda nasoenteral, constitui cuidado de enfermagem correto: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manter o paciente em decúbito dorsal horizontal durante a infusão.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manter a cabeceira elevada entre 30° e 45° durante a infusão e após o término, lavando a sonda com água antes e depois da dieta.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misturar todos os medicamentos triturados ao frasco da dieta.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iniciar a dieta antes da confirmação radiológica do posicionamento da sonda.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acelerar a infusão para compensar atrasos.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decúbito zero aumenta o risco de broncoaspiração.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a elevação da cabeceira previne broncoaspiração e a lavagem evita obstrução da sonda.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medicamentos não devem ser misturados à dieta, pelo risco de interação e obstrução.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posição da sonda nasoenteral deve ser confirmada por radiografia.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infusão rápida causa diarreia, distensão e vômitos.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02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Em relação à nutrição parenteral, é correto afirmar: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pode ser infundida pela mesma via usada para medicamentos e coleta de sangue.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dispensa o uso de bomba de infusão.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deve ser infundida por via exclusiva, com bomba de infusão, técnica asséptica rigorosa e controle da glicemia capilar.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é indicada para pacientes com trato gastrintestinal funcionante e sem restrições.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a bolsa pode permanecer instalada por 72 horas.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via deve ser exclusiva pelo alto risco de contaminação e incompatibilidade.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bomba de infusão é obrigatória para controle preciso.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são os cuidados essenciais da NP.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se o TGI funciona, a via enteral é preferida.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bolsa e o equipo são trocados a cada 24 horas.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03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A deficiência de vitamina C provoca: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raquitismo.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escorbuto.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beribéri.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cegueira noturna.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bócio.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raquitismo decorre da deficiência de vitamina D.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o escorbuto, com sangramento gengival e má cicatrização, decorre da falta de vitamina C.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beribéri está ligado à deficiência de vitamina B1.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cegueira noturna está ligada à deficiência de vitamina A.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bócio está ligado à deficiência de iodo.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04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No pós-operatório imediato de cirurgia abdominal, após liberação médica para início da alimentação, a primeira dieta geralmente oferecida é a: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geral.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branda.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pastosa.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líquida restrita (de prova).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hiperproteica sólida.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D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dieta geral é oferecida após a progressão.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branda é etapa posterior.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pastosa vem depois das dietas líquidas.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a dieta líquida restrita (água, chás, caldos coados) testa a tolerância do trato gastrintestinal.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consistência sólida não é a primeira etapa.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05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Segundo o Guia Alimentar para a População Brasileira, a base da alimentação deve ser composta por: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alimentos ultraprocessados enriquecidos com vitaminas.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alimentos in natura ou minimamente processados.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alimentos processados e conservas.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óleos, sal e açúcar em grandes quantidades.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suplementos alimentares industrializados.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os ultraprocessados devem ser evitados.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a regra de ouro do Guia é preferir alimentos in natura ou minimamente processados.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os processados devem ser limitados.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os ingredientes culinários devem ser usados em pequenas quantidades.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suplementos não são a base da alimentação saudável.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5. REVISÃO DO CAPÍTULO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Resumo em tópicos: macro e micronutrientes; deficiências vitamínicas e minerais; Guia Alimentar (2014); dietas hospitalares e especiais; nutrição enteral (RDC 503/2021) e parenteral; avaliação nutricional; desnutrição.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Quadro-resumo: 4-4-9 kcal/g; cabeceira 30–45° na NE; lavagem da sonda com 20–30 mL de água; NP – via exclusiva, troca a cada 24 h; IMC do idoso 22–27.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Pegadinhas: medicamentos misturados à dieta; NP pela mesma via de medicamentos; ultraprocessados enriquecidos como base da dieta.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Erros comuns: confundir vitaminas lipossolúveis e hidrossolúveis; esquecer a glicemia capilar na NP; usar IMC do adulto para idosos.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474" w:left="1134" w:header="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2835" w:val="left"/>
        <w:tab w:pos="9638" w:val="left"/>
      </w:tabs>
    </w:pPr>
    <w:r>
      <w:rPr>
        <w:b w:val="0"/>
        <w:i w:val="0"/>
        <w:color w:val="1F2933"/>
        <w:sz w:val="16"/>
      </w:rPr>
      <w:t>TÉCNICO EM ENFERMAGEM (SES-TO)</w:t>
      <w:tab/>
    </w:r>
    <w:r>
      <w:drawing>
        <wp:inline xmlns:a="http://schemas.openxmlformats.org/drawingml/2006/main" xmlns:pic="http://schemas.openxmlformats.org/drawingml/2006/picture">
          <wp:extent cx="1930500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rodap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30500" cy="468000"/>
                  </a:xfrm>
                  <a:prstGeom prst="rect"/>
                </pic:spPr>
              </pic:pic>
            </a:graphicData>
          </a:graphic>
        </wp:inline>
      </w:drawing>
    </w:r>
    <w:r>
      <w:rPr>
        <w:b w:val="0"/>
        <w:i w:val="0"/>
        <w:color w:val="1F2933"/>
        <w:sz w:val="18"/>
      </w:rPr>
      <w:tab/>
      <w:t xml:space="preserve">Página </w:t>
    </w:r>
    <w:r>
      <w:rPr>
        <w:b w:val="0"/>
        <w:i w:val="0"/>
        <w:color w:val="1F2933"/>
        <w:sz w:val="18"/>
      </w:rPr>
      <w:fldChar w:fldCharType="begin"/>
      <w:instrText xml:space="preserve">PAGE</w:instrText>
      <w:fldChar w:fldCharType="separate"/>
      <w:t xml:space="preserve"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1080000</wp:posOffset>
          </wp:positionH>
          <wp:positionV relativeFrom="page">
            <wp:posOffset>2646000</wp:posOffset>
          </wp:positionV>
          <wp:extent cx="5400000" cy="5400000"/>
          <wp:effectExtent l="0" t="0" r="0" b="0"/>
          <wp:wrapNone/>
          <wp:docPr id="1" name="Picture 1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marca_dagua_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0" cy="5400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